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rPr>
          <w:rFonts w:ascii="黑体" w:hAnsi="黑体" w:eastAsia="黑体"/>
          <w:b/>
          <w:sz w:val="72"/>
          <w:szCs w:val="72"/>
        </w:rPr>
      </w:pPr>
      <w:bookmarkStart w:id="0" w:name="_GoBack"/>
      <w:bookmarkEnd w:id="0"/>
      <w:r>
        <w:rPr>
          <w:rFonts w:ascii="黑体" w:hAnsi="宋体" w:eastAsia="黑体"/>
          <w:color w:val="002060"/>
          <w:sz w:val="72"/>
          <w:szCs w:val="72"/>
        </w:rPr>
        <w:pict>
          <v:shape id="图片 7" o:spid="_x0000_s1026" o:spt="75" type="#_x0000_t75" style="position:absolute;left:0pt;margin-left:-78.6pt;margin-top:-101.35pt;height:1009.35pt;width:596.6pt;z-index:-251656192;mso-width-relative:page;mso-height-relative:page;" filled="f" o:preferrelative="t" stroked="f" coordsize="21600,21600">
            <v:path/>
            <v:fill on="f" focussize="0,0"/>
            <v:stroke on="f" joinstyle="miter"/>
            <v:imagedata r:id="rId4" o:title=""/>
            <o:lock v:ext="edit" aspectratio="t"/>
          </v:shape>
        </w:pict>
      </w:r>
    </w:p>
    <w:p>
      <w:pPr>
        <w:widowControl/>
        <w:jc w:val="center"/>
        <w:rPr>
          <w:rFonts w:ascii="黑体" w:hAnsi="黑体" w:eastAsia="黑体"/>
          <w:b/>
          <w:sz w:val="72"/>
          <w:szCs w:val="72"/>
        </w:rPr>
      </w:pPr>
    </w:p>
    <w:p>
      <w:pPr>
        <w:widowControl/>
        <w:jc w:val="center"/>
        <w:rPr>
          <w:rFonts w:ascii="黑体" w:hAnsi="黑体" w:eastAsia="黑体"/>
          <w:b/>
          <w:sz w:val="72"/>
          <w:szCs w:val="72"/>
        </w:rPr>
      </w:pPr>
      <w:r>
        <w:rPr>
          <w:sz w:val="72"/>
        </w:rPr>
        <w:pict>
          <v:shape id="_x0000_s1033" o:spid="_x0000_s1033" o:spt="202" type="#_x0000_t202" style="position:absolute;left:0pt;margin-left:-79.55pt;margin-top:32pt;height:166.25pt;width:596.2pt;z-index:251650048;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80"/>
                      <w:szCs w:val="80"/>
                    </w:rPr>
                  </w:pPr>
                  <w:r>
                    <w:rPr>
                      <w:rFonts w:hint="eastAsia" w:ascii="黑体" w:hAnsi="宋体" w:eastAsia="黑体"/>
                      <w:color w:val="FDEFBE"/>
                      <w:sz w:val="80"/>
                      <w:szCs w:val="80"/>
                    </w:rPr>
                    <w:t>无极县人力资源和社会保障局</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shape>
        </w:pict>
      </w:r>
    </w:p>
    <w:p>
      <w:pPr>
        <w:widowControl/>
        <w:jc w:val="center"/>
        <w:rPr>
          <w:rFonts w:ascii="黑体" w:hAnsi="黑体" w:eastAsia="黑体"/>
          <w:b/>
          <w:sz w:val="72"/>
          <w:szCs w:val="72"/>
        </w:rPr>
      </w:pPr>
    </w:p>
    <w:p>
      <w:pPr>
        <w:widowControl/>
        <w:jc w:val="center"/>
        <w:rPr>
          <w:rFonts w:ascii="黑体" w:hAnsi="宋体" w:eastAsia="黑体"/>
          <w:color w:val="002060"/>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rPr>
          <w:rFonts w:ascii="黑体" w:hAnsi="黑体" w:eastAsia="黑体"/>
          <w:b/>
          <w:sz w:val="72"/>
          <w:szCs w:val="72"/>
        </w:rPr>
      </w:pPr>
    </w:p>
    <w:p>
      <w:pPr>
        <w:widowControl/>
        <w:jc w:val="center"/>
        <w:rPr>
          <w:rFonts w:ascii="楷体" w:hAnsi="楷体" w:eastAsia="楷体" w:cs="楷体"/>
          <w:b/>
          <w:sz w:val="40"/>
          <w:szCs w:val="40"/>
        </w:rPr>
      </w:pPr>
    </w:p>
    <w:p>
      <w:pPr>
        <w:widowControl/>
        <w:jc w:val="cente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ind w:firstLine="1200" w:firstLineChars="250"/>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无极县人力资源和社会保障局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ascii="宋体" w:hAnsi="宋体" w:cs="ArialUnicodeMS"/>
          <w:color w:val="000000"/>
          <w:kern w:val="0"/>
        </w:rPr>
        <w:pict>
          <v:shape id="图片 12" o:spid="_x0000_s1027" o:spt="75" type="#_x0000_t75" style="position:absolute;left:0pt;margin-left:-80.55pt;margin-top:-106.3pt;height:844.65pt;width:597.3pt;z-index:-251655168;mso-width-relative:page;mso-height-relative:page;" filled="f" o:preferrelative="t" stroked="f" coordsize="21600,21600">
            <v:path/>
            <v:fill on="f" focussize="0,0"/>
            <v:stroke on="f" joinstyle="miter"/>
            <v:imagedata r:id="rId5" o:title=""/>
            <o:lock v:ext="edit" aspectratio="t"/>
          </v:shape>
        </w:pict>
      </w:r>
      <w:r>
        <w:rPr>
          <w:sz w:val="72"/>
        </w:rPr>
        <w:pict>
          <v:shape id="_x0000_s1037" o:spid="_x0000_s1037" o:spt="202" type="#_x0000_t202" style="position:absolute;left:0pt;margin-left:-97.1pt;margin-top:259.1pt;height:81.7pt;width:613.65pt;z-index:251654144;mso-width-relative:page;mso-height-relative:page;" filled="f" o:preferrelative="t" stroked="f" coordsize="21600,21600">
            <v:path/>
            <v:fill on="f" focussize="0,0"/>
            <v:stroke on="f" joinstyle="miter"/>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第一部分部门概况</w:t>
                  </w:r>
                </w:p>
              </w:txbxContent>
            </v:textbox>
          </v:shape>
        </w:pict>
      </w:r>
    </w:p>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ind w:firstLine="640"/>
        <w:rPr>
          <w:rFonts w:ascii="仿宋" w:hAnsi="仿宋" w:eastAsia="仿宋" w:cs="仿宋"/>
          <w:sz w:val="32"/>
          <w:szCs w:val="32"/>
        </w:rPr>
      </w:pPr>
      <w:r>
        <w:rPr>
          <w:rFonts w:hint="eastAsia" w:ascii="仿宋" w:hAnsi="仿宋" w:eastAsia="仿宋" w:cs="仿宋"/>
          <w:sz w:val="32"/>
          <w:szCs w:val="32"/>
        </w:rPr>
        <w:t>1、拟订全县人力资源和社会保障事业发展规划、政策，起草人力资源和社会保障地方规章草案。负责全县人力资源和社会保障的宣传和舆情研究。</w:t>
      </w:r>
    </w:p>
    <w:p>
      <w:pPr>
        <w:ind w:firstLine="640"/>
        <w:rPr>
          <w:rFonts w:ascii="仿宋" w:hAnsi="仿宋" w:eastAsia="仿宋" w:cs="仿宋"/>
          <w:sz w:val="32"/>
          <w:szCs w:val="32"/>
        </w:rPr>
      </w:pPr>
      <w:r>
        <w:rPr>
          <w:rFonts w:hint="eastAsia" w:ascii="仿宋" w:hAnsi="仿宋" w:eastAsia="仿宋" w:cs="仿宋"/>
          <w:sz w:val="32"/>
          <w:szCs w:val="32"/>
        </w:rPr>
        <w:t>2、拟订人力资源市场发展规划和人力资源流动政策，建立统一规范的人力资源市场，促进人力资源合理流动、有效配置，拟订机构改革人员定岗和分流政策。</w:t>
      </w:r>
    </w:p>
    <w:p>
      <w:pPr>
        <w:ind w:firstLine="640"/>
        <w:rPr>
          <w:rFonts w:ascii="仿宋" w:hAnsi="仿宋" w:eastAsia="仿宋" w:cs="仿宋"/>
          <w:sz w:val="32"/>
          <w:szCs w:val="32"/>
        </w:rPr>
      </w:pPr>
      <w:r>
        <w:rPr>
          <w:rFonts w:hint="eastAsia" w:ascii="仿宋" w:hAnsi="仿宋" w:eastAsia="仿宋" w:cs="仿宋"/>
          <w:sz w:val="32"/>
          <w:szCs w:val="32"/>
        </w:rPr>
        <w:t>3、会同有关部门拟订人才工作总体目标，参与人才管理。会同有关部门指导全县事业单位人事制度改革，拟订全县事业单位人员和机关工勤人员管理政策。负责全县人事考试工作。制定全县专业技术人员管理和继续教育政策，综合管理全县职称工作，负责高层次专业技术人才推荐、选拔和培养，根据上级精神，拟定落实引进国（境）外专家、留学人员来县（回国）工作或定居政策。</w:t>
      </w:r>
    </w:p>
    <w:p>
      <w:pPr>
        <w:ind w:firstLine="640"/>
        <w:rPr>
          <w:rFonts w:ascii="仿宋" w:hAnsi="仿宋" w:eastAsia="仿宋" w:cs="仿宋"/>
          <w:sz w:val="32"/>
          <w:szCs w:val="32"/>
        </w:rPr>
      </w:pPr>
      <w:r>
        <w:rPr>
          <w:rFonts w:hint="eastAsia" w:ascii="仿宋" w:hAnsi="仿宋" w:eastAsia="仿宋" w:cs="仿宋"/>
          <w:sz w:val="32"/>
          <w:szCs w:val="32"/>
        </w:rPr>
        <w:t>4、贯彻落实机关企事业单位人员工资收入分配政策，建立全县机关企事业单位人员工资正常增长和支付保障机制，负责全县机关、事业单位人员福利和离退休工作，并负责监督检查。</w:t>
      </w:r>
    </w:p>
    <w:p>
      <w:pPr>
        <w:ind w:firstLine="640"/>
        <w:rPr>
          <w:rFonts w:ascii="仿宋" w:hAnsi="仿宋" w:eastAsia="仿宋" w:cs="仿宋"/>
          <w:sz w:val="32"/>
          <w:szCs w:val="32"/>
        </w:rPr>
      </w:pPr>
      <w:r>
        <w:rPr>
          <w:rFonts w:hint="eastAsia" w:ascii="仿宋" w:hAnsi="仿宋" w:eastAsia="仿宋" w:cs="仿宋"/>
          <w:sz w:val="32"/>
          <w:szCs w:val="32"/>
        </w:rPr>
        <w:t>5、会同有关部门起草公务员分类、录用、考核、奖惩、任用、培训、辞退等方面的地方性法规和规章草案，贯彻事业单位工作人员参照公务员法管理办法并组织实施，负责聘任制公务员管理工作。</w:t>
      </w:r>
    </w:p>
    <w:p>
      <w:pPr>
        <w:ind w:firstLine="640"/>
        <w:rPr>
          <w:rFonts w:ascii="仿宋" w:hAnsi="仿宋" w:eastAsia="仿宋" w:cs="仿宋"/>
          <w:sz w:val="32"/>
          <w:szCs w:val="32"/>
        </w:rPr>
      </w:pPr>
      <w:r>
        <w:rPr>
          <w:rFonts w:hint="eastAsia" w:ascii="仿宋" w:hAnsi="仿宋" w:eastAsia="仿宋" w:cs="仿宋"/>
          <w:sz w:val="32"/>
          <w:szCs w:val="32"/>
        </w:rPr>
        <w:t>6、完善公务员考核制度，拟订全县公务员行为规范、职业道德建设和能力建设政策；负责公务员职位分类标准的贯彻落实及拟定相关管理办法；依法对公务员实施监督；负责公务员信息统计管理工作。</w:t>
      </w:r>
    </w:p>
    <w:p>
      <w:pPr>
        <w:ind w:firstLine="640"/>
        <w:rPr>
          <w:rFonts w:ascii="仿宋" w:hAnsi="仿宋" w:eastAsia="仿宋" w:cs="仿宋"/>
          <w:sz w:val="32"/>
          <w:szCs w:val="32"/>
        </w:rPr>
      </w:pPr>
      <w:r>
        <w:rPr>
          <w:rFonts w:hint="eastAsia" w:ascii="仿宋" w:hAnsi="仿宋" w:eastAsia="仿宋" w:cs="仿宋"/>
          <w:sz w:val="32"/>
          <w:szCs w:val="32"/>
        </w:rPr>
        <w:t>7、负责公务员考试录用计划申报工作，编制全县公务员培训计划。拟订公务员培训和在职教育政策、规划、计划和标准，监督指导机关公务员培训工作。</w:t>
      </w:r>
    </w:p>
    <w:p>
      <w:pPr>
        <w:ind w:firstLine="640"/>
        <w:rPr>
          <w:rFonts w:ascii="仿宋" w:hAnsi="仿宋" w:eastAsia="仿宋" w:cs="仿宋"/>
          <w:sz w:val="32"/>
          <w:szCs w:val="32"/>
        </w:rPr>
      </w:pPr>
      <w:r>
        <w:rPr>
          <w:rFonts w:hint="eastAsia" w:ascii="仿宋" w:hAnsi="仿宋" w:eastAsia="仿宋" w:cs="仿宋"/>
          <w:sz w:val="32"/>
          <w:szCs w:val="32"/>
        </w:rPr>
        <w:t>8、完善公务员申诉控告制度和聘任制公务员人事争议仲裁制度，保障公务员合法权益。</w:t>
      </w:r>
    </w:p>
    <w:p>
      <w:pPr>
        <w:ind w:firstLine="640"/>
        <w:rPr>
          <w:rFonts w:ascii="仿宋" w:hAnsi="仿宋" w:eastAsia="仿宋" w:cs="仿宋"/>
          <w:sz w:val="32"/>
          <w:szCs w:val="32"/>
        </w:rPr>
      </w:pPr>
      <w:r>
        <w:rPr>
          <w:rFonts w:hint="eastAsia" w:ascii="仿宋" w:hAnsi="仿宋" w:eastAsia="仿宋" w:cs="仿宋"/>
          <w:sz w:val="32"/>
          <w:szCs w:val="32"/>
        </w:rPr>
        <w:t>9、负责公务员综合管理，拟订人员调配政策和特殊人员安置政策。　　</w:t>
      </w:r>
    </w:p>
    <w:p>
      <w:pPr>
        <w:ind w:firstLine="640"/>
        <w:rPr>
          <w:rFonts w:ascii="仿宋" w:hAnsi="仿宋" w:eastAsia="仿宋" w:cs="仿宋"/>
          <w:sz w:val="32"/>
          <w:szCs w:val="32"/>
        </w:rPr>
      </w:pPr>
      <w:r>
        <w:rPr>
          <w:rFonts w:hint="eastAsia" w:ascii="仿宋" w:hAnsi="仿宋" w:eastAsia="仿宋" w:cs="仿宋"/>
          <w:sz w:val="32"/>
          <w:szCs w:val="32"/>
        </w:rPr>
        <w:t>10、会同有关部门拟定军队转业干部安置计划和分配办法；负责军队转业干部培训；负责企业军队转业干部解困和维稳方面的工作，负责自主择业军队转业干部的管理服务。</w:t>
      </w:r>
    </w:p>
    <w:p>
      <w:pPr>
        <w:ind w:firstLine="640"/>
        <w:rPr>
          <w:rFonts w:ascii="仿宋" w:hAnsi="仿宋" w:eastAsia="仿宋" w:cs="仿宋"/>
          <w:sz w:val="32"/>
          <w:szCs w:val="32"/>
        </w:rPr>
      </w:pPr>
      <w:r>
        <w:rPr>
          <w:rFonts w:hint="eastAsia" w:ascii="仿宋" w:hAnsi="仿宋" w:eastAsia="仿宋" w:cs="仿宋"/>
          <w:sz w:val="32"/>
          <w:szCs w:val="32"/>
        </w:rPr>
        <w:t>11、负责促进就业工作，拟订统筹城乡的就业发展规划和政策，完善公共就业服务体系，拟订就业援助制度，完善职业资格制度，统筹建立面向城乡劳动者的职业培训制度，牵头拟订高校毕业生就业政策，按规定负责中专以上毕业生的就业指导工作。会同有关部门拟订高技能人才、农村实用人才培养和激励政策。</w:t>
      </w:r>
    </w:p>
    <w:p>
      <w:pPr>
        <w:ind w:firstLine="640"/>
        <w:rPr>
          <w:rFonts w:ascii="仿宋" w:hAnsi="仿宋" w:eastAsia="仿宋" w:cs="仿宋"/>
          <w:sz w:val="32"/>
          <w:szCs w:val="32"/>
        </w:rPr>
      </w:pPr>
      <w:r>
        <w:rPr>
          <w:rFonts w:hint="eastAsia" w:ascii="仿宋" w:hAnsi="仿宋" w:eastAsia="仿宋" w:cs="仿宋"/>
          <w:sz w:val="32"/>
          <w:szCs w:val="32"/>
        </w:rPr>
        <w:t>12、负责就业、失业、社会保险基金预测预警和信息引导，拟订应对预案，实施预防、调节和控制，保持就业形势稳定和社会保险基金总体收支平衡。</w:t>
      </w:r>
    </w:p>
    <w:p>
      <w:pPr>
        <w:ind w:firstLine="640"/>
        <w:rPr>
          <w:rFonts w:ascii="仿宋" w:hAnsi="仿宋" w:eastAsia="仿宋" w:cs="仿宋"/>
          <w:sz w:val="32"/>
          <w:szCs w:val="32"/>
        </w:rPr>
      </w:pPr>
      <w:r>
        <w:rPr>
          <w:rFonts w:hint="eastAsia" w:ascii="仿宋" w:hAnsi="仿宋" w:eastAsia="仿宋" w:cs="仿宋"/>
          <w:sz w:val="32"/>
          <w:szCs w:val="32"/>
        </w:rPr>
        <w:t>13、会同有关部门拟订农民工工作综合政策和规划，推动农民工相关政策的落实，协调解决重点难点问题，维护农民工合法权益。</w:t>
      </w:r>
    </w:p>
    <w:p>
      <w:pPr>
        <w:ind w:firstLine="640"/>
        <w:rPr>
          <w:rFonts w:ascii="仿宋" w:hAnsi="仿宋" w:eastAsia="仿宋" w:cs="仿宋"/>
          <w:sz w:val="32"/>
          <w:szCs w:val="32"/>
        </w:rPr>
      </w:pPr>
      <w:r>
        <w:rPr>
          <w:rFonts w:hint="eastAsia" w:ascii="仿宋" w:hAnsi="仿宋" w:eastAsia="仿宋" w:cs="仿宋"/>
          <w:sz w:val="32"/>
          <w:szCs w:val="32"/>
        </w:rPr>
        <w:t>14、统筹建立覆盖城乡的社会保障体系。统筹拟订城乡社会保险及其补充保险政策和标准，组织落实上级机关企事业单位社会保险政策，会同有关部门拟订社会保险及其补充保险基金管理办法，编制全县社会保险基金预决算草案。</w:t>
      </w:r>
    </w:p>
    <w:p>
      <w:pPr>
        <w:ind w:firstLine="640"/>
        <w:rPr>
          <w:rFonts w:ascii="仿宋" w:hAnsi="仿宋" w:eastAsia="仿宋" w:cs="仿宋"/>
          <w:sz w:val="32"/>
          <w:szCs w:val="32"/>
        </w:rPr>
      </w:pPr>
      <w:r>
        <w:rPr>
          <w:rFonts w:hint="eastAsia" w:ascii="仿宋" w:hAnsi="仿宋" w:eastAsia="仿宋" w:cs="仿宋"/>
          <w:sz w:val="32"/>
          <w:szCs w:val="32"/>
        </w:rPr>
        <w:t>15、负责全县社保基金监督管理工作，完善基金监督管理制度，加强社保基金权力运行监控机制建设，确保基金安全平稳运行；加强财务统筹管理，严格财经制度，确保做到专款专用，收支两条线。</w:t>
      </w:r>
    </w:p>
    <w:p>
      <w:pPr>
        <w:ind w:firstLine="640"/>
        <w:rPr>
          <w:rFonts w:ascii="仿宋" w:hAnsi="仿宋" w:eastAsia="仿宋" w:cs="仿宋"/>
          <w:sz w:val="32"/>
          <w:szCs w:val="32"/>
        </w:rPr>
      </w:pPr>
      <w:r>
        <w:rPr>
          <w:rFonts w:hint="eastAsia" w:ascii="仿宋" w:hAnsi="仿宋" w:eastAsia="仿宋" w:cs="仿宋"/>
          <w:sz w:val="32"/>
          <w:szCs w:val="32"/>
        </w:rPr>
        <w:t>16、统筹管理劳动、人事争议调解仲裁工作和劳动关系相关政策，完善劳动关系协调机制，负责消除非法使用童工并组织实施女工、未成年工的特殊劳动保护政策，组织实施劳动监察，协调劳动者维权工作，依法查处违法案件。</w:t>
      </w:r>
    </w:p>
    <w:p>
      <w:pPr>
        <w:ind w:firstLine="640"/>
        <w:rPr>
          <w:rFonts w:ascii="仿宋" w:hAnsi="仿宋" w:eastAsia="仿宋" w:cs="仿宋"/>
          <w:sz w:val="32"/>
          <w:szCs w:val="32"/>
        </w:rPr>
      </w:pPr>
      <w:r>
        <w:rPr>
          <w:rFonts w:hint="eastAsia" w:ascii="仿宋" w:hAnsi="仿宋" w:eastAsia="仿宋" w:cs="仿宋"/>
          <w:sz w:val="32"/>
          <w:szCs w:val="32"/>
        </w:rPr>
        <w:t>17、承办县政府提请县人大常委会决定任免人员和县政府任免人员的行政任免手续等有关事宜；会同有关部门拟订政府表彰奖励办法，审核上报以国务院、省、市、县政府及工作部门名义表彰奖励的人选，指导协调以县政府名义的表彰奖励工作，审核以县政府名义实施的表彰奖励活动。</w:t>
      </w:r>
    </w:p>
    <w:p>
      <w:pPr>
        <w:ind w:firstLine="640"/>
        <w:rPr>
          <w:rFonts w:ascii="仿宋" w:hAnsi="仿宋" w:eastAsia="仿宋" w:cs="仿宋"/>
          <w:sz w:val="32"/>
          <w:szCs w:val="32"/>
        </w:rPr>
      </w:pPr>
      <w:r>
        <w:rPr>
          <w:rFonts w:hint="eastAsia" w:ascii="仿宋" w:hAnsi="仿宋" w:eastAsia="仿宋" w:cs="仿宋"/>
          <w:sz w:val="32"/>
          <w:szCs w:val="32"/>
        </w:rPr>
        <w:t>18、承办县政府交办的其他事项。</w:t>
      </w:r>
    </w:p>
    <w:p>
      <w:pPr>
        <w:ind w:firstLine="640"/>
        <w:rPr>
          <w:rFonts w:ascii="仿宋" w:hAnsi="仿宋" w:eastAsia="仿宋" w:cs="仿宋"/>
          <w:sz w:val="32"/>
          <w:szCs w:val="32"/>
        </w:rPr>
      </w:pPr>
      <w:r>
        <w:rPr>
          <w:rFonts w:hint="eastAsia" w:ascii="黑体" w:hAnsi="Cambria" w:eastAsia="黑体" w:cs="黑体"/>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年度本部门决算汇编范围的独立核算单位（以下简称“单位”）共4 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宋体" w:hAnsi="宋体" w:cs="宋体"/>
                <w:kern w:val="0"/>
                <w:sz w:val="28"/>
                <w:szCs w:val="28"/>
              </w:rPr>
              <w:t>无极县人力资源和社会保障局</w:t>
            </w:r>
            <w:r>
              <w:rPr>
                <w:rFonts w:hint="eastAsia" w:ascii="仿宋_GB2312" w:hAnsi="Cambria" w:eastAsia="仿宋_GB2312" w:cs="ArialUnicodeMS"/>
                <w:kern w:val="0"/>
                <w:sz w:val="28"/>
                <w:szCs w:val="28"/>
              </w:rPr>
              <w:t>(本级)</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宋体" w:hAnsi="宋体" w:cs="宋体"/>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2</w:t>
            </w:r>
          </w:p>
        </w:tc>
        <w:tc>
          <w:tcPr>
            <w:tcW w:w="3485" w:type="dxa"/>
          </w:tcPr>
          <w:p>
            <w:pPr>
              <w:spacing w:after="0" w:line="560" w:lineRule="exact"/>
              <w:rPr>
                <w:rFonts w:ascii="仿宋_GB2312" w:hAnsi="Cambria" w:eastAsia="仿宋_GB2312" w:cs="ArialUnicodeMS"/>
                <w:kern w:val="0"/>
                <w:sz w:val="28"/>
                <w:szCs w:val="28"/>
              </w:rPr>
            </w:pPr>
            <w:r>
              <w:rPr>
                <w:rFonts w:hint="eastAsia" w:ascii="宋体" w:hAnsi="宋体" w:cs="宋体"/>
                <w:kern w:val="0"/>
                <w:sz w:val="28"/>
                <w:szCs w:val="28"/>
              </w:rPr>
              <w:t>无极县就业局</w:t>
            </w:r>
          </w:p>
        </w:tc>
        <w:tc>
          <w:tcPr>
            <w:tcW w:w="2445" w:type="dxa"/>
          </w:tcPr>
          <w:p>
            <w:pPr>
              <w:spacing w:after="0" w:line="560" w:lineRule="exact"/>
              <w:jc w:val="center"/>
              <w:rPr>
                <w:rFonts w:ascii="仿宋_GB2312" w:hAnsi="Cambria" w:eastAsia="仿宋_GB2312" w:cs="ArialUnicodeMS"/>
                <w:kern w:val="0"/>
                <w:sz w:val="24"/>
              </w:rPr>
            </w:pPr>
            <w:r>
              <w:rPr>
                <w:rFonts w:hint="eastAsia" w:ascii="宋体" w:hAnsi="宋体" w:cs="宋体"/>
                <w:kern w:val="0"/>
                <w:sz w:val="24"/>
              </w:rPr>
              <w:t>财政补助事业单位</w:t>
            </w:r>
          </w:p>
        </w:tc>
        <w:tc>
          <w:tcPr>
            <w:tcW w:w="2665" w:type="dxa"/>
          </w:tcPr>
          <w:p>
            <w:pPr>
              <w:spacing w:after="0" w:line="560" w:lineRule="exact"/>
              <w:jc w:val="center"/>
              <w:rPr>
                <w:rFonts w:ascii="宋体" w:hAnsi="宋体" w:cs="宋体"/>
                <w:kern w:val="0"/>
                <w:sz w:val="28"/>
                <w:szCs w:val="28"/>
              </w:rPr>
            </w:pPr>
            <w:r>
              <w:rPr>
                <w:rFonts w:hint="eastAsia" w:ascii="宋体" w:hAnsi="宋体" w:cs="宋体"/>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3</w:t>
            </w:r>
          </w:p>
        </w:tc>
        <w:tc>
          <w:tcPr>
            <w:tcW w:w="3485" w:type="dxa"/>
          </w:tcPr>
          <w:p>
            <w:pPr>
              <w:spacing w:after="0" w:line="560" w:lineRule="exact"/>
              <w:rPr>
                <w:rFonts w:ascii="仿宋_GB2312" w:hAnsi="Cambria" w:eastAsia="仿宋_GB2312" w:cs="ArialUnicodeMS"/>
                <w:kern w:val="0"/>
                <w:sz w:val="28"/>
                <w:szCs w:val="28"/>
              </w:rPr>
            </w:pPr>
            <w:r>
              <w:rPr>
                <w:rFonts w:hint="eastAsia" w:ascii="宋体" w:hAnsi="宋体" w:cs="宋体"/>
                <w:kern w:val="0"/>
                <w:sz w:val="28"/>
                <w:szCs w:val="28"/>
              </w:rPr>
              <w:t>无极县劳动技工学校</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宋体" w:hAnsi="宋体" w:cs="宋体"/>
                <w:kern w:val="0"/>
                <w:sz w:val="24"/>
              </w:rPr>
              <w:t>财政补助事业单位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宋体" w:hAnsi="宋体" w:cs="宋体"/>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4</w:t>
            </w:r>
          </w:p>
        </w:tc>
        <w:tc>
          <w:tcPr>
            <w:tcW w:w="3485" w:type="dxa"/>
            <w:tcBorders>
              <w:bottom w:val="single" w:color="auto" w:sz="4" w:space="0"/>
            </w:tcBorders>
          </w:tcPr>
          <w:p>
            <w:pPr>
              <w:spacing w:after="0" w:line="560" w:lineRule="exact"/>
              <w:rPr>
                <w:rFonts w:ascii="仿宋_GB2312" w:hAnsi="Cambria" w:eastAsia="仿宋_GB2312" w:cs="ArialUnicodeMS"/>
                <w:kern w:val="0"/>
                <w:sz w:val="28"/>
                <w:szCs w:val="28"/>
              </w:rPr>
            </w:pPr>
            <w:r>
              <w:rPr>
                <w:rFonts w:hint="eastAsia" w:ascii="宋体" w:hAnsi="宋体" w:cs="宋体"/>
                <w:kern w:val="0"/>
                <w:sz w:val="28"/>
                <w:szCs w:val="28"/>
              </w:rPr>
              <w:t>无极县社会保险服务中心</w:t>
            </w:r>
          </w:p>
        </w:tc>
        <w:tc>
          <w:tcPr>
            <w:tcW w:w="2445" w:type="dxa"/>
            <w:tcBorders>
              <w:bottom w:val="single" w:color="auto" w:sz="4" w:space="0"/>
            </w:tcBorders>
          </w:tcPr>
          <w:p>
            <w:pPr>
              <w:spacing w:after="0" w:line="560" w:lineRule="exact"/>
              <w:jc w:val="center"/>
              <w:rPr>
                <w:rFonts w:ascii="仿宋_GB2312" w:hAnsi="Cambria" w:eastAsia="仿宋_GB2312" w:cs="ArialUnicodeMS"/>
                <w:kern w:val="0"/>
                <w:sz w:val="28"/>
                <w:szCs w:val="28"/>
              </w:rPr>
            </w:pPr>
            <w:r>
              <w:rPr>
                <w:rFonts w:hint="eastAsia" w:ascii="宋体" w:hAnsi="宋体" w:cs="宋体"/>
                <w:kern w:val="0"/>
                <w:sz w:val="24"/>
              </w:rPr>
              <w:t>财政补助事业单位</w:t>
            </w:r>
          </w:p>
        </w:tc>
        <w:tc>
          <w:tcPr>
            <w:tcW w:w="2665" w:type="dxa"/>
            <w:tcBorders>
              <w:bottom w:val="single" w:color="auto" w:sz="4" w:space="0"/>
            </w:tcBorders>
          </w:tcPr>
          <w:p>
            <w:pPr>
              <w:spacing w:after="0" w:line="560" w:lineRule="exact"/>
              <w:jc w:val="center"/>
              <w:rPr>
                <w:rFonts w:ascii="仿宋_GB2312" w:hAnsi="Cambria" w:eastAsia="仿宋_GB2312" w:cs="ArialUnicodeMS"/>
                <w:kern w:val="0"/>
                <w:sz w:val="28"/>
                <w:szCs w:val="28"/>
              </w:rPr>
            </w:pPr>
            <w:r>
              <w:rPr>
                <w:rFonts w:hint="eastAsia" w:ascii="宋体" w:hAnsi="宋体" w:cs="宋体"/>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hAnsi="Cambria" w:eastAsia="仿宋_GB2312" w:cs="ArialUnicodeMS"/>
                <w:kern w:val="0"/>
                <w:sz w:val="28"/>
                <w:szCs w:val="28"/>
              </w:rPr>
            </w:pPr>
          </w:p>
        </w:tc>
      </w:tr>
    </w:tbl>
    <w:p>
      <w:pPr>
        <w:widowControl/>
        <w:spacing w:line="560" w:lineRule="exact"/>
        <w:rPr>
          <w:rFonts w:ascii="黑体" w:hAnsi="Cambria" w:eastAsia="黑体" w:cs="MS-UIGothic,Bold"/>
          <w:bCs/>
          <w:kern w:val="0"/>
          <w:sz w:val="52"/>
          <w:szCs w:val="52"/>
        </w:rPr>
      </w:pPr>
    </w:p>
    <w:p>
      <w:pPr>
        <w:widowControl/>
        <w:spacing w:line="560" w:lineRule="exact"/>
        <w:jc w:val="center"/>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pict>
          <v:shape id="_x0000_s1029" o:spid="_x0000_s1029" o:spt="75" type="#_x0000_t75" style="position:absolute;left:0pt;margin-left:-80.45pt;margin-top:-104.35pt;height:840.95pt;width:596.15pt;z-index:-251654144;mso-width-relative:page;mso-height-relative:page;" filled="f" o:preferrelative="t" stroked="f" coordsize="21600,21600">
            <v:path/>
            <v:fill on="f" focussize="0,0"/>
            <v:stroke on="f" joinstyle="miter"/>
            <v:imagedata r:id="rId5" o:title=""/>
            <o:lock v:ext="edit" aspectratio="t"/>
          </v:shape>
        </w:pict>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cols w:space="720" w:num="1"/>
          <w:docGrid w:type="lines" w:linePitch="312" w:charSpace="0"/>
        </w:sectPr>
      </w:pPr>
      <w:r>
        <w:rPr>
          <w:sz w:val="72"/>
        </w:rPr>
        <w:pict>
          <v:shape id="_x0000_s1034" o:spid="_x0000_s1034" o:spt="202" type="#_x0000_t202" style="position:absolute;left:0pt;margin-left:-74pt;margin-top:120.3pt;height:159.1pt;width:596.2pt;z-index:251651072;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shape>
        </w:pict>
      </w:r>
    </w:p>
    <w:tbl>
      <w:tblPr>
        <w:tblStyle w:val="10"/>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部门：无极县人力资源和社会保障局</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20082.45</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529.39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164.29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14652.41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4945.81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971.74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26.16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ascii="宋体" w:hAnsi="宋体" w:cs="宋体"/>
                <w:color w:val="000000"/>
                <w:sz w:val="18"/>
                <w:szCs w:val="18"/>
              </w:rPr>
              <w:t>20082.45</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21289.8</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ascii="宋体" w:hAnsi="宋体" w:cs="宋体"/>
                <w:color w:val="000000"/>
                <w:sz w:val="18"/>
                <w:szCs w:val="18"/>
              </w:rPr>
              <w:t>2652.23</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1444.88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ascii="宋体" w:hAnsi="宋体" w:cs="宋体"/>
                <w:color w:val="000000"/>
                <w:sz w:val="18"/>
                <w:szCs w:val="18"/>
              </w:rPr>
              <w:t>22734.68</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22734.68</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493" w:type="dxa"/>
        <w:jc w:val="center"/>
        <w:tblLayout w:type="fixed"/>
        <w:tblCellMar>
          <w:top w:w="0" w:type="dxa"/>
          <w:left w:w="0" w:type="dxa"/>
          <w:bottom w:w="0" w:type="dxa"/>
          <w:right w:w="0" w:type="dxa"/>
        </w:tblCellMar>
      </w:tblPr>
      <w:tblGrid>
        <w:gridCol w:w="334"/>
        <w:gridCol w:w="178"/>
        <w:gridCol w:w="519"/>
        <w:gridCol w:w="2216"/>
        <w:gridCol w:w="290"/>
        <w:gridCol w:w="50"/>
        <w:gridCol w:w="660"/>
        <w:gridCol w:w="390"/>
        <w:gridCol w:w="20"/>
        <w:gridCol w:w="557"/>
        <w:gridCol w:w="396"/>
        <w:gridCol w:w="332"/>
        <w:gridCol w:w="50"/>
        <w:gridCol w:w="41"/>
        <w:gridCol w:w="144"/>
        <w:gridCol w:w="425"/>
        <w:gridCol w:w="205"/>
        <w:gridCol w:w="127"/>
        <w:gridCol w:w="431"/>
        <w:gridCol w:w="796"/>
        <w:gridCol w:w="311"/>
        <w:gridCol w:w="21"/>
      </w:tblGrid>
      <w:tr>
        <w:tblPrEx>
          <w:tblCellMar>
            <w:top w:w="0" w:type="dxa"/>
            <w:left w:w="0" w:type="dxa"/>
            <w:bottom w:w="0" w:type="dxa"/>
            <w:right w:w="0" w:type="dxa"/>
          </w:tblCellMar>
        </w:tblPrEx>
        <w:trPr>
          <w:gridAfter w:val="2"/>
          <w:wAfter w:w="332" w:type="dxa"/>
          <w:trHeight w:val="770" w:hRule="atLeast"/>
          <w:jc w:val="center"/>
        </w:trPr>
        <w:tc>
          <w:tcPr>
            <w:tcW w:w="8161" w:type="dxa"/>
            <w:gridSpan w:val="20"/>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4"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216"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070"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285"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9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901" w:type="dxa"/>
            <w:gridSpan w:val="4"/>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559"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gridAfter w:val="1"/>
          <w:wAfter w:w="21" w:type="dxa"/>
          <w:trHeight w:val="362" w:hRule="atLeast"/>
          <w:jc w:val="center"/>
        </w:trPr>
        <w:tc>
          <w:tcPr>
            <w:tcW w:w="3247" w:type="dxa"/>
            <w:gridSpan w:val="4"/>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部门：无极县人力资源和社会保障局</w:t>
            </w:r>
          </w:p>
        </w:tc>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00"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05" w:type="dxa"/>
            <w:gridSpan w:val="4"/>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4"/>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665"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2"/>
          <w:wAfter w:w="332" w:type="dxa"/>
          <w:trHeight w:val="325" w:hRule="atLeast"/>
          <w:jc w:val="center"/>
        </w:trPr>
        <w:tc>
          <w:tcPr>
            <w:tcW w:w="3247"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00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67" w:type="dxa"/>
            <w:gridSpan w:val="3"/>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396"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567" w:type="dxa"/>
            <w:gridSpan w:val="4"/>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425"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763" w:type="dxa"/>
            <w:gridSpan w:val="3"/>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79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After w:val="2"/>
          <w:wAfter w:w="332" w:type="dxa"/>
          <w:trHeight w:val="626"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216"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00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67" w:type="dxa"/>
            <w:gridSpan w:val="3"/>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396"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gridSpan w:val="4"/>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25"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63" w:type="dxa"/>
            <w:gridSpan w:val="3"/>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9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After w:val="2"/>
          <w:wAfter w:w="332" w:type="dxa"/>
          <w:trHeight w:val="391" w:hRule="atLeast"/>
          <w:jc w:val="center"/>
        </w:trPr>
        <w:tc>
          <w:tcPr>
            <w:tcW w:w="3247"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100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6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39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 xml:space="preserve">3 </w:t>
            </w:r>
          </w:p>
        </w:tc>
        <w:tc>
          <w:tcPr>
            <w:tcW w:w="567"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42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76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79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gridAfter w:val="2"/>
          <w:wAfter w:w="332" w:type="dxa"/>
          <w:trHeight w:val="90" w:hRule="atLeast"/>
          <w:jc w:val="center"/>
        </w:trPr>
        <w:tc>
          <w:tcPr>
            <w:tcW w:w="3247"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00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20082.45</w:t>
            </w:r>
          </w:p>
        </w:tc>
        <w:tc>
          <w:tcPr>
            <w:tcW w:w="96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20082.45</w:t>
            </w:r>
          </w:p>
        </w:tc>
        <w:tc>
          <w:tcPr>
            <w:tcW w:w="39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gridSpan w:val="4"/>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425"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763"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79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after="100" w:afterAutospacing="1"/>
              <w:rPr>
                <w:rFonts w:ascii="宋体" w:hAnsi="宋体" w:cs="Arial"/>
                <w:color w:val="000000"/>
                <w:sz w:val="18"/>
                <w:szCs w:val="18"/>
              </w:rPr>
            </w:pPr>
            <w:r>
              <w:rPr>
                <w:rFonts w:hint="eastAsia" w:cs="Arial"/>
                <w:color w:val="000000"/>
                <w:sz w:val="18"/>
                <w:szCs w:val="18"/>
              </w:rPr>
              <w:t>201</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spacing w:after="100" w:afterAutospacing="1"/>
              <w:rPr>
                <w:rFonts w:ascii="宋体" w:hAnsi="宋体" w:cs="Arial"/>
                <w:color w:val="000000"/>
                <w:sz w:val="18"/>
                <w:szCs w:val="18"/>
              </w:rPr>
            </w:pPr>
            <w:r>
              <w:rPr>
                <w:rFonts w:hint="eastAsia" w:cs="Arial"/>
                <w:color w:val="000000"/>
                <w:sz w:val="18"/>
                <w:szCs w:val="18"/>
              </w:rPr>
              <w:t>一般公共服务支出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529.39</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529.39</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after="100" w:afterAutospacing="1"/>
              <w:rPr>
                <w:rFonts w:ascii="宋体" w:hAnsi="宋体" w:cs="Arial"/>
                <w:color w:val="000000"/>
                <w:sz w:val="18"/>
                <w:szCs w:val="18"/>
              </w:rPr>
            </w:pPr>
            <w:r>
              <w:rPr>
                <w:rFonts w:hint="eastAsia" w:cs="Arial"/>
                <w:color w:val="000000"/>
                <w:sz w:val="18"/>
                <w:szCs w:val="18"/>
              </w:rPr>
              <w:t>20110</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spacing w:after="100" w:afterAutospacing="1"/>
              <w:rPr>
                <w:rFonts w:ascii="宋体" w:hAnsi="宋体" w:cs="Arial"/>
                <w:color w:val="000000"/>
                <w:sz w:val="18"/>
                <w:szCs w:val="18"/>
              </w:rPr>
            </w:pPr>
            <w:r>
              <w:rPr>
                <w:rFonts w:hint="eastAsia" w:cs="Arial"/>
                <w:color w:val="000000"/>
                <w:sz w:val="18"/>
                <w:szCs w:val="18"/>
              </w:rPr>
              <w:t>人力资源事务</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529.39</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529.39</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after="100" w:afterAutospacing="1"/>
              <w:rPr>
                <w:rFonts w:ascii="宋体" w:hAnsi="宋体" w:cs="Arial"/>
                <w:color w:val="000000"/>
                <w:sz w:val="18"/>
                <w:szCs w:val="18"/>
              </w:rPr>
            </w:pPr>
            <w:r>
              <w:rPr>
                <w:rFonts w:hint="eastAsia" w:cs="Arial"/>
                <w:color w:val="000000"/>
                <w:sz w:val="18"/>
                <w:szCs w:val="18"/>
              </w:rPr>
              <w:t>2011001</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spacing w:after="100" w:afterAutospacing="1"/>
              <w:rPr>
                <w:rFonts w:ascii="宋体" w:hAnsi="宋体" w:cs="Arial"/>
                <w:color w:val="000000"/>
                <w:sz w:val="18"/>
                <w:szCs w:val="18"/>
              </w:rPr>
            </w:pPr>
            <w:r>
              <w:rPr>
                <w:rFonts w:hint="eastAsia" w:cs="Arial"/>
                <w:color w:val="000000"/>
                <w:sz w:val="18"/>
                <w:szCs w:val="18"/>
              </w:rPr>
              <w:t>行政运行</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450.65</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450.65</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2011099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其他人力资源事务支出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78.74</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78.74</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教育支出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59.65</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59.65</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20503</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职业教育</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40.72</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40.72</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2050303</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技校教育</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36.00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36.00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2050399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其他职业教育支出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4.72</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4.72</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教育费附加安排的支出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18.93</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18.93</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2050999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其他教育费附加安排的支出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18.93</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18.93</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社会保障和就业支出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14,482.60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14,482.60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人力资源和社会保障管理事务</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1,388.35</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1,388.35</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2080102</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一般行政管理事务</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27.90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27.90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2080104</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综合业务管理</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4.66</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4.66</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2080105</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劳动保障监察</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13.25</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13.25</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2080106</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就业管理事务</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27.00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27.00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2080107</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社会保险业务管理事务</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38.51</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38.51</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社会保险经办机构</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734.90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734.90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2080112</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劳动人事争议调解仲裁</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14.00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14.00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2080199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其他人力资源和社会保障管理事务支出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528.12</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528.12</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20805</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行政事业单位离退休</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5,973.35</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5,973.35</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2080502</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事业单位离退休</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7.36</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7.36</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2080505</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机关事业单位基本养老保险缴费支出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5,965.99</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5,965.99</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20807</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就业补助</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802.00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802.00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2080702</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职业培训补贴</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26.00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26.00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2080799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其他就业补助支出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776.00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776.00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退役安置</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2,053.40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2,053.40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2080901</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退役士兵安置</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2,031.91</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2,031.91</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2080999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其他退役安置支出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21.49</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21.49</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20826</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财政对基本养老保险基金的补助</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2082602</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财政对城乡居民基本养老保险基金的补助</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20899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其他社会保障和就业支出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92.31</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92.31</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2089901</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其他社会保障和就业支出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92.31</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92.31</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医疗卫生与计划生育支出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4,945.81</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4,945.81</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21007</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计划生育事务</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2100717</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计划生育服务</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行政事业单位医疗</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2,519.40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2,519.40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2101101</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行政单位医疗</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569.40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569.40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2101102</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事业单位医疗</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1,585.90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1,585.90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2101199</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其他行政事业单位医疗支出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364.09</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364.09</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21012</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财政对基本医疗保险基金的补助</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2101202</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财政对城乡居民基本医疗保险基金的补助</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643"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213</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农林水支出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65.00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65.00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21308</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普惠金融发展支出</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65.00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65.00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371" w:hRule="atLeast"/>
          <w:jc w:val="center"/>
        </w:trPr>
        <w:tc>
          <w:tcPr>
            <w:tcW w:w="103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2130804</w:t>
            </w:r>
          </w:p>
        </w:tc>
        <w:tc>
          <w:tcPr>
            <w:tcW w:w="2216"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创业担保贷款贴息</w:t>
            </w:r>
          </w:p>
        </w:tc>
        <w:tc>
          <w:tcPr>
            <w:tcW w:w="100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65.00</w:t>
            </w:r>
          </w:p>
        </w:tc>
        <w:tc>
          <w:tcPr>
            <w:tcW w:w="967"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65.00</w:t>
            </w:r>
          </w:p>
        </w:tc>
        <w:tc>
          <w:tcPr>
            <w:tcW w:w="3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63"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gridAfter w:val="2"/>
          <w:wAfter w:w="332" w:type="dxa"/>
          <w:trHeight w:val="481" w:hRule="atLeast"/>
          <w:jc w:val="center"/>
        </w:trPr>
        <w:tc>
          <w:tcPr>
            <w:tcW w:w="8161" w:type="dxa"/>
            <w:gridSpan w:val="20"/>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r>
        <w:tblPrEx>
          <w:tblCellMar>
            <w:top w:w="0" w:type="dxa"/>
            <w:left w:w="0" w:type="dxa"/>
            <w:bottom w:w="0" w:type="dxa"/>
            <w:right w:w="0" w:type="dxa"/>
          </w:tblCellMar>
        </w:tblPrEx>
        <w:trPr>
          <w:gridAfter w:val="2"/>
          <w:wAfter w:w="332" w:type="dxa"/>
          <w:trHeight w:val="481" w:hRule="atLeast"/>
          <w:jc w:val="center"/>
        </w:trPr>
        <w:tc>
          <w:tcPr>
            <w:tcW w:w="8161" w:type="dxa"/>
            <w:gridSpan w:val="20"/>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Cs w:val="21"/>
              </w:rPr>
            </w:pPr>
          </w:p>
          <w:p>
            <w:pPr>
              <w:widowControl/>
              <w:spacing w:after="0" w:line="240" w:lineRule="atLeast"/>
              <w:jc w:val="left"/>
              <w:textAlignment w:val="center"/>
              <w:rPr>
                <w:rFonts w:ascii="宋体" w:hAnsi="宋体" w:cs="宋体"/>
                <w:color w:val="000000"/>
                <w:kern w:val="0"/>
                <w:szCs w:val="21"/>
              </w:rPr>
            </w:pP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000" w:type="dxa"/>
        <w:tblInd w:w="15" w:type="dxa"/>
        <w:tblLayout w:type="fixed"/>
        <w:tblCellMar>
          <w:top w:w="0" w:type="dxa"/>
          <w:left w:w="0" w:type="dxa"/>
          <w:bottom w:w="0" w:type="dxa"/>
          <w:right w:w="0" w:type="dxa"/>
        </w:tblCellMar>
      </w:tblPr>
      <w:tblGrid>
        <w:gridCol w:w="288"/>
        <w:gridCol w:w="289"/>
        <w:gridCol w:w="430"/>
        <w:gridCol w:w="374"/>
        <w:gridCol w:w="1115"/>
        <w:gridCol w:w="648"/>
        <w:gridCol w:w="1121"/>
        <w:gridCol w:w="1292"/>
        <w:gridCol w:w="833"/>
        <w:gridCol w:w="112"/>
        <w:gridCol w:w="1022"/>
        <w:gridCol w:w="98"/>
        <w:gridCol w:w="469"/>
        <w:gridCol w:w="425"/>
        <w:gridCol w:w="4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8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4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1"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292"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94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4" w:type="dxa"/>
            <w:gridSpan w:val="6"/>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部门：无极县人力资源和社会保障局</w:t>
            </w:r>
          </w:p>
        </w:tc>
        <w:tc>
          <w:tcPr>
            <w:tcW w:w="1121"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292"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94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5"/>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4265" w:type="dxa"/>
            <w:gridSpan w:val="7"/>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292"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833"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3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567"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425"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4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1"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292"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33"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3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25"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4265"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4265"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21289.80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1978.28</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19311.52</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201</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一般公共服务支出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529.39</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450.65</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78.74</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20110</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人力资源事务</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529.39</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450.65</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78.74</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2011001</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行政运行</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450.65</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450.65</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2011099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其他人力资源事务支出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78.74</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78.74</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教育支出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164.29</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145.36</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18.93</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20503</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职业教育</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50.21</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50.21</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2050303</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技校教育</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38.89</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38.89</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2050399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其他职业教育支出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11.32</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11.32</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教育费附加安排的支出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114.08</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95.15</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18.93</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2050999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其他教育费附加安排的支出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114.08</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95.15</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18.93</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社会保障和就业支出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14,652.41</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1,382.26</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13,270.14</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人力资源和社会保障管理事务</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1,469.96</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1,346.98</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122.98</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2080101</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行政运行</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62.69</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62.69</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2080102</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一般行政管理事务</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27.90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27.90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2080104</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综合业务管理</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4.66</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4.66</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2080105</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劳动保障监察</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35.23</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35.23</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2080106</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就业管理事务</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26.44</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21.44</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2080107</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社会保险业务管理事务</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25.51</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3.55</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21.96</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社会保险经办机构</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743.51</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742.74</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0.77</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2080112</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劳动人事争议调解仲裁</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14.04</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14.04</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2080199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其他人力资源和社会保障管理事务支出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529.97</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529.97</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20805</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行政事业单位离退休</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5,973.35</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20.43</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5,952.92</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2080502</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事业单位离退休</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7.36</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7.36</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2080505</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机关事业单位基本养老保险缴费支出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5,965.99</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13.07</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5,952.92</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20807</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就业补助</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796.00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796.00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2080702</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职业培训补贴</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26.00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2080799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其他就业补助支出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770.00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770.00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退役安置</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2,132.73</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2,132.73</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2080901</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退役士兵安置</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2,031.91</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2,031.91</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2080999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其他退役安置支出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100.82</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100.82</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20826</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财政对基本养老保险基金的补助</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2082602</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财政对城乡居民基本养老保险基金的补助</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20899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其他社会保障和就业支出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107.16</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14.85</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92.31</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2089901</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其他社会保障和就业支出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107.16</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14.85</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92.31</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医疗卫生与计划生育支出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4,945.81</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4,945.81</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21007</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计划生育事务</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2100717</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计划生育服务</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行政事业单位医疗</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2,519.40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2,519.40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2101101</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行政单位医疗</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569.40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569.40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2101102</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事业单位医疗</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1,585.90</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1,585.90</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2101199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其他行政事业单位医疗支出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364.09</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364.09</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21012</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财政对基本医疗保险基金的补助</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2101202</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财政对城乡居民基本医疗保险基金的补助</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212</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城乡社区支出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971.74</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971.74</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21208</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国有土地使用权出让收入及对应专项债务收入安排的支出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971.74</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971.74</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2120899</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其他国有土地使用权出让收入安排的支出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971.74</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971.74</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213</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农林水支出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21308</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普惠金融发展支出</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100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2130804</w:t>
            </w:r>
          </w:p>
        </w:tc>
        <w:tc>
          <w:tcPr>
            <w:tcW w:w="3258" w:type="dxa"/>
            <w:gridSpan w:val="4"/>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创业担保贷款贴息</w:t>
            </w:r>
          </w:p>
        </w:tc>
        <w:tc>
          <w:tcPr>
            <w:tcW w:w="12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c>
          <w:tcPr>
            <w:tcW w:w="83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c>
          <w:tcPr>
            <w:tcW w:w="56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4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420" w:firstLineChars="200"/>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部门：无极县人力资源和社会保障局</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20082.45</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529.39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529.39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164.29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164.29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14652.41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14652.41</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4945.81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4945.81</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971.74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971.74</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26.16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26.16</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20082.45</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21289.8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20318.06</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971.74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2652.23</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1444.88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90.08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1354.8</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325.69</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2326.55</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22734.68</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22734.68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20408.14</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2326.55</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部门：无极县人力资源和社会保障局</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20318.06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1978.28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18339.78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一般公共服务支出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529.39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450.65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78.74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20110</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人力资源事务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529.39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450.65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78.74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2011001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450.65</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450.65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2011099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其他人力资源事务支出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78.74</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78.74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教育支出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164.29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145.36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18.93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20503</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职业教育</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50.21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50.21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2050303</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技校教育</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38.89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38.89</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2050399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其他职业教育支出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11.32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11.32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教育费附加安排的支出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114.08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95.15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18.93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2050999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其他教育费附加安排的支出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114.08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95.15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18.93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14,652.41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1,382.26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13,270.14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人力资源和社会保障管理事务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1,469.96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1,346.98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122.98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62.69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62.69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一般行政管理事务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27.90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27.90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综合业务管理</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4.66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4.66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劳动保障监察</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35.23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35.23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2080106</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就业管理事务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26.44</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21.44</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2080107</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社会保险业务管理事务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25.51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3.55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21.96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2080109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社会保险经办机构</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743.51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742.74</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0.77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2080112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劳动人事争议调解仲裁</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14.04</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14.04</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2080199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其他人力资源和社会保障管理事务支出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529.97</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529.97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行政事业单位离退休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5,973.35</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20.43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5,952.92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2080502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事业单位离退休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7.36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7.36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2080505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机关事业单位基本养老保险缴费支出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5,965.99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13.07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5,952.92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20807</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就业补助</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796.00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796.00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2080702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职业培训补贴</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2080799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其他就业补助支出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770.00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770.00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退役安置</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2,132.73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2,132.73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2080901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退役士兵安置</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2,031.91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2,031.91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2080999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其他退役安置支出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100.82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100.82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20826</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财政对基本养老保险基金的补助</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2082602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财政对城乡居民基本养老保险基金的补助</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4,173.20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107.16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14.85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92.31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2089901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107.16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14.85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92.31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医疗卫生与计划生育支出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4,945.81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4,945.81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21007</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计划生育事务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2100717</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计划生育服务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0.30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行政事业单位医疗</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2,519.40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2,519.40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行政单位医疗</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569.40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569.40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事业单位医疗</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1,585.90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1,585.90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2101199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其他行政事业单位医疗支出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364.09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364.09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财政对基本医疗保险基金的补助</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2101202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财政对城乡居民基本医疗保险基金的补助</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2,426.11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213</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农林水支出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21308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普惠金融发展支出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2130804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8"/>
                <w:szCs w:val="18"/>
              </w:rPr>
            </w:pPr>
            <w:r>
              <w:rPr>
                <w:rFonts w:hint="eastAsia" w:cs="Arial"/>
                <w:color w:val="000000"/>
                <w:sz w:val="18"/>
                <w:szCs w:val="18"/>
              </w:rPr>
              <w:t>创业担保贷款贴息</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8"/>
                <w:szCs w:val="18"/>
              </w:rPr>
            </w:pPr>
            <w:r>
              <w:rPr>
                <w:rFonts w:hint="eastAsia" w:cs="Arial"/>
                <w:color w:val="000000"/>
                <w:sz w:val="18"/>
                <w:szCs w:val="18"/>
              </w:rPr>
              <w:t>26.16</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部门：无极县人力资源和社会保障局</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1109.44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738.28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726.46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92.45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4.43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11.92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55.29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ascii="宋体" w:hAnsi="宋体" w:cs="宋体"/>
                <w:color w:val="000000"/>
                <w:sz w:val="20"/>
                <w:szCs w:val="20"/>
              </w:rPr>
              <w:t>101.7</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175.34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0.74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ascii="宋体" w:hAnsi="宋体" w:cs="宋体"/>
                <w:color w:val="000000"/>
                <w:sz w:val="20"/>
                <w:szCs w:val="20"/>
              </w:rPr>
              <w:t>6.55</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22.34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8.07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ascii="宋体" w:hAnsi="宋体" w:cs="宋体"/>
                <w:color w:val="000000"/>
                <w:sz w:val="20"/>
                <w:szCs w:val="20"/>
              </w:rPr>
              <w:t>95.15</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4.52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1.88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2.32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8.04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14.08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8.34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37.8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110.4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28.85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0.79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8.49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537.96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20.36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12.55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8.99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1138.29</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839.99</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部门：无极县人力资源和社会保障局</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296"/>
        <w:gridCol w:w="191"/>
        <w:gridCol w:w="479"/>
        <w:gridCol w:w="669"/>
        <w:gridCol w:w="1357"/>
        <w:gridCol w:w="1015"/>
        <w:gridCol w:w="828"/>
        <w:gridCol w:w="373"/>
        <w:gridCol w:w="761"/>
        <w:gridCol w:w="431"/>
        <w:gridCol w:w="419"/>
        <w:gridCol w:w="773"/>
        <w:gridCol w:w="220"/>
        <w:gridCol w:w="1048"/>
      </w:tblGrid>
      <w:tr>
        <w:tblPrEx>
          <w:tblCellMar>
            <w:top w:w="0" w:type="dxa"/>
            <w:left w:w="0" w:type="dxa"/>
            <w:bottom w:w="0" w:type="dxa"/>
            <w:right w:w="0" w:type="dxa"/>
          </w:tblCellMar>
        </w:tblPrEx>
        <w:trPr>
          <w:trHeight w:val="707" w:hRule="atLeast"/>
        </w:trPr>
        <w:tc>
          <w:tcPr>
            <w:tcW w:w="8860" w:type="dxa"/>
            <w:gridSpan w:val="14"/>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37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28"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373"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400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部门：无极县人力资源和社会保障局</w:t>
            </w:r>
          </w:p>
        </w:tc>
        <w:tc>
          <w:tcPr>
            <w:tcW w:w="828"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373"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4"/>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992"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1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2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2977"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04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026"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1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34"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850"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93"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4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026"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1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34"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3"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026"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1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34"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3"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992"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15"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85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99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4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992"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1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rPr>
              <w:t>2,326.55</w:t>
            </w: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b/>
                <w:color w:val="000000"/>
                <w:szCs w:val="21"/>
              </w:rPr>
            </w:pPr>
            <w:r>
              <w:rPr>
                <w:rFonts w:hint="eastAsia" w:ascii="宋体" w:hAnsi="宋体" w:cs="宋体"/>
                <w:b/>
                <w:color w:val="000000"/>
                <w:szCs w:val="21"/>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rPr>
              <w:t>971.74</w:t>
            </w:r>
          </w:p>
        </w:tc>
        <w:tc>
          <w:tcPr>
            <w:tcW w:w="85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b/>
                <w:color w:val="000000"/>
                <w:szCs w:val="21"/>
              </w:rPr>
            </w:pPr>
            <w:r>
              <w:rPr>
                <w:rFonts w:hint="eastAsia" w:ascii="宋体" w:hAnsi="宋体" w:cs="宋体"/>
                <w:b/>
                <w:color w:val="000000"/>
                <w:szCs w:val="21"/>
              </w:rPr>
              <w:t>0.00</w:t>
            </w:r>
          </w:p>
        </w:tc>
        <w:tc>
          <w:tcPr>
            <w:tcW w:w="99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rPr>
              <w:t>971.74</w:t>
            </w:r>
          </w:p>
        </w:tc>
        <w:tc>
          <w:tcPr>
            <w:tcW w:w="104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rPr>
              <w:t>1,354.80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212</w:t>
            </w:r>
          </w:p>
        </w:tc>
        <w:tc>
          <w:tcPr>
            <w:tcW w:w="2026" w:type="dxa"/>
            <w:gridSpan w:val="2"/>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城乡社区支出</w:t>
            </w:r>
          </w:p>
        </w:tc>
        <w:tc>
          <w:tcPr>
            <w:tcW w:w="10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2,326.55</w:t>
            </w: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971.74</w:t>
            </w:r>
          </w:p>
        </w:tc>
        <w:tc>
          <w:tcPr>
            <w:tcW w:w="85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9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971.74</w:t>
            </w:r>
          </w:p>
        </w:tc>
        <w:tc>
          <w:tcPr>
            <w:tcW w:w="10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1,354.80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21208</w:t>
            </w:r>
          </w:p>
        </w:tc>
        <w:tc>
          <w:tcPr>
            <w:tcW w:w="2026" w:type="dxa"/>
            <w:gridSpan w:val="2"/>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国有土地使用权出让收入及对应专项债务收入安排的支出</w:t>
            </w:r>
          </w:p>
        </w:tc>
        <w:tc>
          <w:tcPr>
            <w:tcW w:w="10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2,326.55</w:t>
            </w: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971.74</w:t>
            </w:r>
          </w:p>
        </w:tc>
        <w:tc>
          <w:tcPr>
            <w:tcW w:w="85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9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971.74</w:t>
            </w:r>
          </w:p>
        </w:tc>
        <w:tc>
          <w:tcPr>
            <w:tcW w:w="10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1,354.80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2120899</w:t>
            </w:r>
          </w:p>
        </w:tc>
        <w:tc>
          <w:tcPr>
            <w:tcW w:w="2026" w:type="dxa"/>
            <w:gridSpan w:val="2"/>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其他国有土地使用权出让收入安排的支出</w:t>
            </w:r>
          </w:p>
        </w:tc>
        <w:tc>
          <w:tcPr>
            <w:tcW w:w="10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2,326.55</w:t>
            </w: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971.74</w:t>
            </w:r>
          </w:p>
        </w:tc>
        <w:tc>
          <w:tcPr>
            <w:tcW w:w="85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9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971.74</w:t>
            </w:r>
          </w:p>
        </w:tc>
        <w:tc>
          <w:tcPr>
            <w:tcW w:w="10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1,354.80</w:t>
            </w:r>
          </w:p>
        </w:tc>
      </w:tr>
      <w:tr>
        <w:tblPrEx>
          <w:tblCellMar>
            <w:top w:w="0" w:type="dxa"/>
            <w:left w:w="0" w:type="dxa"/>
            <w:bottom w:w="0" w:type="dxa"/>
            <w:right w:w="0" w:type="dxa"/>
          </w:tblCellMar>
        </w:tblPrEx>
        <w:trPr>
          <w:trHeight w:val="324" w:hRule="atLeast"/>
        </w:trPr>
        <w:tc>
          <w:tcPr>
            <w:tcW w:w="8860" w:type="dxa"/>
            <w:gridSpan w:val="14"/>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tblInd w:w="15"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编制单位：无极县人力资源和社会保障局</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注：本表反映部门本年度国有资本经营预算财政拨款支出情况。本部门本年度无相关支出情况，按要求以空表列示</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编制单位：无极县人力资源和社会保障局</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170.48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170.48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170.48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96.84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96.84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96.84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73.64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73.64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73.46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151.88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151.88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151.88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96.1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96.1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96.1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55.78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55.78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55.78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sectPr>
          <w:pgSz w:w="11906" w:h="16838"/>
          <w:pgMar w:top="2098" w:right="1474" w:bottom="1984" w:left="1588" w:header="851" w:footer="992" w:gutter="0"/>
          <w:cols w:space="720" w:num="1"/>
          <w:docGrid w:type="lines" w:linePitch="312" w:charSpace="0"/>
        </w:sectPr>
      </w:pPr>
      <w:r>
        <w:rPr>
          <w:rFonts w:hint="eastAsia"/>
        </w:rPr>
        <w:tab/>
      </w: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图片 4" o:spid="_x0000_s1049" o:spt="75" type="#_x0000_t75" style="position:absolute;left:0pt;margin-left:-79.3pt;margin-top:-105.2pt;height:840.95pt;width:594.5pt;z-index:-251653120;mso-width-relative:page;mso-height-relative:page;" filled="f" o:preferrelative="t" stroked="f" coordsize="21600,21600">
            <v:path/>
            <v:fill on="f" focussize="0,0"/>
            <v:stroke on="f" joinstyle="miter"/>
            <v:imagedata r:id="rId5" o:title=""/>
            <o:lock v:ext="edit" aspectratio="t"/>
          </v:shape>
        </w:pict>
      </w:r>
      <w:r>
        <w:rPr>
          <w:sz w:val="72"/>
        </w:rPr>
        <w:pict>
          <v:shape id="_x0000_s1035" o:spid="_x0000_s1035" o:spt="202" type="#_x0000_t202" style="position:absolute;left:0pt;margin-left:-78.5pt;margin-top:232.8pt;height:159.1pt;width:596.2pt;z-index:251652096;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本部门2018年度收支总计（含结转和结余）22734.68万元。与2017年度决算相比，收</w:t>
      </w:r>
      <w:r>
        <w:rPr>
          <w:rFonts w:hint="eastAsia" w:ascii="宋体" w:hAnsi="宋体" w:cs="宋体"/>
          <w:sz w:val="32"/>
          <w:szCs w:val="32"/>
        </w:rPr>
        <w:t>支各</w:t>
      </w:r>
      <w:r>
        <w:rPr>
          <w:rFonts w:hint="eastAsia" w:ascii="仿宋_GB2312" w:eastAsia="仿宋_GB2312" w:cs="DengXian-Regular"/>
          <w:sz w:val="32"/>
          <w:szCs w:val="32"/>
        </w:rPr>
        <w:t>增加</w:t>
      </w:r>
      <w:r>
        <w:rPr>
          <w:rFonts w:hint="eastAsia" w:ascii="宋体" w:hAnsi="宋体" w:cs="宋体"/>
          <w:sz w:val="32"/>
          <w:szCs w:val="32"/>
        </w:rPr>
        <w:t>11681.27</w:t>
      </w:r>
      <w:r>
        <w:rPr>
          <w:rFonts w:hint="eastAsia" w:ascii="仿宋_GB2312" w:eastAsia="仿宋_GB2312" w:cs="DengXian-Regular"/>
          <w:sz w:val="32"/>
          <w:szCs w:val="32"/>
        </w:rPr>
        <w:t>万元，增长105.68%，</w:t>
      </w:r>
      <w:r>
        <w:rPr>
          <w:rFonts w:hint="eastAsia" w:ascii="宋体" w:hAnsi="宋体" w:cs="宋体"/>
          <w:sz w:val="32"/>
          <w:szCs w:val="32"/>
        </w:rPr>
        <w:t>主要原因是社会保障和就业支出。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本部门2018年度本年收入合计20082.45万元，其中：财政拨款收入20082.45万元，占100%；事业收入0万元，占0%；经营收入0万元，占0%；其他收入0万元，占0%。如图所示：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pict>
          <v:shape id="图片 10" o:spid="_x0000_s1048" o:spt="75" type="#_x0000_t75" style="position:absolute;left:0pt;margin-left:33.85pt;margin-top:-178.25pt;height:201.75pt;width:346.5pt;z-index:251655168;mso-width-relative:page;mso-height-relative:page;" filled="f" o:preferrelative="t" stroked="f" coordsize="21600,21600">
            <v:path/>
            <v:fill on="f" focussize="0,0"/>
            <v:stroke on="f" joinstyle="miter"/>
            <v:imagedata r:id="rId6" o:title=""/>
            <o:lock v:ext="edit" aspectratio="t"/>
          </v:shape>
        </w:pic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本部门2018年度本年支出合计2128</w:t>
      </w:r>
      <w:r>
        <w:rPr>
          <w:rFonts w:hint="eastAsia" w:ascii="宋体" w:hAnsi="宋体" w:cs="宋体"/>
          <w:sz w:val="32"/>
          <w:szCs w:val="32"/>
        </w:rPr>
        <w:t>9.8</w:t>
      </w:r>
      <w:r>
        <w:rPr>
          <w:rFonts w:hint="eastAsia" w:ascii="仿宋_GB2312" w:eastAsia="仿宋_GB2312" w:cs="DengXian-Regular"/>
          <w:sz w:val="32"/>
          <w:szCs w:val="32"/>
        </w:rPr>
        <w:t>万元，其中：基本支出1</w:t>
      </w:r>
      <w:r>
        <w:rPr>
          <w:rFonts w:hint="eastAsia" w:ascii="宋体" w:hAnsi="宋体" w:cs="宋体"/>
          <w:sz w:val="32"/>
          <w:szCs w:val="32"/>
        </w:rPr>
        <w:t>978.28</w:t>
      </w:r>
      <w:r>
        <w:rPr>
          <w:rFonts w:hint="eastAsia" w:ascii="仿宋_GB2312" w:eastAsia="仿宋_GB2312" w:cs="DengXian-Regular"/>
          <w:sz w:val="32"/>
          <w:szCs w:val="32"/>
        </w:rPr>
        <w:t>万元，占</w:t>
      </w:r>
      <w:r>
        <w:rPr>
          <w:rFonts w:hint="eastAsia" w:ascii="宋体" w:hAnsi="宋体" w:cs="宋体"/>
          <w:sz w:val="32"/>
          <w:szCs w:val="32"/>
        </w:rPr>
        <w:t>9.29</w:t>
      </w:r>
      <w:r>
        <w:rPr>
          <w:rFonts w:hint="eastAsia" w:ascii="仿宋_GB2312" w:eastAsia="仿宋_GB2312" w:cs="DengXian-Regular"/>
          <w:sz w:val="32"/>
          <w:szCs w:val="32"/>
        </w:rPr>
        <w:t>%；项目支出1</w:t>
      </w:r>
      <w:r>
        <w:rPr>
          <w:rFonts w:hint="eastAsia" w:ascii="宋体" w:hAnsi="宋体" w:cs="宋体"/>
          <w:sz w:val="32"/>
          <w:szCs w:val="32"/>
        </w:rPr>
        <w:t>9311.52</w:t>
      </w:r>
      <w:r>
        <w:rPr>
          <w:rFonts w:hint="eastAsia" w:ascii="仿宋_GB2312" w:eastAsia="仿宋_GB2312" w:cs="DengXian-Regular"/>
          <w:sz w:val="32"/>
          <w:szCs w:val="32"/>
        </w:rPr>
        <w:t>万元，占</w:t>
      </w:r>
      <w:r>
        <w:rPr>
          <w:rFonts w:hint="eastAsia" w:ascii="宋体" w:hAnsi="宋体" w:cs="宋体"/>
          <w:sz w:val="32"/>
          <w:szCs w:val="32"/>
        </w:rPr>
        <w:t>90.71</w:t>
      </w:r>
      <w:r>
        <w:rPr>
          <w:rFonts w:hint="eastAsia" w:ascii="仿宋_GB2312" w:eastAsia="仿宋_GB2312" w:cs="DengXian-Regular"/>
          <w:sz w:val="32"/>
          <w:szCs w:val="32"/>
        </w:rPr>
        <w:t>%；经营支出0万元，占0%。如图所示：</w:t>
      </w:r>
    </w:p>
    <w:p>
      <w:pPr>
        <w:adjustRightInd w:val="0"/>
        <w:snapToGrid w:val="0"/>
        <w:spacing w:after="0" w:line="580" w:lineRule="exact"/>
        <w:ind w:firstLine="1260" w:firstLineChars="600"/>
        <w:rPr>
          <w:rFonts w:ascii="仿宋_GB2312" w:eastAsia="仿宋_GB2312" w:cs="DengXian-Regular"/>
          <w:sz w:val="32"/>
          <w:szCs w:val="32"/>
        </w:rPr>
      </w:pPr>
      <w:r>
        <w:rPr>
          <w:rFonts w:ascii="黑体" w:eastAsia="黑体"/>
        </w:rPr>
        <w:pict>
          <v:shape id="图片 13" o:spid="_x0000_s1038" o:spt="75" type="#_x0000_t75" style="position:absolute;left:0pt;margin-left:32.35pt;margin-top:27.4pt;height:204pt;width:387.75pt;z-index:251656192;mso-width-relative:page;mso-height-relative:page;" filled="f" o:preferrelative="t" stroked="f" coordsize="21600,21600">
            <v:path/>
            <v:fill on="f" focussize="0,0"/>
            <v:stroke on="f" joinstyle="miter"/>
            <v:imagedata r:id="rId7" o:title=""/>
            <o:lock v:ext="edit" aspectratio="t"/>
          </v:shape>
        </w:pict>
      </w:r>
      <w:r>
        <w:pict>
          <v:group id="组合 1035" o:spid="_x0000_s1047" o:spt="203" style="position:absolute;left:0pt;margin-left:59.55pt;margin-top:6.75pt;height:230.55pt;width:274.45pt;z-index:-251657216;mso-width-relative:page;mso-height-relative:page;" coordorigin="7032,190738" coordsize="4600,3607">
            <o:lock v:ext="edit"/>
            <v:shape id="_x0000_s1044" o:spid="_x0000_s1044" o:spt="75" type="#_x0000_t75" style="position:absolute;left:7032;top:190738;height:2947;width:4600;" filled="f" o:preferrelative="t" stroked="f" coordsize="21600,21600">
              <v:path/>
              <v:fill on="f" focussize="0,0"/>
              <v:stroke on="f" joinstyle="miter"/>
              <v:imagedata r:id="rId8" cropleft="2131f" croptop="1490f" cropright="1218f" cropbottom="5217f" o:title=""/>
              <o:lock v:ext="edit" aspectratio="t"/>
            </v:shape>
            <v:shape id="_x0000_s1045" o:spid="_x0000_s1045" o:spt="202" type="#_x0000_t202" style="position:absolute;left:7289;top:193685;height:660;width:4169;" o:preferrelative="t" stroked="f" coordsize="21600,21600">
              <v:path/>
              <v:fill focussize="0,0"/>
              <v:stroke on="f"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楷体" w:hAnsi="楷体" w:eastAsia="楷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本部门2018年度形成的财政拨款收支均为一般公共预算财政拨款，其中一般公共预算财政拨款本年收入20082.45万元,比2017年度增加</w:t>
      </w:r>
      <w:r>
        <w:rPr>
          <w:rFonts w:hint="eastAsia" w:ascii="宋体" w:hAnsi="宋体" w:cs="宋体"/>
          <w:sz w:val="32"/>
          <w:szCs w:val="32"/>
        </w:rPr>
        <w:t>9231.43</w:t>
      </w:r>
      <w:r>
        <w:rPr>
          <w:rFonts w:hint="eastAsia" w:ascii="仿宋_GB2312" w:eastAsia="仿宋_GB2312" w:cs="DengXian-Regular"/>
          <w:sz w:val="32"/>
          <w:szCs w:val="32"/>
        </w:rPr>
        <w:t>万元，增长85.07%，主要是</w:t>
      </w:r>
      <w:r>
        <w:rPr>
          <w:rFonts w:hint="eastAsia" w:ascii="宋体" w:hAnsi="宋体" w:cs="宋体"/>
          <w:sz w:val="32"/>
          <w:szCs w:val="32"/>
        </w:rPr>
        <w:t>社会保障和就业收入</w:t>
      </w:r>
      <w:r>
        <w:rPr>
          <w:rFonts w:hint="eastAsia" w:ascii="仿宋_GB2312" w:eastAsia="仿宋_GB2312" w:cs="DengXian-Regular"/>
          <w:sz w:val="32"/>
          <w:szCs w:val="32"/>
        </w:rPr>
        <w:t>；本年支出2128</w:t>
      </w:r>
      <w:r>
        <w:rPr>
          <w:rFonts w:hint="eastAsia" w:ascii="宋体" w:hAnsi="宋体" w:cs="宋体"/>
          <w:sz w:val="32"/>
          <w:szCs w:val="32"/>
        </w:rPr>
        <w:t>9.8</w:t>
      </w:r>
      <w:r>
        <w:rPr>
          <w:rFonts w:hint="eastAsia" w:ascii="仿宋_GB2312" w:eastAsia="仿宋_GB2312" w:cs="DengXian-Regular"/>
          <w:sz w:val="32"/>
          <w:szCs w:val="32"/>
        </w:rPr>
        <w:t>万元，增加1288</w:t>
      </w:r>
      <w:r>
        <w:rPr>
          <w:rFonts w:hint="eastAsia" w:ascii="宋体" w:hAnsi="宋体" w:cs="宋体"/>
          <w:sz w:val="32"/>
          <w:szCs w:val="32"/>
        </w:rPr>
        <w:t>9.43</w:t>
      </w:r>
      <w:r>
        <w:rPr>
          <w:rFonts w:hint="eastAsia" w:ascii="仿宋_GB2312" w:eastAsia="仿宋_GB2312" w:cs="DengXian-Regular"/>
          <w:sz w:val="32"/>
          <w:szCs w:val="32"/>
        </w:rPr>
        <w:t>万元，增长153.44%，主要是</w:t>
      </w:r>
      <w:r>
        <w:rPr>
          <w:rFonts w:hint="eastAsia" w:ascii="宋体" w:hAnsi="宋体" w:cs="宋体"/>
          <w:sz w:val="32"/>
          <w:szCs w:val="32"/>
        </w:rPr>
        <w:t>社会保障和就业支出</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highlight w:val="cyan"/>
        </w:rPr>
      </w:pPr>
      <w:r>
        <w:rPr>
          <w:rFonts w:ascii="仿宋_GB2312" w:eastAsia="仿宋_GB2312" w:cs="DengXian-Regular"/>
          <w:sz w:val="32"/>
          <w:szCs w:val="32"/>
          <w:highlight w:val="cyan"/>
        </w:rPr>
        <w:pict>
          <v:shape id="_x0000_s1040" o:spid="_x0000_s1040" o:spt="75" type="#_x0000_t75" style="position:absolute;left:0pt;margin-left:33.85pt;margin-top:7.1pt;height:235.5pt;width:360.75pt;z-index:251657216;mso-width-relative:page;mso-height-relative:page;" filled="f" o:preferrelative="t" stroked="f" coordsize="21600,21600">
            <v:path/>
            <v:fill on="f" focussize="0,0"/>
            <v:stroke on="f" joinstyle="miter"/>
            <v:imagedata r:id="rId9" o:title=""/>
            <o:lock v:ext="edit" aspectratio="t"/>
          </v:shape>
        </w:pic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本部门2018年度一般公共预算财政拨款收入20082.45万元，完成年初预算的84.46%,比年初预算减少36</w:t>
      </w:r>
      <w:r>
        <w:rPr>
          <w:rFonts w:hint="eastAsia" w:ascii="宋体" w:hAnsi="宋体" w:cs="宋体"/>
          <w:sz w:val="32"/>
          <w:szCs w:val="32"/>
        </w:rPr>
        <w:t>95.35</w:t>
      </w:r>
      <w:r>
        <w:rPr>
          <w:rFonts w:hint="eastAsia" w:ascii="仿宋_GB2312" w:eastAsia="仿宋_GB2312" w:cs="DengXian-Regular"/>
          <w:sz w:val="32"/>
          <w:szCs w:val="32"/>
        </w:rPr>
        <w:t>万元，决算数小于预算数主要原因是</w:t>
      </w:r>
      <w:r>
        <w:rPr>
          <w:rFonts w:hint="eastAsia" w:ascii="宋体" w:hAnsi="宋体" w:cs="宋体"/>
          <w:sz w:val="32"/>
          <w:szCs w:val="32"/>
        </w:rPr>
        <w:t>减少开支</w:t>
      </w:r>
      <w:r>
        <w:rPr>
          <w:rFonts w:hint="eastAsia" w:ascii="仿宋_GB2312" w:eastAsia="仿宋_GB2312" w:cs="DengXian-Regular"/>
          <w:sz w:val="32"/>
          <w:szCs w:val="32"/>
        </w:rPr>
        <w:t>；本年支出2128</w:t>
      </w:r>
      <w:r>
        <w:rPr>
          <w:rFonts w:hint="eastAsia" w:ascii="宋体" w:hAnsi="宋体" w:cs="宋体"/>
          <w:sz w:val="32"/>
          <w:szCs w:val="32"/>
        </w:rPr>
        <w:t>9.8</w:t>
      </w:r>
      <w:r>
        <w:rPr>
          <w:rFonts w:hint="eastAsia" w:ascii="仿宋_GB2312" w:eastAsia="仿宋_GB2312" w:cs="DengXian-Regular"/>
          <w:sz w:val="32"/>
          <w:szCs w:val="32"/>
        </w:rPr>
        <w:t>万元，完成年初预算的8</w:t>
      </w:r>
      <w:r>
        <w:rPr>
          <w:rFonts w:hint="eastAsia" w:ascii="宋体" w:hAnsi="宋体" w:cs="宋体"/>
          <w:sz w:val="32"/>
          <w:szCs w:val="32"/>
        </w:rPr>
        <w:t>9.54</w:t>
      </w:r>
      <w:r>
        <w:rPr>
          <w:rFonts w:hint="eastAsia" w:ascii="仿宋_GB2312" w:eastAsia="仿宋_GB2312" w:cs="DengXian-Regular"/>
          <w:sz w:val="32"/>
          <w:szCs w:val="32"/>
        </w:rPr>
        <w:t>%,比年初预算减少2488万元，决算数小于预算数主要原因是</w:t>
      </w:r>
      <w:r>
        <w:rPr>
          <w:rFonts w:hint="eastAsia" w:ascii="宋体" w:hAnsi="宋体" w:cs="宋体"/>
          <w:sz w:val="32"/>
          <w:szCs w:val="32"/>
        </w:rPr>
        <w:t>减少开支</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pict>
          <v:shape id="图片 31" o:spid="_x0000_s1046" o:spt="75" type="#_x0000_t75" style="position:absolute;left:0pt;margin-left:33.85pt;margin-top:10.85pt;height:275.25pt;width:360.75pt;z-index:251658240;mso-width-relative:page;mso-height-relative:page;" filled="f" o:preferrelative="t" stroked="f" coordsize="21600,21600">
            <v:path/>
            <v:fill on="f" focussize="0,0"/>
            <v:stroke on="f" joinstyle="miter"/>
            <v:imagedata r:id="rId10" o:title=""/>
            <o:lock v:ext="edit" aspectratio="t"/>
          </v:shape>
        </w:pic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rPr>
          <w:rFonts w:hint="eastAsia" w:ascii="楷体_GB2312" w:eastAsia="楷体_GB2312" w:cs="DengXian-Bold"/>
          <w:b/>
          <w:bCs/>
          <w:sz w:val="32"/>
          <w:szCs w:val="32"/>
        </w:rPr>
      </w:pPr>
    </w:p>
    <w:p>
      <w:pPr>
        <w:adjustRightInd w:val="0"/>
        <w:snapToGrid w:val="0"/>
        <w:spacing w:after="0" w:line="580" w:lineRule="exact"/>
        <w:rPr>
          <w:rFonts w:hint="eastAsia" w:ascii="楷体_GB2312" w:eastAsia="楷体_GB2312" w:cs="DengXian-Bold"/>
          <w:b/>
          <w:bCs/>
          <w:sz w:val="32"/>
          <w:szCs w:val="32"/>
        </w:rPr>
      </w:pPr>
    </w:p>
    <w:p>
      <w:pPr>
        <w:numPr>
          <w:ilvl w:val="0"/>
          <w:numId w:val="1"/>
        </w:numPr>
        <w:adjustRightInd w:val="0"/>
        <w:snapToGrid w:val="0"/>
        <w:spacing w:after="0" w:line="580" w:lineRule="exact"/>
        <w:rPr>
          <w:rFonts w:hint="eastAsia"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年度财政拨款支出2128</w:t>
      </w:r>
      <w:r>
        <w:rPr>
          <w:rFonts w:hint="eastAsia" w:ascii="宋体" w:hAnsi="宋体" w:cs="宋体"/>
          <w:sz w:val="32"/>
          <w:szCs w:val="32"/>
        </w:rPr>
        <w:t>9.06</w:t>
      </w:r>
      <w:r>
        <w:rPr>
          <w:rFonts w:hint="eastAsia" w:ascii="仿宋_GB2312" w:eastAsia="仿宋_GB2312" w:cs="DengXian-Regular"/>
          <w:sz w:val="32"/>
          <w:szCs w:val="32"/>
        </w:rPr>
        <w:t>万元，主要用于以下方面：一般公共服务（类）支出52</w:t>
      </w:r>
      <w:r>
        <w:rPr>
          <w:rFonts w:hint="eastAsia" w:ascii="宋体" w:hAnsi="宋体" w:cs="宋体"/>
          <w:sz w:val="32"/>
          <w:szCs w:val="32"/>
        </w:rPr>
        <w:t>9.39</w:t>
      </w:r>
      <w:r>
        <w:rPr>
          <w:rFonts w:hint="eastAsia" w:ascii="仿宋_GB2312" w:eastAsia="仿宋_GB2312" w:cs="DengXian-Regular"/>
          <w:sz w:val="32"/>
          <w:szCs w:val="32"/>
        </w:rPr>
        <w:t>万元，占</w:t>
      </w:r>
      <w:r>
        <w:rPr>
          <w:rFonts w:hint="eastAsia" w:ascii="宋体" w:hAnsi="宋体" w:cs="宋体"/>
          <w:sz w:val="32"/>
          <w:szCs w:val="32"/>
        </w:rPr>
        <w:t>24.87</w:t>
      </w:r>
      <w:r>
        <w:rPr>
          <w:rFonts w:hint="eastAsia" w:ascii="仿宋_GB2312" w:eastAsia="仿宋_GB2312" w:cs="DengXian-Regular"/>
          <w:sz w:val="32"/>
          <w:szCs w:val="32"/>
        </w:rPr>
        <w:t>%；</w:t>
      </w:r>
      <w:r>
        <w:rPr>
          <w:rFonts w:hint="eastAsia" w:ascii="宋体" w:hAnsi="宋体" w:cs="宋体"/>
          <w:sz w:val="32"/>
          <w:szCs w:val="32"/>
        </w:rPr>
        <w:t>城乡社区</w:t>
      </w:r>
      <w:r>
        <w:rPr>
          <w:rFonts w:hint="eastAsia" w:ascii="仿宋_GB2312" w:eastAsia="仿宋_GB2312" w:cs="DengXian-Regular"/>
          <w:sz w:val="32"/>
          <w:szCs w:val="32"/>
        </w:rPr>
        <w:t>（类）支出</w:t>
      </w:r>
      <w:r>
        <w:rPr>
          <w:rFonts w:hint="eastAsia" w:ascii="宋体" w:hAnsi="宋体" w:cs="宋体"/>
          <w:sz w:val="32"/>
          <w:szCs w:val="32"/>
        </w:rPr>
        <w:t>971.74</w:t>
      </w:r>
      <w:r>
        <w:rPr>
          <w:rFonts w:hint="eastAsia" w:ascii="仿宋_GB2312" w:eastAsia="仿宋_GB2312" w:cs="DengXian-Regular"/>
          <w:sz w:val="32"/>
          <w:szCs w:val="32"/>
        </w:rPr>
        <w:t>万元，占4.56%；教育（类）支出164.2</w:t>
      </w:r>
      <w:r>
        <w:rPr>
          <w:rFonts w:hint="eastAsia" w:ascii="宋体" w:hAnsi="宋体" w:cs="宋体"/>
          <w:sz w:val="32"/>
          <w:szCs w:val="32"/>
        </w:rPr>
        <w:t>9</w:t>
      </w:r>
      <w:r>
        <w:rPr>
          <w:rFonts w:hint="eastAsia" w:ascii="仿宋_GB2312" w:eastAsia="仿宋_GB2312" w:cs="DengXian-Regular"/>
          <w:sz w:val="32"/>
          <w:szCs w:val="32"/>
        </w:rPr>
        <w:t>万元，占0.78%；</w:t>
      </w:r>
      <w:r>
        <w:rPr>
          <w:rFonts w:hint="eastAsia" w:ascii="宋体" w:hAnsi="宋体" w:cs="宋体"/>
          <w:sz w:val="32"/>
          <w:szCs w:val="32"/>
        </w:rPr>
        <w:t>农林水</w:t>
      </w:r>
      <w:r>
        <w:rPr>
          <w:rFonts w:hint="eastAsia" w:ascii="仿宋_GB2312" w:eastAsia="仿宋_GB2312" w:cs="DengXian-Regular"/>
          <w:sz w:val="32"/>
          <w:szCs w:val="32"/>
        </w:rPr>
        <w:t>支出26.16万元，占 0.12%；社会保障和就业（类）支出 14652.41万元，占68.82%；</w:t>
      </w:r>
      <w:r>
        <w:rPr>
          <w:rFonts w:hint="eastAsia" w:ascii="宋体" w:hAnsi="宋体" w:cs="宋体"/>
          <w:sz w:val="32"/>
          <w:szCs w:val="32"/>
        </w:rPr>
        <w:t>医疗卫生与计划生育</w:t>
      </w:r>
      <w:r>
        <w:rPr>
          <w:rFonts w:hint="eastAsia" w:ascii="仿宋_GB2312" w:eastAsia="仿宋_GB2312" w:cs="DengXian-Regular"/>
          <w:sz w:val="32"/>
          <w:szCs w:val="32"/>
        </w:rPr>
        <w:t>（类）支出4</w:t>
      </w:r>
      <w:r>
        <w:rPr>
          <w:rFonts w:hint="eastAsia" w:ascii="宋体" w:hAnsi="宋体" w:cs="宋体"/>
          <w:sz w:val="32"/>
          <w:szCs w:val="32"/>
        </w:rPr>
        <w:t>945.81</w:t>
      </w:r>
      <w:r>
        <w:rPr>
          <w:rFonts w:hint="eastAsia" w:ascii="仿宋_GB2312" w:eastAsia="仿宋_GB2312" w:cs="DengXian-Regular"/>
          <w:sz w:val="32"/>
          <w:szCs w:val="32"/>
        </w:rPr>
        <w:t>万元，占 23.23%。</w:t>
      </w:r>
    </w:p>
    <w:p>
      <w:pPr>
        <w:adjustRightInd w:val="0"/>
        <w:snapToGrid w:val="0"/>
        <w:spacing w:after="0" w:line="580" w:lineRule="exact"/>
        <w:ind w:left="420" w:leftChars="200"/>
        <w:rPr>
          <w:rFonts w:ascii="楷体_GB2312" w:eastAsia="楷体_GB2312" w:cs="DengXian-Bold"/>
          <w:b/>
          <w:bCs/>
          <w:sz w:val="32"/>
          <w:szCs w:val="32"/>
        </w:rPr>
      </w:pPr>
      <w:r>
        <w:rPr>
          <w:rFonts w:ascii="楷体_GB2312" w:eastAsia="楷体_GB2312" w:cs="DengXian-Bold"/>
          <w:b/>
          <w:bCs/>
          <w:sz w:val="32"/>
          <w:szCs w:val="32"/>
        </w:rPr>
        <w:pict>
          <v:shape id="图片 28" o:spid="_x0000_s1041" o:spt="75" type="#_x0000_t75" style="position:absolute;left:0pt;margin-left:31.05pt;margin-top:2.6pt;height:265.5pt;width:384pt;mso-wrap-distance-bottom:0pt;mso-wrap-distance-left:9pt;mso-wrap-distance-right:9pt;mso-wrap-distance-top:0pt;z-index:251658240;mso-width-relative:page;mso-height-relative:page;" filled="f" o:preferrelative="t" stroked="f" coordsize="21600,21600">
            <v:path/>
            <v:fill on="f" focussize="0,0"/>
            <v:stroke on="f" joinstyle="miter"/>
            <v:imagedata r:id="rId11" o:title=""/>
            <o:lock v:ext="edit" aspectratio="t"/>
            <w10:wrap type="square"/>
          </v:shape>
        </w:pict>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w:t>
      </w:r>
      <w:r>
        <w:rPr>
          <w:rFonts w:hint="eastAsia" w:ascii="宋体" w:hAnsi="宋体" w:cs="宋体"/>
          <w:sz w:val="32"/>
          <w:szCs w:val="32"/>
        </w:rPr>
        <w:t>978.28</w:t>
      </w:r>
      <w:r>
        <w:rPr>
          <w:rFonts w:hint="eastAsia" w:ascii="仿宋_GB2312" w:eastAsia="仿宋_GB2312" w:cs="DengXian-Regular"/>
          <w:sz w:val="32"/>
          <w:szCs w:val="32"/>
        </w:rPr>
        <w:t>万元，其中：人员经费1138.2</w:t>
      </w:r>
      <w:r>
        <w:rPr>
          <w:rFonts w:hint="eastAsia" w:ascii="宋体" w:hAnsi="宋体" w:cs="宋体"/>
          <w:sz w:val="32"/>
          <w:szCs w:val="32"/>
        </w:rPr>
        <w:t>9</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83</w:t>
      </w:r>
      <w:r>
        <w:rPr>
          <w:rFonts w:hint="eastAsia" w:ascii="宋体" w:hAnsi="宋体" w:cs="宋体"/>
          <w:sz w:val="32"/>
          <w:szCs w:val="32"/>
        </w:rPr>
        <w:t>9.99</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本部门2018年度“三公”经费支出共计3万元，</w:t>
      </w:r>
      <w:r>
        <w:rPr>
          <w:rFonts w:hint="eastAsia" w:ascii="仿宋_GB2312" w:eastAsia="仿宋_GB2312" w:cs="DengXian-Regular"/>
          <w:b/>
          <w:bCs/>
          <w:sz w:val="32"/>
          <w:szCs w:val="32"/>
        </w:rPr>
        <w:t>较年初预算减少3.08万元，降低50.6%，</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本部门2018年度因公出国（境）团组0个、共0人/参加其他单位组织的因公出国（境）团组0个、共0人/无本单位组织的出国（境）团组。因公出国（境）费支出较年初预算增加0万元，增长0%,主要是</w:t>
      </w:r>
      <w:r>
        <w:rPr>
          <w:rFonts w:hint="eastAsia" w:ascii="宋体" w:hAnsi="宋体" w:cs="宋体"/>
          <w:sz w:val="32"/>
          <w:szCs w:val="32"/>
        </w:rPr>
        <w:t>未发生因公出国（境）费用</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3</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本部门2018年度公务用车购置及运行维护费较年初预算减少3万元，降低50%,主要是</w:t>
      </w:r>
      <w:r>
        <w:rPr>
          <w:rFonts w:hint="eastAsia" w:ascii="宋体" w:hAnsi="宋体" w:cs="宋体"/>
          <w:sz w:val="32"/>
          <w:szCs w:val="32"/>
        </w:rPr>
        <w:t>减少公务用车</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hAnsiTheme="minorHAnsi"/>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预算增加0万元，增长0%,主要是未发生公务用车购置经费支出；较上年增加0万元，增长0%,主要是未发生公务用车购置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本部门2018年度单位公务用车保有量2辆。公车运行维护费3万元，支出较年初预算</w:t>
      </w:r>
      <w:r>
        <w:rPr>
          <w:rFonts w:hint="eastAsia" w:ascii="宋体" w:hAnsi="宋体" w:cs="宋体"/>
          <w:sz w:val="32"/>
          <w:szCs w:val="32"/>
        </w:rPr>
        <w:t>减少3</w:t>
      </w:r>
      <w:r>
        <w:rPr>
          <w:rFonts w:hint="eastAsia" w:ascii="仿宋_GB2312" w:eastAsia="仿宋_GB2312" w:cs="DengXian-Regular"/>
          <w:sz w:val="32"/>
          <w:szCs w:val="32"/>
        </w:rPr>
        <w:t>万元，降低50%,主要是</w:t>
      </w:r>
      <w:r>
        <w:rPr>
          <w:rFonts w:hint="eastAsia" w:ascii="宋体" w:hAnsi="宋体" w:cs="宋体"/>
          <w:sz w:val="32"/>
          <w:szCs w:val="32"/>
        </w:rPr>
        <w:t>减少公务用车</w:t>
      </w:r>
      <w:r>
        <w:rPr>
          <w:rFonts w:hint="eastAsia" w:ascii="仿宋_GB2312" w:eastAsia="仿宋_GB2312" w:cs="DengXian-Regular"/>
          <w:sz w:val="32"/>
          <w:szCs w:val="32"/>
        </w:rPr>
        <w:t>。</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w:t>
      </w:r>
      <w:r>
        <w:rPr>
          <w:rFonts w:hint="eastAsia" w:ascii="宋体" w:hAnsi="宋体" w:cs="宋体"/>
          <w:b/>
          <w:bCs/>
          <w:sz w:val="32"/>
          <w:szCs w:val="32"/>
        </w:rPr>
        <w:t>务</w:t>
      </w:r>
      <w:r>
        <w:rPr>
          <w:rFonts w:hint="eastAsia" w:ascii="MS Mincho" w:hAnsi="MS Mincho" w:eastAsia="MS Mincho" w:cs="MS Mincho"/>
          <w:b/>
          <w:bCs/>
          <w:sz w:val="32"/>
          <w:szCs w:val="32"/>
        </w:rPr>
        <w:t>接待</w:t>
      </w:r>
      <w:r>
        <w:rPr>
          <w:rFonts w:hint="eastAsia" w:ascii="宋体" w:hAnsi="宋体" w:cs="宋体"/>
          <w:b/>
          <w:bCs/>
          <w:sz w:val="32"/>
          <w:szCs w:val="32"/>
        </w:rPr>
        <w:t>费</w:t>
      </w:r>
      <w:r>
        <w:rPr>
          <w:rFonts w:hint="eastAsia" w:ascii="MS Mincho" w:hAnsi="MS Mincho" w:eastAsia="MS Mincho" w:cs="MS Mincho"/>
          <w:b/>
          <w:bCs/>
          <w:sz w:val="32"/>
          <w:szCs w:val="32"/>
        </w:rPr>
        <w:t>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本部门2018年度公务接待共0批次、0人次。公务接待费支出较预算减少0万元，降低0%,主要是本年度未发生公务接待费支出；较上年度减少0万元，降低0%,主要是本年度未发生公务接待费支出。</w:t>
      </w:r>
    </w:p>
    <w:p>
      <w:pPr>
        <w:pStyle w:val="3"/>
        <w:spacing w:before="0" w:after="0" w:line="580" w:lineRule="exact"/>
        <w:ind w:firstLine="643" w:firstLineChars="200"/>
        <w:rPr>
          <w:rFonts w:ascii="黑体" w:eastAsia="黑体"/>
        </w:rPr>
      </w:pPr>
      <w:r>
        <w:rPr>
          <w:rFonts w:hint="eastAsia" w:ascii="黑体" w:eastAsia="黑体"/>
          <w:szCs w:val="40"/>
        </w:rPr>
        <w:t>六、</w:t>
      </w:r>
      <w:r>
        <w:rPr>
          <w:rFonts w:hint="eastAsia" w:ascii="黑体" w:eastAsia="黑体"/>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2017年度一般公共预算项目支出全面开展绩效自评，涉及社会保障和就业、职业培训补贴、公益岗位补贴、退役士兵安置等项目，涉及资金1</w:t>
      </w:r>
      <w:r>
        <w:rPr>
          <w:rFonts w:hint="eastAsia" w:ascii="宋体" w:hAnsi="宋体" w:cs="宋体"/>
          <w:sz w:val="32"/>
          <w:szCs w:val="32"/>
        </w:rPr>
        <w:t>9311.52</w:t>
      </w:r>
      <w:r>
        <w:rPr>
          <w:rFonts w:hint="eastAsia" w:ascii="仿宋_GB2312" w:eastAsia="仿宋_GB2312" w:cs="DengXian-Regular"/>
          <w:sz w:val="32"/>
          <w:szCs w:val="32"/>
        </w:rPr>
        <w:t>万元，自评结果为优秀的两个，自评结果为良好的四个。</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w:t>
      </w:r>
      <w:r>
        <w:rPr>
          <w:rFonts w:hint="eastAsia" w:ascii="宋体" w:hAnsi="宋体" w:cs="宋体"/>
          <w:sz w:val="32"/>
          <w:szCs w:val="32"/>
        </w:rPr>
        <w:t>退役士兵安置</w:t>
      </w:r>
      <w:r>
        <w:rPr>
          <w:rFonts w:hint="eastAsia" w:ascii="仿宋_GB2312" w:eastAsia="仿宋_GB2312" w:cs="DengXian-Regular"/>
          <w:sz w:val="32"/>
          <w:szCs w:val="32"/>
        </w:rPr>
        <w:t>项目绩效自评：根据年初设定的绩效目标，</w:t>
      </w:r>
      <w:r>
        <w:rPr>
          <w:rFonts w:hint="eastAsia" w:ascii="宋体" w:hAnsi="宋体" w:cs="宋体"/>
          <w:sz w:val="32"/>
          <w:szCs w:val="32"/>
        </w:rPr>
        <w:t>退役士兵安置</w:t>
      </w:r>
      <w:r>
        <w:rPr>
          <w:rFonts w:hint="eastAsia" w:ascii="仿宋_GB2312" w:eastAsia="仿宋_GB2312" w:cs="DengXian-Regular"/>
          <w:sz w:val="32"/>
          <w:szCs w:val="32"/>
        </w:rPr>
        <w:t>项目绩效自评结果为优秀。项目全年预算数为2000万元，执行数为2031万元，完成预算的100%。产出效果主要是提升了失业者的工作技能。未发现其他问题。</w:t>
      </w:r>
    </w:p>
    <w:p>
      <w:pPr>
        <w:pStyle w:val="3"/>
        <w:spacing w:before="0" w:after="0" w:line="580" w:lineRule="exact"/>
        <w:ind w:firstLine="640" w:firstLineChars="200"/>
        <w:rPr>
          <w:rFonts w:ascii="黑体" w:eastAsia="黑体"/>
          <w:b w:val="0"/>
          <w:bCs w:val="0"/>
        </w:rPr>
      </w:pPr>
      <w:r>
        <w:rPr>
          <w:rFonts w:hint="eastAsia" w:ascii="黑体" w:eastAsia="黑体"/>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本部门2018年度机关运行经费支出626万元，比年初预算数增加20</w:t>
      </w:r>
      <w:r>
        <w:rPr>
          <w:rFonts w:hint="eastAsia" w:ascii="宋体" w:hAnsi="宋体" w:cs="宋体"/>
          <w:sz w:val="32"/>
          <w:szCs w:val="32"/>
        </w:rPr>
        <w:t>9.86</w:t>
      </w:r>
      <w:r>
        <w:rPr>
          <w:rFonts w:hint="eastAsia" w:ascii="仿宋_GB2312" w:eastAsia="仿宋_GB2312" w:cs="DengXian-Regular"/>
          <w:sz w:val="32"/>
          <w:szCs w:val="32"/>
        </w:rPr>
        <w:t>万元，增长87.15%。主要原因是</w:t>
      </w:r>
      <w:r>
        <w:rPr>
          <w:rFonts w:hint="eastAsia" w:ascii="仿宋_GB2312" w:eastAsia="仿宋_GB2312" w:cs="仿宋_GB2312"/>
          <w:sz w:val="32"/>
          <w:szCs w:val="32"/>
        </w:rPr>
        <w:t>专用材料及设备购置费增加</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本部门2018年度政府采购支出总额151.88万元，从采购类型来看，</w:t>
      </w:r>
      <w:r>
        <w:rPr>
          <w:rFonts w:ascii="仿宋_GB2312" w:hAnsi="仿宋_GB2312" w:eastAsia="仿宋_GB2312" w:cs="仿宋_GB2312"/>
          <w:color w:val="000000"/>
          <w:kern w:val="0"/>
          <w:sz w:val="32"/>
          <w:szCs w:val="32"/>
        </w:rPr>
        <w:t>政府采购货物支出</w:t>
      </w:r>
      <w:r>
        <w:rPr>
          <w:rFonts w:hint="eastAsia" w:ascii="宋体" w:hAnsi="宋体" w:cs="宋体"/>
          <w:color w:val="000000"/>
          <w:kern w:val="0"/>
          <w:sz w:val="32"/>
          <w:szCs w:val="32"/>
        </w:rPr>
        <w:t>96.1</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万元、政府采购服务支出55.78万元。</w:t>
      </w:r>
      <w:r>
        <w:rPr>
          <w:rFonts w:hint="eastAsia" w:ascii="仿宋_GB2312" w:hAnsi="仿宋_GB2312" w:eastAsia="仿宋_GB2312" w:cs="仿宋_GB2312"/>
          <w:color w:val="000000"/>
          <w:kern w:val="0"/>
          <w:sz w:val="32"/>
          <w:szCs w:val="32"/>
        </w:rPr>
        <w:t>授予中小企业合同金151.88万元，占政府采购支出总额的100%，其中授予小微企业合同金额0万元，占政府采购支出总额的0%。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截至2018年12月31日，本部门共有车辆6辆，比上年</w:t>
      </w:r>
      <w:r>
        <w:rPr>
          <w:rFonts w:hint="eastAsia" w:ascii="宋体" w:hAnsi="宋体" w:cs="宋体"/>
          <w:sz w:val="32"/>
          <w:szCs w:val="32"/>
        </w:rPr>
        <w:t>持平</w:t>
      </w:r>
      <w:r>
        <w:rPr>
          <w:rFonts w:hint="eastAsia" w:ascii="仿宋_GB2312" w:eastAsia="仿宋_GB2312" w:cs="DengXian-Regular"/>
          <w:sz w:val="32"/>
          <w:szCs w:val="32"/>
        </w:rPr>
        <w:t>。其中，副部（省）级及以上领导用车0辆，主要领导干部用车0辆，机要通信用车0辆，应急保障用车0辆，执法执勤用车1辆，特种专业技术用车0辆，离退休干部用车0辆，其他用车4辆，其他用车主要是</w:t>
      </w:r>
      <w:r>
        <w:rPr>
          <w:rFonts w:hint="eastAsia" w:ascii="宋体" w:hAnsi="宋体" w:cs="宋体"/>
          <w:sz w:val="32"/>
          <w:szCs w:val="32"/>
        </w:rPr>
        <w:t>一般用车</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1、本部门2018年度国有资本经营财政拨款无收支及结转结余情况，故国有资本经营预算财政拨款支出决算表表以空表列示。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420" w:firstLineChars="200"/>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图片 21" o:spid="_x0000_s1030" o:spt="75" type="#_x0000_t75" style="position:absolute;left:0pt;margin-left:-79.3pt;margin-top:-105.2pt;height:840.95pt;width:594.5pt;z-index:-251652096;mso-width-relative:page;mso-height-relative:page;" filled="f" o:preferrelative="t" stroked="f" coordsize="21600,21600">
            <v:path/>
            <v:fill on="f" focussize="0,0"/>
            <v:stroke on="f" joinstyle="miter"/>
            <v:imagedata r:id="rId5" o:title=""/>
            <o:lock v:ext="edit" aspectratio="t"/>
          </v:shape>
        </w:pict>
      </w:r>
      <w:r>
        <w:rPr>
          <w:sz w:val="72"/>
        </w:rPr>
        <w:pict>
          <v:shape id="_x0000_s1036" o:spid="_x0000_s1036" o:spt="202" type="#_x0000_t202" style="position:absolute;left:0pt;margin-left:-78.5pt;margin-top:232.8pt;height:159.1pt;width:596.2pt;z-index:251653120;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pict>
          <v:shape id="图片 101" o:spid="_x0000_s1031" o:spt="75" type="#_x0000_t75" style="position:absolute;left:0pt;margin-left:-77.85pt;margin-top:-106.55pt;height:845.35pt;width:597.65pt;z-index:-251651072;mso-width-relative:page;mso-height-relative:page;" filled="f" o:preferrelative="t" stroked="f" coordsize="21600,21600">
            <v:path/>
            <v:fill on="f" focussize="0,0"/>
            <v:stroke on="f" joinstyle="miter"/>
            <v:imagedata r:id="rId12" o:title=""/>
            <o:lock v:ext="edit" aspectratio="t"/>
          </v:shape>
        </w:pic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AFF" w:usb1="C0007843" w:usb2="00000009" w:usb3="00000000" w:csb0="400001FF" w:csb1="FFFF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 Mincho">
    <w:panose1 w:val="02020609040205080304"/>
    <w:charset w:val="80"/>
    <w:family w:val="modern"/>
    <w:pitch w:val="default"/>
    <w:sig w:usb0="E00002FF" w:usb1="6AC7FDFB" w:usb2="00000012" w:usb3="00000000" w:csb0="4002009F" w:csb1="DFD70000"/>
  </w:font>
  <w:font w:name="TimesNewRomanPSMT">
    <w:altName w:val="Arial"/>
    <w:panose1 w:val="00000000000000000000"/>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DA56939"/>
    <w:multiLevelType w:val="multilevel"/>
    <w:tmpl w:val="7DA56939"/>
    <w:lvl w:ilvl="0" w:tentative="0">
      <w:start w:val="3"/>
      <w:numFmt w:val="japaneseCounting"/>
      <w:lvlText w:val="（%1）"/>
      <w:lvlJc w:val="left"/>
      <w:pPr>
        <w:ind w:left="1870" w:hanging="1080"/>
      </w:pPr>
      <w:rPr>
        <w:rFonts w:hint="default"/>
      </w:rPr>
    </w:lvl>
    <w:lvl w:ilvl="1" w:tentative="0">
      <w:start w:val="1"/>
      <w:numFmt w:val="lowerLetter"/>
      <w:lvlText w:val="%2)"/>
      <w:lvlJc w:val="left"/>
      <w:pPr>
        <w:ind w:left="1630" w:hanging="420"/>
      </w:pPr>
    </w:lvl>
    <w:lvl w:ilvl="2" w:tentative="0">
      <w:start w:val="1"/>
      <w:numFmt w:val="lowerRoman"/>
      <w:lvlText w:val="%3."/>
      <w:lvlJc w:val="right"/>
      <w:pPr>
        <w:ind w:left="2050" w:hanging="420"/>
      </w:pPr>
    </w:lvl>
    <w:lvl w:ilvl="3" w:tentative="0">
      <w:start w:val="1"/>
      <w:numFmt w:val="decimal"/>
      <w:lvlText w:val="%4."/>
      <w:lvlJc w:val="left"/>
      <w:pPr>
        <w:ind w:left="2470" w:hanging="420"/>
      </w:pPr>
    </w:lvl>
    <w:lvl w:ilvl="4" w:tentative="0">
      <w:start w:val="1"/>
      <w:numFmt w:val="lowerLetter"/>
      <w:lvlText w:val="%5)"/>
      <w:lvlJc w:val="left"/>
      <w:pPr>
        <w:ind w:left="2890" w:hanging="420"/>
      </w:pPr>
    </w:lvl>
    <w:lvl w:ilvl="5" w:tentative="0">
      <w:start w:val="1"/>
      <w:numFmt w:val="lowerRoman"/>
      <w:lvlText w:val="%6."/>
      <w:lvlJc w:val="right"/>
      <w:pPr>
        <w:ind w:left="3310" w:hanging="420"/>
      </w:pPr>
    </w:lvl>
    <w:lvl w:ilvl="6" w:tentative="0">
      <w:start w:val="1"/>
      <w:numFmt w:val="decimal"/>
      <w:lvlText w:val="%7."/>
      <w:lvlJc w:val="left"/>
      <w:pPr>
        <w:ind w:left="3730" w:hanging="420"/>
      </w:pPr>
    </w:lvl>
    <w:lvl w:ilvl="7" w:tentative="0">
      <w:start w:val="1"/>
      <w:numFmt w:val="lowerLetter"/>
      <w:lvlText w:val="%8)"/>
      <w:lvlJc w:val="left"/>
      <w:pPr>
        <w:ind w:left="4150" w:hanging="420"/>
      </w:pPr>
    </w:lvl>
    <w:lvl w:ilvl="8" w:tentative="0">
      <w:start w:val="1"/>
      <w:numFmt w:val="lowerRoman"/>
      <w:lvlText w:val="%9."/>
      <w:lvlJc w:val="right"/>
      <w:pPr>
        <w:ind w:left="457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27CA7"/>
    <w:rsid w:val="00072DD9"/>
    <w:rsid w:val="001510A1"/>
    <w:rsid w:val="00216713"/>
    <w:rsid w:val="00257CA4"/>
    <w:rsid w:val="003F5268"/>
    <w:rsid w:val="004943BC"/>
    <w:rsid w:val="006A3FAE"/>
    <w:rsid w:val="007121E9"/>
    <w:rsid w:val="007A762D"/>
    <w:rsid w:val="00827CA7"/>
    <w:rsid w:val="00850A96"/>
    <w:rsid w:val="00896721"/>
    <w:rsid w:val="009F6043"/>
    <w:rsid w:val="00AA34FD"/>
    <w:rsid w:val="00B1780F"/>
    <w:rsid w:val="00B73F48"/>
    <w:rsid w:val="00DA7DDF"/>
    <w:rsid w:val="00EC6A87"/>
    <w:rsid w:val="00FA1C57"/>
    <w:rsid w:val="1BCD4A14"/>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b/>
      <w:bCs/>
      <w:kern w:val="0"/>
      <w:sz w:val="32"/>
      <w:szCs w:val="32"/>
    </w:rPr>
  </w:style>
  <w:style w:type="paragraph" w:styleId="4">
    <w:name w:val="heading 3"/>
    <w:basedOn w:val="1"/>
    <w:next w:val="1"/>
    <w:link w:val="14"/>
    <w:uiPriority w:val="0"/>
    <w:pPr>
      <w:keepNext/>
      <w:keepLines/>
      <w:spacing w:before="260" w:after="260" w:line="416" w:lineRule="auto"/>
      <w:outlineLvl w:val="2"/>
    </w:pPr>
    <w:rPr>
      <w:b/>
      <w:bCs/>
      <w:kern w:val="0"/>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b/>
      <w:bCs/>
      <w:kern w:val="0"/>
      <w:sz w:val="28"/>
      <w:szCs w:val="28"/>
    </w:rPr>
  </w:style>
  <w:style w:type="character" w:default="1" w:styleId="11">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20"/>
    <w:uiPriority w:val="0"/>
    <w:pPr>
      <w:tabs>
        <w:tab w:val="center" w:pos="4153"/>
        <w:tab w:val="right" w:pos="8306"/>
      </w:tabs>
      <w:snapToGrid w:val="0"/>
      <w:jc w:val="left"/>
    </w:pPr>
    <w:rPr>
      <w:kern w:val="0"/>
      <w:sz w:val="18"/>
      <w:szCs w:val="18"/>
    </w:rPr>
  </w:style>
  <w:style w:type="paragraph" w:styleId="7">
    <w:name w:val="header"/>
    <w:basedOn w:val="1"/>
    <w:link w:val="21"/>
    <w:uiPriority w:val="0"/>
    <w:pPr>
      <w:pBdr>
        <w:bottom w:val="single" w:color="auto" w:sz="6" w:space="1"/>
      </w:pBdr>
      <w:tabs>
        <w:tab w:val="center" w:pos="4153"/>
        <w:tab w:val="right" w:pos="8306"/>
      </w:tabs>
      <w:snapToGrid w:val="0"/>
      <w:jc w:val="center"/>
    </w:pPr>
    <w:rPr>
      <w:kern w:val="0"/>
      <w:sz w:val="18"/>
      <w:szCs w:val="18"/>
    </w:rPr>
  </w:style>
  <w:style w:type="paragraph" w:styleId="8">
    <w:name w:val="Subtitle"/>
    <w:basedOn w:val="1"/>
    <w:next w:val="1"/>
    <w:link w:val="22"/>
    <w:uiPriority w:val="0"/>
    <w:pPr>
      <w:widowControl/>
      <w:spacing w:after="200" w:line="276" w:lineRule="auto"/>
      <w:jc w:val="left"/>
    </w:pPr>
    <w:rPr>
      <w:rFonts w:ascii="Calibri" w:hAnsi="Calibri"/>
      <w:i/>
      <w:iCs/>
      <w:color w:val="F0A22E"/>
      <w:spacing w:val="15"/>
      <w:kern w:val="0"/>
      <w:sz w:val="24"/>
    </w:rPr>
  </w:style>
  <w:style w:type="paragraph" w:styleId="9">
    <w:name w:val="Title"/>
    <w:basedOn w:val="1"/>
    <w:next w:val="1"/>
    <w:link w:val="23"/>
    <w:uiPriority w:val="0"/>
    <w:pPr>
      <w:widowControl/>
      <w:pBdr>
        <w:bottom w:val="single" w:color="F0A22E" w:sz="8" w:space="4"/>
      </w:pBdr>
      <w:spacing w:after="300"/>
      <w:contextualSpacing/>
      <w:jc w:val="left"/>
    </w:pPr>
    <w:rPr>
      <w:rFonts w:ascii="Calibri" w:hAnsi="Calibri"/>
      <w:color w:val="392B23"/>
      <w:spacing w:val="5"/>
      <w:kern w:val="28"/>
      <w:sz w:val="52"/>
      <w:szCs w:val="52"/>
    </w:rPr>
  </w:style>
  <w:style w:type="character" w:customStyle="1" w:styleId="12">
    <w:name w:val="标题 1 Char"/>
    <w:link w:val="2"/>
    <w:semiHidden/>
    <w:uiPriority w:val="0"/>
    <w:rPr>
      <w:rFonts w:ascii="Times New Roman" w:hAnsi="Times New Roman" w:eastAsia="宋体" w:cs="Times New Roman"/>
      <w:b/>
      <w:bCs/>
      <w:kern w:val="44"/>
      <w:sz w:val="44"/>
      <w:szCs w:val="44"/>
    </w:rPr>
  </w:style>
  <w:style w:type="character" w:customStyle="1" w:styleId="13">
    <w:name w:val="标题 2 Char"/>
    <w:link w:val="3"/>
    <w:semiHidden/>
    <w:uiPriority w:val="0"/>
    <w:rPr>
      <w:rFonts w:ascii="Calibri" w:hAnsi="Calibri" w:eastAsia="宋体" w:cs="黑体"/>
      <w:b/>
      <w:bCs/>
      <w:sz w:val="32"/>
      <w:szCs w:val="32"/>
    </w:rPr>
  </w:style>
  <w:style w:type="character" w:customStyle="1" w:styleId="14">
    <w:name w:val="标题 3 Char"/>
    <w:link w:val="4"/>
    <w:semiHidden/>
    <w:uiPriority w:val="0"/>
    <w:rPr>
      <w:rFonts w:ascii="Times New Roman" w:hAnsi="Times New Roman" w:eastAsia="宋体" w:cs="Times New Roman"/>
      <w:b/>
      <w:bCs/>
      <w:sz w:val="32"/>
      <w:szCs w:val="32"/>
    </w:rPr>
  </w:style>
  <w:style w:type="character" w:customStyle="1" w:styleId="15">
    <w:name w:val="标题 4 Char"/>
    <w:link w:val="5"/>
    <w:semiHidden/>
    <w:uiPriority w:val="0"/>
    <w:rPr>
      <w:rFonts w:ascii="Calibri" w:hAnsi="Calibri" w:eastAsia="宋体" w:cs="黑体"/>
      <w:b/>
      <w:bCs/>
      <w:sz w:val="28"/>
      <w:szCs w:val="28"/>
    </w:rPr>
  </w:style>
  <w:style w:type="character" w:customStyle="1" w:styleId="16">
    <w:name w:val="日期 Char"/>
    <w:link w:val="17"/>
    <w:semiHidden/>
    <w:uiPriority w:val="0"/>
    <w:rPr>
      <w:rFonts w:ascii="Times New Roman" w:hAnsi="Times New Roman" w:eastAsia="宋体" w:cs="Times New Roman"/>
      <w:szCs w:val="24"/>
    </w:rPr>
  </w:style>
  <w:style w:type="paragraph" w:customStyle="1" w:styleId="17">
    <w:name w:val="日期1"/>
    <w:basedOn w:val="1"/>
    <w:next w:val="1"/>
    <w:link w:val="16"/>
    <w:uiPriority w:val="0"/>
    <w:pPr>
      <w:ind w:left="100" w:leftChars="2500"/>
    </w:pPr>
    <w:rPr>
      <w:kern w:val="0"/>
      <w:sz w:val="20"/>
    </w:rPr>
  </w:style>
  <w:style w:type="character" w:customStyle="1" w:styleId="18">
    <w:name w:val="批注框文本 Char"/>
    <w:link w:val="19"/>
    <w:semiHidden/>
    <w:uiPriority w:val="0"/>
    <w:rPr>
      <w:rFonts w:ascii="Times New Roman" w:hAnsi="Times New Roman" w:eastAsia="宋体" w:cs="Times New Roman"/>
      <w:sz w:val="18"/>
      <w:szCs w:val="18"/>
    </w:rPr>
  </w:style>
  <w:style w:type="paragraph" w:customStyle="1" w:styleId="19">
    <w:name w:val="批注框文本1"/>
    <w:basedOn w:val="1"/>
    <w:link w:val="18"/>
    <w:uiPriority w:val="0"/>
    <w:rPr>
      <w:kern w:val="0"/>
      <w:sz w:val="18"/>
      <w:szCs w:val="18"/>
    </w:rPr>
  </w:style>
  <w:style w:type="character" w:customStyle="1" w:styleId="20">
    <w:name w:val="页脚 Char"/>
    <w:link w:val="6"/>
    <w:semiHidden/>
    <w:uiPriority w:val="0"/>
    <w:rPr>
      <w:sz w:val="18"/>
      <w:szCs w:val="18"/>
    </w:rPr>
  </w:style>
  <w:style w:type="character" w:customStyle="1" w:styleId="21">
    <w:name w:val="页眉 Char"/>
    <w:link w:val="7"/>
    <w:semiHidden/>
    <w:uiPriority w:val="0"/>
    <w:rPr>
      <w:sz w:val="18"/>
      <w:szCs w:val="18"/>
    </w:rPr>
  </w:style>
  <w:style w:type="character" w:customStyle="1" w:styleId="22">
    <w:name w:val="副标题 Char"/>
    <w:link w:val="8"/>
    <w:semiHidden/>
    <w:uiPriority w:val="0"/>
    <w:rPr>
      <w:rFonts w:ascii="Calibri" w:hAnsi="Calibri" w:eastAsia="宋体" w:cs="黑体"/>
      <w:i/>
      <w:iCs/>
      <w:color w:val="F0A22E"/>
      <w:spacing w:val="15"/>
      <w:kern w:val="0"/>
      <w:sz w:val="24"/>
      <w:szCs w:val="24"/>
    </w:rPr>
  </w:style>
  <w:style w:type="character" w:customStyle="1" w:styleId="23">
    <w:name w:val="标题 Char"/>
    <w:link w:val="9"/>
    <w:semiHidden/>
    <w:uiPriority w:val="0"/>
    <w:rPr>
      <w:rFonts w:ascii="Calibri" w:hAnsi="Calibri" w:eastAsia="宋体" w:cs="黑体"/>
      <w:color w:val="392B23"/>
      <w:spacing w:val="5"/>
      <w:kern w:val="28"/>
      <w:sz w:val="52"/>
      <w:szCs w:val="52"/>
    </w:rPr>
  </w:style>
  <w:style w:type="paragraph" w:customStyle="1" w:styleId="24">
    <w:name w:val="无间隔1"/>
    <w:link w:val="26"/>
    <w:uiPriority w:val="0"/>
    <w:pPr>
      <w:spacing w:after="160" w:line="480" w:lineRule="auto"/>
    </w:pPr>
    <w:rPr>
      <w:rFonts w:ascii="Times New Roman" w:hAnsi="Times New Roman" w:eastAsia="宋体" w:cs="Times New Roman"/>
      <w:sz w:val="22"/>
      <w:lang w:val="en-US" w:eastAsia="zh-CN" w:bidi="ar-SA"/>
    </w:rPr>
  </w:style>
  <w:style w:type="paragraph" w:customStyle="1" w:styleId="25">
    <w:name w:val="列出段落1"/>
    <w:basedOn w:val="1"/>
    <w:uiPriority w:val="0"/>
    <w:pPr>
      <w:ind w:firstLine="420" w:firstLineChars="200"/>
    </w:pPr>
  </w:style>
  <w:style w:type="character" w:customStyle="1" w:styleId="26">
    <w:name w:val="无间隔 Char"/>
    <w:link w:val="24"/>
    <w:uiPriority w:val="0"/>
    <w:rPr>
      <w:sz w:val="22"/>
      <w:lang w:bidi="ar-SA"/>
    </w:rPr>
  </w:style>
  <w:style w:type="character" w:customStyle="1" w:styleId="27">
    <w:name w:val="Style1"/>
    <w:uiPriority w:val="0"/>
    <w:rPr>
      <w:rFonts w:ascii="Cambria" w:hAnsi="黑体" w:eastAsia="黑体" w:cs="黑体"/>
      <w:sz w:val="22"/>
      <w:szCs w:val="22"/>
      <w:lang w:eastAsia="zh-CN"/>
    </w:rPr>
  </w:style>
  <w:style w:type="character" w:customStyle="1" w:styleId="28">
    <w:name w:val="Style2"/>
    <w:uiPriority w:val="0"/>
    <w:rPr>
      <w:rFonts w:ascii="Cambria" w:hAnsi="黑体" w:eastAsia="黑体" w:cs="黑体"/>
      <w:sz w:val="22"/>
      <w:szCs w:val="22"/>
      <w:lang w:eastAsia="zh-CN"/>
    </w:rPr>
  </w:style>
  <w:style w:type="character" w:customStyle="1" w:styleId="29">
    <w:name w:val="Style3"/>
    <w:uiPriority w:val="0"/>
    <w:rPr>
      <w:rFonts w:ascii="Cambria" w:hAnsi="黑体" w:eastAsia="黑体" w:cs="黑体"/>
      <w:szCs w:val="22"/>
      <w:lang w:eastAsia="zh-CN"/>
    </w:rPr>
  </w:style>
  <w:style w:type="character" w:customStyle="1" w:styleId="30">
    <w:name w:val="Style4"/>
    <w:uiPriority w:val="0"/>
    <w:rPr>
      <w:rFonts w:ascii="Cambria" w:hAnsi="黑体" w:eastAsia="黑体" w:cs="黑体"/>
      <w:szCs w:val="22"/>
      <w:lang w:eastAsia="zh-CN"/>
    </w:rPr>
  </w:style>
  <w:style w:type="character" w:customStyle="1" w:styleId="31">
    <w:name w:val="Style5"/>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9.jpe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3"/>
    <customShpInfo spid="_x0000_s1027"/>
    <customShpInfo spid="_x0000_s1037"/>
    <customShpInfo spid="_x0000_s1029"/>
    <customShpInfo spid="_x0000_s1034"/>
    <customShpInfo spid="_x0000_s1049"/>
    <customShpInfo spid="_x0000_s1035"/>
    <customShpInfo spid="_x0000_s1048"/>
    <customShpInfo spid="_x0000_s1038"/>
    <customShpInfo spid="_x0000_s1044"/>
    <customShpInfo spid="_x0000_s1045"/>
    <customShpInfo spid="_x0000_s1047"/>
    <customShpInfo spid="_x0000_s1040"/>
    <customShpInfo spid="_x0000_s1046"/>
    <customShpInfo spid="_x0000_s1041"/>
    <customShpInfo spid="_x0000_s1030"/>
    <customShpInfo spid="_x0000_s1036"/>
    <customShpInfo spid="_x0000_s103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42</Pages>
  <Words>2634</Words>
  <Characters>15017</Characters>
  <Lines>125</Lines>
  <Paragraphs>35</Paragraphs>
  <TotalTime>12</TotalTime>
  <ScaleCrop>false</ScaleCrop>
  <LinksUpToDate>false</LinksUpToDate>
  <CharactersWithSpaces>17616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2019-08-29T16:40:00Z</dcterms:created>
  <dc:creator>User</dc:creator>
  <cp:lastModifiedBy>Administrator</cp:lastModifiedBy>
  <cp:lastPrinted>2019-08-03T09:01:00Z</cp:lastPrinted>
  <dcterms:modified xsi:type="dcterms:W3CDTF">2024-01-03T07:34:07Z</dcterms:modified>
  <dc:subject>石家庄市xxx部门</dc:subject>
  <dc:title>2017年度部门决算</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