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bookmarkStart w:id="0" w:name="_GoBack"/>
      <w:bookmarkEnd w:id="0"/>
      <w:r>
        <w:rPr>
          <w:rFonts w:hint="eastAsia" w:hAnsi="宋体" w:asciiTheme="minorEastAsia" w:eastAsiaTheme="minorEastAsia"/>
          <w:color w:val="002060"/>
          <w:sz w:val="72"/>
          <w:szCs w:val="72"/>
        </w:rPr>
        <w:drawing>
          <wp:anchor distT="0" distB="0" distL="114300" distR="114300" simplePos="0" relativeHeight="251637760"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5"/>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38784;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无极县统计局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headerReference r:id="rId3" w:type="default"/>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统计局</w:t>
      </w:r>
      <w:r>
        <w:rPr>
          <w:rFonts w:eastAsia="黑体"/>
          <w:sz w:val="32"/>
          <w:szCs w:val="32"/>
        </w:rPr>
        <w:t>部门201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3980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6"/>
                    <a:stretch>
                      <a:fillRect/>
                    </a:stretch>
                  </pic:blipFill>
                  <pic:spPr>
                    <a:xfrm>
                      <a:off x="0" y="0"/>
                      <a:ext cx="7585710" cy="10727055"/>
                    </a:xfrm>
                    <a:prstGeom prst="rect">
                      <a:avLst/>
                    </a:prstGeom>
                  </pic:spPr>
                </pic:pic>
              </a:graphicData>
            </a:graphic>
          </wp:anchor>
        </w:drawing>
      </w:r>
      <w:r>
        <w:rPr>
          <w:sz w:val="72"/>
        </w:rPr>
        <w:pict>
          <v:shape id="_x0000_s1045" o:spid="_x0000_s1045" o:spt="202" type="#_x0000_t202" style="position:absolute;left:0pt;margin-left:-97.3pt;margin-top:259.1pt;height:81.7pt;width:613.65pt;z-index:25165209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（一）组织领导和协调全县统计工作，确保统计数据真实、准确、完整、及时。</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落实统计工作方面的地方性法规，起草政府规章草案和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贯彻执行河北省国民经济核算制度，组织实施全县国民经济核算和民营经济统计工作；统一核算全县地区生产总值及派生产业增加值；组织实施投入产出调查和编表工作；编制全县资产负债表；整理、测算和提供国民经济核算资料，监督管理全县国民经济核算工作。</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（四）拟订重大县情县力普查调查计划、方案，组织实施全县人口、经济、农业等重大普查调查，汇总、整理和提供有关县情县力方面的统计数据。</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组织实施全县农林牧渔业、工业、建筑业、批发和零售业、住宿和餐饮业、房地产、服务业及能源、投资、消费、人口和城镇化率、劳动工资、就业、社会、科技、文化产业、城市基本情况、乡村两级社会经济基本情况、资源环境、战略性新兴产业、高新技术产业、民营经济等统计调查，收集、汇总、整理和提供统计数据。</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（六）组织实施县域经济发展、农业产业化、特色小镇、节能降耗、绿色发展、城镇化发展、妇女儿童监测、新产业新业态新商业模式（以下简称新经济）等统计监测，收集、整理和提供统计数据。</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（七）综合整理和提供财政、金融、旅游、交通运输、邮政、文化、教育、体育、卫生、社会保障、公用事业、对外经济、收入、价格等基本统计数据。</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（八）组织各乡（镇）和各部门的经济、社会、科技、服务业统计调查，统一核定、管理、公布全县性基本统计资料，定期发布全县国民经济和社会发展情况的统计信息，组织建立统计信息共享制度和发布制度。</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（九）对国民经济、社会发展、科技进步和资源环境等情况进行统计分析、统计预测和统计监督，向县委、县政府及有关部门提供统计信息和咨询建议。</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依法管理部门和地方统计调查项目、调查计划、调查方案；组织指导专业统计基础工作、统计基层业务和规范化建设；组织建立统计信息管理制度，建立健全统计数据质量审核、监控和评估制度，开展对统计数据质量的检查和评估。</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（十一）负责全县统计信息化系统和统计数据库体系建设工作，管理全县统计数据库网络，组织全县统计信息化系统建设。</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（十二）负责名录库建设、全面建成小康社会统计监测、社情民意调查等工作；监督管理全县中央统计经费和县财政提供的统计经费。</w:t>
      </w:r>
    </w:p>
    <w:p>
      <w:pPr>
        <w:ind w:firstLine="640" w:firstLineChars="200"/>
        <w:rPr>
          <w:rFonts w:ascii="仿宋_GB2312" w:hAnsi="Cambria" w:eastAsia="仿宋_GB2312" w:cs="ArialUnicodeMS"/>
          <w:kern w:val="0"/>
          <w:sz w:val="32"/>
          <w:szCs w:val="32"/>
        </w:rPr>
      </w:pPr>
      <w:r>
        <w:rPr>
          <w:rFonts w:hint="eastAsia" w:ascii="仿宋_GB2312" w:hAnsi="仿宋_GB2312" w:eastAsia="仿宋_GB2312" w:cs="仿宋_GB2312"/>
          <w:sz w:val="32"/>
          <w:szCs w:val="32"/>
        </w:rPr>
        <w:t>（十三）</w:t>
      </w:r>
      <w:r>
        <w:rPr>
          <w:rFonts w:hint="eastAsia" w:ascii="仿宋_GB2312" w:hAnsi="Cambria" w:eastAsia="仿宋_GB2312" w:cs="ArialUnicodeMS"/>
          <w:kern w:val="0"/>
          <w:sz w:val="32"/>
          <w:szCs w:val="32"/>
        </w:rPr>
        <w:t>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autoSpaceDE w:val="0"/>
        <w:autoSpaceDN w:val="0"/>
        <w:adjustRightInd w:val="0"/>
        <w:spacing w:after="0" w:line="560" w:lineRule="exact"/>
        <w:jc w:val="left"/>
        <w:rPr>
          <w:rFonts w:ascii="仿宋_GB2312" w:eastAsia="仿宋_GB2312" w:cs="ArialUnicodeMS" w:hAnsiTheme="minorHAnsi"/>
          <w:kern w:val="0"/>
          <w:sz w:val="32"/>
          <w:szCs w:val="32"/>
        </w:rPr>
      </w:pPr>
      <w:r>
        <w:rPr>
          <w:rFonts w:hint="eastAsia" w:ascii="仿宋_GB2312" w:hAnsi="仿宋_GB2312" w:eastAsia="仿宋_GB2312" w:cs="仿宋_GB2312"/>
          <w:sz w:val="32"/>
          <w:szCs w:val="32"/>
        </w:rPr>
        <w:t>（十四）完成县委、县政府和市统计局交办的其他任务。</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1个，具体情况如下：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宋体" w:hAnsi="宋体" w:cs="宋体"/>
                <w:kern w:val="0"/>
                <w:sz w:val="28"/>
                <w:szCs w:val="28"/>
              </w:rPr>
              <w:t>无极县统计局</w:t>
            </w:r>
          </w:p>
        </w:tc>
        <w:tc>
          <w:tcPr>
            <w:tcW w:w="2445" w:type="dxa"/>
          </w:tcPr>
          <w:p>
            <w:pPr>
              <w:spacing w:after="0" w:line="560" w:lineRule="exact"/>
              <w:jc w:val="center"/>
              <w:rPr>
                <w:rFonts w:ascii="宋体" w:hAnsi="宋体" w:cs="宋体"/>
                <w:kern w:val="0"/>
                <w:sz w:val="28"/>
                <w:szCs w:val="28"/>
              </w:rPr>
            </w:pPr>
            <w:r>
              <w:rPr>
                <w:rFonts w:hint="eastAsia" w:ascii="仿宋_GB2312" w:eastAsia="仿宋_GB2312" w:cs="ArialUnicodeMS" w:hAnsiTheme="minorHAnsi"/>
                <w:kern w:val="0"/>
                <w:sz w:val="28"/>
                <w:szCs w:val="28"/>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bl>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4288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6"/>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44" o:spid="_x0000_s1044" o:spt="202" type="#_x0000_t202" style="position:absolute;left:0pt;margin-left:-74.2pt;margin-top:120.3pt;height:159.1pt;width:596.2pt;z-index:25164185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部门：无极县统计局</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310.66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320.78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0.2</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310.66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320.99</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10.79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0.46</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321.45</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321.45</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部门：无极县统计局</w:t>
            </w: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310.66</w:t>
            </w: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310.66</w:t>
            </w: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310.66</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310.66</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20105</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统计信息事务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310.66</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310.66</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2010501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243.74</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243.74</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2010503</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机关服务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2010505</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专项统计服务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12.05</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12.05</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2010507</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专项普查服务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25.00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2010508</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统计抽样调查</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18.69</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18.69</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部门：无极县统计局</w:t>
            </w: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320.99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243.98</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77.00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320.78</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243.98</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76.80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统计信息事务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320.78</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243.98</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76.80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2010501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243.98</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243.98</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2010503</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机关服务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11.18</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11.18</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2010505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专项统计业务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12.70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12.70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2010507</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专项普查活动</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34.03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34.03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2010508</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统计抽样调查</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18.89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18.89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222</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粮油物资储备支出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0.2</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0.2</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22201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粮油事务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0.2</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0.2</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2220105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粮食信息统计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0.2</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0.2</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部门：无极县统计局</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310.66</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320.78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320.78</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0.2</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310.66</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320.99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320.99</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10.79</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0.46</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10.79</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321.45</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321.45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321.45</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部门：无极县统计局</w:t>
            </w: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320.78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243.98</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76.80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统计信息事务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320.78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243.98</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76.80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2010501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243.98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243.98</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2010503</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机关服务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2010505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专项统计业务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12.70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12.70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2010507</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专项普查活动</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34.03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34.03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2010508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统计抽样调查</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18.89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18.89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粮油物资储备支出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0.2</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粮油事务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0.2</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2220105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粮食信息统计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0.2</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0.2</w:t>
            </w: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注：本表反映部门本年度一般公共预算财政拨款收入及支出情况。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部门：无极县统计局</w: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201.50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32.98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99.51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2.61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42.31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0.65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45.65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3.09</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3.09</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0.18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13.04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14.73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6.41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0.16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6.41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0.21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8.99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0.41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207.91</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36.07</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注：本表反映部门本年度一般公共预算财政拨款基本支出明细情况。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部门：无极县统计局</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3.2</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0.20</w:t>
            </w: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2.41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2.36</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2.36</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0.05</w:t>
            </w: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注：本表反映部门本年度“三公”经费支出预决算情况。其中：预算数为“三公”经费年初预算数，决算数是包括当年一般公共预算财政拨款和以前年度结转资金安排的实际支出。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部门：无极县统计局</w:t>
            </w: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注：本表反映部门本年度政府性基金预算财政拨款收入、支出及结转和结余情况。</w:t>
            </w:r>
          </w:p>
        </w:tc>
      </w:tr>
    </w:tbl>
    <w:p>
      <w:pPr>
        <w:widowControl/>
        <w:adjustRightInd w:val="0"/>
        <w:spacing w:after="0" w:line="240" w:lineRule="auto"/>
        <w:jc w:val="left"/>
        <w:textAlignment w:val="center"/>
        <w:rPr>
          <w:rFonts w:ascii="宋体" w:hAnsi="宋体" w:cs="宋体"/>
          <w:color w:val="000000"/>
          <w:kern w:val="0"/>
          <w:szCs w:val="21"/>
        </w:rPr>
        <w:sectPr>
          <w:pgSz w:w="11906" w:h="16838"/>
          <w:pgMar w:top="2098" w:right="1474" w:bottom="1984" w:left="1588" w:header="851" w:footer="992" w:gutter="0"/>
          <w:cols w:space="0" w:num="1"/>
          <w:docGrid w:type="lines" w:linePitch="312" w:charSpace="0"/>
        </w:sectPr>
      </w:pPr>
      <w:r>
        <w:rPr>
          <w:rFonts w:hint="eastAsia" w:ascii="宋体" w:hAnsi="宋体" w:cs="宋体"/>
          <w:color w:val="000000"/>
          <w:kern w:val="0"/>
          <w:szCs w:val="21"/>
        </w:rPr>
        <w:t>本部门本年度无相关收入（或支出、收支及结转结余等）情况，按要求空表列示。</w:t>
      </w: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编制单位：无极县统计局</w:t>
            </w: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w:t>
            </w:r>
          </w:p>
        </w:tc>
      </w:tr>
    </w:tbl>
    <w:p>
      <w:pPr>
        <w:widowControl/>
        <w:adjustRightInd w:val="0"/>
        <w:spacing w:after="0" w:line="240" w:lineRule="auto"/>
        <w:jc w:val="left"/>
        <w:textAlignment w:val="center"/>
        <w:rPr>
          <w:rFonts w:ascii="宋体" w:hAnsi="宋体" w:cs="宋体"/>
          <w:color w:val="000000"/>
          <w:kern w:val="0"/>
          <w:szCs w:val="21"/>
        </w:rPr>
        <w:sectPr>
          <w:pgSz w:w="11906" w:h="16838"/>
          <w:pgMar w:top="2098" w:right="1474" w:bottom="1984" w:left="1588" w:header="851" w:footer="992" w:gutter="0"/>
          <w:cols w:space="0" w:num="1"/>
          <w:docGrid w:type="lines" w:linePitch="312" w:charSpace="0"/>
        </w:sectPr>
      </w:pPr>
      <w:r>
        <w:rPr>
          <w:rFonts w:hint="eastAsia" w:ascii="宋体" w:hAnsi="宋体" w:cs="宋体"/>
          <w:color w:val="000000"/>
          <w:kern w:val="0"/>
          <w:szCs w:val="21"/>
        </w:rPr>
        <w:t>本部门本年度无相关收入（或支出、收支及结转结余等）情况，按要求空表列示。</w:t>
      </w: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编制单位：无极县统计局</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注：本表反映部门本年度纳入部门预算范围的政府采购预算及支出情况。</w:t>
            </w:r>
          </w:p>
        </w:tc>
      </w:tr>
    </w:tbl>
    <w:p>
      <w:pPr>
        <w:widowControl/>
        <w:adjustRightInd w:val="0"/>
        <w:snapToGri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本部门本年度无相关收入（或支出、收支及结转结余等）情况，按要求空表列示。</w:t>
      </w: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492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6"/>
                    <a:stretch>
                      <a:fillRect/>
                    </a:stretch>
                  </pic:blipFill>
                  <pic:spPr>
                    <a:xfrm>
                      <a:off x="0" y="0"/>
                      <a:ext cx="7550150" cy="10680065"/>
                    </a:xfrm>
                    <a:prstGeom prst="rect">
                      <a:avLst/>
                    </a:prstGeom>
                  </pic:spPr>
                </pic:pic>
              </a:graphicData>
            </a:graphic>
          </wp:anchor>
        </w:drawing>
      </w:r>
      <w:r>
        <w:rPr>
          <w:sz w:val="72"/>
        </w:rPr>
        <w:pict>
          <v:shape id="_x0000_s1043" o:spid="_x0000_s1043" o:spt="202" type="#_x0000_t202" style="position:absolute;left:0pt;margin-left:-78.7pt;margin-top:232.8pt;height:159.1pt;width:596.2pt;z-index:25164390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本部门2018年度收支总计（含结转和结余）321.45万元。与2017年度决算相比，收支各减少123.35万元，下降27.73%，主要原因是项目</w:t>
      </w:r>
      <w:r>
        <w:rPr>
          <w:rFonts w:hint="eastAsia" w:ascii="宋体" w:hAnsi="宋体" w:cs="宋体"/>
          <w:sz w:val="32"/>
          <w:szCs w:val="32"/>
        </w:rPr>
        <w:t>支出减少</w:t>
      </w:r>
      <w:r>
        <w:rPr>
          <w:rFonts w:hint="eastAsia" w:ascii="仿宋_GB2312" w:eastAsia="仿宋_GB2312" w:cs="DengXian-Regular"/>
          <w:sz w:val="32"/>
          <w:szCs w:val="32"/>
        </w:rPr>
        <w:t>。</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本部门2018年度本年收入合计310.66万元，其中：财政拨款收入310.66万元，占100%。如图所示：</w:t>
      </w:r>
    </w:p>
    <w:p>
      <w:pPr>
        <w:adjustRightInd w:val="0"/>
        <w:snapToGrid w:val="0"/>
        <w:spacing w:after="0" w:line="360" w:lineRule="auto"/>
        <w:ind w:firstLine="1920" w:firstLineChars="600"/>
        <w:rPr>
          <w:rFonts w:ascii="仿宋_GB2312" w:eastAsia="仿宋_GB2312" w:cs="DengXian-Regular"/>
          <w:sz w:val="32"/>
          <w:szCs w:val="32"/>
        </w:rPr>
      </w:pPr>
      <w:r>
        <w:rPr>
          <w:rFonts w:ascii="仿宋_GB2312" w:eastAsia="仿宋_GB2312" w:cs="DengXian-Regular"/>
          <w:sz w:val="32"/>
          <w:szCs w:val="32"/>
        </w:rPr>
        <w:drawing>
          <wp:inline distT="0" distB="0" distL="0" distR="0">
            <wp:extent cx="4391025" cy="2552700"/>
            <wp:effectExtent l="19050" t="0" r="9525" b="0"/>
            <wp:docPr id="15"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本部门2018年度本年支出合计320.</w:t>
      </w:r>
      <w:r>
        <w:rPr>
          <w:rFonts w:hint="eastAsia" w:ascii="宋体" w:hAnsi="宋体" w:cs="宋体"/>
          <w:sz w:val="32"/>
          <w:szCs w:val="32"/>
        </w:rPr>
        <w:t>99</w:t>
      </w:r>
      <w:r>
        <w:rPr>
          <w:rFonts w:hint="eastAsia" w:ascii="仿宋_GB2312" w:eastAsia="仿宋_GB2312" w:cs="DengXian-Regular"/>
          <w:sz w:val="32"/>
          <w:szCs w:val="32"/>
        </w:rPr>
        <w:t>万元，其中：基本支出243.</w:t>
      </w:r>
      <w:r>
        <w:rPr>
          <w:rFonts w:hint="eastAsia" w:ascii="宋体" w:hAnsi="宋体" w:cs="宋体"/>
          <w:sz w:val="32"/>
          <w:szCs w:val="32"/>
        </w:rPr>
        <w:t>98</w:t>
      </w:r>
      <w:r>
        <w:rPr>
          <w:rFonts w:hint="eastAsia" w:ascii="仿宋_GB2312" w:eastAsia="仿宋_GB2312" w:cs="DengXian-Regular"/>
          <w:sz w:val="32"/>
          <w:szCs w:val="32"/>
        </w:rPr>
        <w:t>万元，占76.01%；项目支出77万元，占23.</w:t>
      </w:r>
      <w:r>
        <w:rPr>
          <w:rFonts w:hint="eastAsia" w:ascii="宋体" w:hAnsi="宋体" w:cs="宋体"/>
          <w:sz w:val="32"/>
          <w:szCs w:val="32"/>
        </w:rPr>
        <w:t>99</w:t>
      </w:r>
      <w:r>
        <w:rPr>
          <w:rFonts w:hint="eastAsia" w:ascii="仿宋_GB2312" w:eastAsia="仿宋_GB2312" w:cs="DengXian-Regular"/>
          <w:sz w:val="32"/>
          <w:szCs w:val="32"/>
        </w:rPr>
        <w:t>%。如图所示：</w:t>
      </w:r>
    </w:p>
    <w:p>
      <w:pPr>
        <w:adjustRightInd w:val="0"/>
        <w:snapToGrid w:val="0"/>
        <w:spacing w:after="0" w:line="360" w:lineRule="auto"/>
        <w:ind w:firstLine="1920" w:firstLineChars="600"/>
        <w:rPr>
          <w:rFonts w:ascii="仿宋_GB2312" w:eastAsia="仿宋_GB2312" w:cs="DengXian-Regular"/>
          <w:sz w:val="32"/>
          <w:szCs w:val="32"/>
        </w:rPr>
      </w:pPr>
      <w:r>
        <w:rPr>
          <w:rFonts w:ascii="仿宋_GB2312" w:eastAsia="仿宋_GB2312" w:cs="DengXian-Regular"/>
          <w:sz w:val="32"/>
          <w:szCs w:val="32"/>
        </w:rPr>
        <w:drawing>
          <wp:inline distT="0" distB="0" distL="0" distR="0">
            <wp:extent cx="3314700" cy="2419350"/>
            <wp:effectExtent l="0" t="0" r="0" b="0"/>
            <wp:docPr id="18"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本部门2018年度形成的财政拨款收支均为一般公共预算财政拨款，其中一般公共预算财政拨款本年收入310.66万元,比2017年度减少11</w:t>
      </w:r>
      <w:r>
        <w:rPr>
          <w:rFonts w:hint="eastAsia" w:ascii="宋体" w:hAnsi="宋体" w:cs="宋体"/>
          <w:sz w:val="32"/>
          <w:szCs w:val="32"/>
        </w:rPr>
        <w:t>9.03</w:t>
      </w:r>
      <w:r>
        <w:rPr>
          <w:rFonts w:hint="eastAsia" w:ascii="仿宋_GB2312" w:eastAsia="仿宋_GB2312" w:cs="DengXian-Regular"/>
          <w:sz w:val="32"/>
          <w:szCs w:val="32"/>
        </w:rPr>
        <w:t>万元，降低27.7%，主要是项目资金减少；本年支出320.</w:t>
      </w:r>
      <w:r>
        <w:rPr>
          <w:rFonts w:hint="eastAsia" w:ascii="宋体" w:hAnsi="宋体" w:cs="宋体"/>
          <w:sz w:val="32"/>
          <w:szCs w:val="32"/>
        </w:rPr>
        <w:t>99</w:t>
      </w:r>
      <w:r>
        <w:rPr>
          <w:rFonts w:hint="eastAsia" w:ascii="仿宋_GB2312" w:eastAsia="仿宋_GB2312" w:cs="DengXian-Regular"/>
          <w:sz w:val="32"/>
          <w:szCs w:val="32"/>
        </w:rPr>
        <w:t>万元，减少113.02万元，降低26.04%，主要是项目支出减少。</w:t>
      </w:r>
    </w:p>
    <w:p>
      <w:pPr>
        <w:adjustRightInd w:val="0"/>
        <w:snapToGrid w:val="0"/>
        <w:spacing w:after="0" w:line="360" w:lineRule="auto"/>
        <w:ind w:firstLine="640" w:firstLineChars="200"/>
        <w:rPr>
          <w:rFonts w:ascii="仿宋_GB2312" w:eastAsia="仿宋_GB2312" w:cs="DengXian-Regular"/>
          <w:sz w:val="32"/>
          <w:szCs w:val="32"/>
        </w:rPr>
      </w:pPr>
      <w:r>
        <w:rPr>
          <w:rFonts w:ascii="仿宋_GB2312" w:eastAsia="仿宋_GB2312" w:cs="DengXian-Regular"/>
          <w:sz w:val="32"/>
          <w:szCs w:val="32"/>
        </w:rPr>
        <w:drawing>
          <wp:inline distT="0" distB="0" distL="0" distR="0">
            <wp:extent cx="3933825" cy="1990725"/>
            <wp:effectExtent l="0" t="0" r="0" b="0"/>
            <wp:docPr id="11"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本部门2018年度一般公共预算财政拨款收入310.66万元，完成年初预算的8</w:t>
      </w:r>
      <w:r>
        <w:rPr>
          <w:rFonts w:hint="eastAsia" w:ascii="宋体" w:hAnsi="宋体" w:cs="宋体"/>
          <w:sz w:val="32"/>
          <w:szCs w:val="32"/>
        </w:rPr>
        <w:t>9.96</w:t>
      </w:r>
      <w:r>
        <w:rPr>
          <w:rFonts w:hint="eastAsia" w:ascii="仿宋_GB2312" w:eastAsia="仿宋_GB2312" w:cs="DengXian-Regular"/>
          <w:sz w:val="32"/>
          <w:szCs w:val="32"/>
        </w:rPr>
        <w:t>%,比年初预算减少34.68万元，决算数小于预算数主要原因是项目支出减少；本年支出320.</w:t>
      </w:r>
      <w:r>
        <w:rPr>
          <w:rFonts w:hint="eastAsia" w:ascii="宋体" w:hAnsi="宋体" w:cs="宋体"/>
          <w:sz w:val="32"/>
          <w:szCs w:val="32"/>
        </w:rPr>
        <w:t>99</w:t>
      </w:r>
      <w:r>
        <w:rPr>
          <w:rFonts w:hint="eastAsia" w:ascii="仿宋_GB2312" w:eastAsia="仿宋_GB2312" w:cs="DengXian-Regular"/>
          <w:sz w:val="32"/>
          <w:szCs w:val="32"/>
        </w:rPr>
        <w:t>万元，完成年初预算的</w:t>
      </w:r>
      <w:r>
        <w:rPr>
          <w:rFonts w:hint="eastAsia" w:ascii="宋体" w:hAnsi="宋体" w:cs="宋体"/>
          <w:sz w:val="32"/>
          <w:szCs w:val="32"/>
        </w:rPr>
        <w:t>92.95</w:t>
      </w:r>
      <w:r>
        <w:rPr>
          <w:rFonts w:hint="eastAsia" w:ascii="仿宋_GB2312" w:eastAsia="仿宋_GB2312" w:cs="DengXian-Regular"/>
          <w:sz w:val="32"/>
          <w:szCs w:val="32"/>
        </w:rPr>
        <w:t>%,比年初预算减少24.35万元，决算数（小于预算数主要原因是项目支出减少。</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360" w:lineRule="auto"/>
        <w:ind w:firstLine="640" w:firstLineChars="200"/>
        <w:rPr>
          <w:rFonts w:ascii="仿宋_GB2312" w:eastAsia="仿宋_GB2312" w:cs="DengXian-Regular"/>
          <w:sz w:val="32"/>
          <w:szCs w:val="32"/>
          <w:highlight w:val="yellow"/>
        </w:rPr>
      </w:pPr>
      <w:r>
        <w:rPr>
          <w:rFonts w:ascii="仿宋_GB2312" w:eastAsia="仿宋_GB2312" w:cs="DengXian-Regular"/>
          <w:sz w:val="32"/>
          <w:szCs w:val="32"/>
        </w:rPr>
        <w:drawing>
          <wp:inline distT="0" distB="0" distL="0" distR="0">
            <wp:extent cx="3695700" cy="2133600"/>
            <wp:effectExtent l="0" t="0" r="0" b="0"/>
            <wp:docPr id="20"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年度财政拨款支出320.</w:t>
      </w:r>
      <w:r>
        <w:rPr>
          <w:rFonts w:hint="eastAsia" w:ascii="宋体" w:hAnsi="宋体" w:cs="宋体"/>
          <w:sz w:val="32"/>
          <w:szCs w:val="32"/>
        </w:rPr>
        <w:t>99</w:t>
      </w:r>
      <w:r>
        <w:rPr>
          <w:rFonts w:hint="eastAsia" w:ascii="仿宋_GB2312" w:eastAsia="仿宋_GB2312" w:cs="DengXian-Regular"/>
          <w:sz w:val="32"/>
          <w:szCs w:val="32"/>
        </w:rPr>
        <w:t>万元，主要用于以下方面</w:t>
      </w:r>
      <w:r>
        <w:rPr>
          <w:rFonts w:hint="eastAsia" w:ascii="宋体" w:hAnsi="宋体" w:cs="宋体"/>
          <w:sz w:val="32"/>
          <w:szCs w:val="32"/>
        </w:rPr>
        <w:t>:</w:t>
      </w:r>
      <w:r>
        <w:rPr>
          <w:rFonts w:hint="eastAsia" w:ascii="仿宋_GB2312" w:eastAsia="仿宋_GB2312" w:cs="DengXian-Regular"/>
          <w:sz w:val="32"/>
          <w:szCs w:val="32"/>
        </w:rPr>
        <w:t>一般公共服务（类）支出320.78万元，占</w:t>
      </w:r>
      <w:r>
        <w:rPr>
          <w:rFonts w:hint="eastAsia" w:ascii="宋体" w:hAnsi="宋体" w:cs="宋体"/>
          <w:sz w:val="32"/>
          <w:szCs w:val="32"/>
        </w:rPr>
        <w:t>99.94</w:t>
      </w:r>
      <w:r>
        <w:rPr>
          <w:rFonts w:hint="eastAsia" w:ascii="仿宋_GB2312" w:eastAsia="仿宋_GB2312" w:cs="DengXian-Regular"/>
          <w:sz w:val="32"/>
          <w:szCs w:val="32"/>
        </w:rPr>
        <w:t>%；粮油物资储备支出（类）支出0.20万元，占0.06%。</w:t>
      </w:r>
    </w:p>
    <w:p>
      <w:pPr>
        <w:adjustRightInd w:val="0"/>
        <w:snapToGrid w:val="0"/>
        <w:spacing w:after="0" w:line="360" w:lineRule="auto"/>
        <w:ind w:left="420" w:leftChars="200" w:firstLine="964" w:firstLineChars="300"/>
        <w:rPr>
          <w:rFonts w:ascii="楷体_GB2312" w:eastAsia="楷体_GB2312" w:cs="DengXian-Bold"/>
          <w:b/>
          <w:bCs/>
          <w:sz w:val="32"/>
          <w:szCs w:val="32"/>
        </w:rPr>
      </w:pPr>
      <w:r>
        <w:rPr>
          <w:rFonts w:ascii="楷体_GB2312" w:eastAsia="楷体_GB2312" w:cs="DengXian-Bold"/>
          <w:b/>
          <w:bCs/>
          <w:sz w:val="32"/>
          <w:szCs w:val="32"/>
        </w:rPr>
        <w:drawing>
          <wp:inline distT="0" distB="0" distL="0" distR="0">
            <wp:extent cx="3838575" cy="2171700"/>
            <wp:effectExtent l="0" t="0" r="0" b="0"/>
            <wp:docPr id="26"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w:t>
      </w:r>
      <w:r>
        <w:rPr>
          <w:rFonts w:hint="eastAsia" w:ascii="楷体" w:hAnsi="楷体" w:eastAsia="楷体" w:cs="DengXian-Bold"/>
          <w:b/>
          <w:bCs/>
          <w:sz w:val="32"/>
          <w:szCs w:val="32"/>
        </w:rPr>
        <w:t>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年度一般公共预算财政拨款基本支出243.</w:t>
      </w:r>
      <w:r>
        <w:rPr>
          <w:rFonts w:hint="eastAsia" w:ascii="宋体" w:hAnsi="宋体" w:cs="宋体"/>
          <w:sz w:val="32"/>
          <w:szCs w:val="32"/>
        </w:rPr>
        <w:t>98</w:t>
      </w:r>
      <w:r>
        <w:rPr>
          <w:rFonts w:hint="eastAsia" w:ascii="仿宋_GB2312" w:eastAsia="仿宋_GB2312" w:cs="DengXian-Regular"/>
          <w:sz w:val="32"/>
          <w:szCs w:val="32"/>
        </w:rPr>
        <w:t>万元，其中：人员经费207.</w:t>
      </w:r>
      <w:r>
        <w:rPr>
          <w:rFonts w:hint="eastAsia" w:ascii="宋体" w:hAnsi="宋体" w:cs="宋体"/>
          <w:sz w:val="32"/>
          <w:szCs w:val="32"/>
        </w:rPr>
        <w:t>91</w:t>
      </w:r>
      <w:r>
        <w:rPr>
          <w:rFonts w:hint="eastAsia" w:ascii="仿宋_GB2312"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36.07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本部门2018年度“三公”经费支出共计2.41万元，</w:t>
      </w:r>
      <w:r>
        <w:rPr>
          <w:rFonts w:hint="eastAsia" w:ascii="仿宋_GB2312" w:eastAsia="仿宋_GB2312" w:cs="DengXian-Regular"/>
          <w:b/>
          <w:bCs/>
          <w:sz w:val="32"/>
          <w:szCs w:val="32"/>
        </w:rPr>
        <w:t>较年初预算减少0.7</w:t>
      </w:r>
      <w:r>
        <w:rPr>
          <w:rFonts w:hint="eastAsia" w:ascii="宋体" w:hAnsi="宋体" w:cs="宋体"/>
          <w:b/>
          <w:bCs/>
          <w:sz w:val="32"/>
          <w:szCs w:val="32"/>
        </w:rPr>
        <w:t>9</w:t>
      </w:r>
      <w:r>
        <w:rPr>
          <w:rFonts w:hint="eastAsia" w:ascii="仿宋_GB2312" w:eastAsia="仿宋_GB2312" w:cs="DengXian-Regular"/>
          <w:b/>
          <w:bCs/>
          <w:sz w:val="32"/>
          <w:szCs w:val="32"/>
        </w:rPr>
        <w:t>万元，降低24.6</w:t>
      </w:r>
      <w:r>
        <w:rPr>
          <w:rFonts w:hint="eastAsia" w:ascii="宋体" w:hAnsi="宋体" w:cs="宋体"/>
          <w:b/>
          <w:bCs/>
          <w:sz w:val="32"/>
          <w:szCs w:val="32"/>
        </w:rPr>
        <w:t>9</w:t>
      </w:r>
      <w:r>
        <w:rPr>
          <w:rFonts w:hint="eastAsia" w:ascii="仿宋_GB2312" w:eastAsia="仿宋_GB2312" w:cs="DengXian-Regular"/>
          <w:b/>
          <w:bCs/>
          <w:sz w:val="32"/>
          <w:szCs w:val="32"/>
        </w:rPr>
        <w:t>%，</w:t>
      </w:r>
      <w:r>
        <w:rPr>
          <w:rFonts w:hint="eastAsia" w:ascii="仿宋_GB2312" w:eastAsia="仿宋_GB2312" w:cs="DengXian-Regular"/>
          <w:sz w:val="32"/>
          <w:szCs w:val="32"/>
        </w:rPr>
        <w:t>主要是：认真贯彻落实中央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ascii="宋体" w:hAnsi="宋体" w:cs="宋体"/>
          <w:sz w:val="32"/>
          <w:szCs w:val="32"/>
        </w:rPr>
      </w:pPr>
      <w:r>
        <w:rPr>
          <w:rFonts w:hint="eastAsia" w:ascii="楷体_GB2312" w:eastAsia="楷体_GB2312" w:cs="DengXian-Bold"/>
          <w:b/>
          <w:bCs/>
          <w:sz w:val="32"/>
          <w:szCs w:val="32"/>
        </w:rPr>
        <w:t>（一）因公出国（境）费支出</w:t>
      </w:r>
      <w:r>
        <w:rPr>
          <w:rFonts w:hint="eastAsia" w:ascii="宋体" w:hAnsi="宋体" w:cs="宋体"/>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w:t>
      </w:r>
      <w:r>
        <w:rPr>
          <w:rFonts w:hint="eastAsia" w:ascii="宋体" w:hAnsi="宋体" w:cs="宋体"/>
          <w:sz w:val="32"/>
          <w:szCs w:val="32"/>
        </w:rPr>
        <w:t>未发生“因公出国（境）费支出”。与年初预算持平</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宋体" w:hAnsi="宋体" w:cs="宋体"/>
          <w:b/>
          <w:bCs/>
          <w:sz w:val="32"/>
          <w:szCs w:val="32"/>
        </w:rPr>
        <w:t>2.36</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本部门2018年度公务用车购置及运行维护费较年初预算减少0.84万元，降低26.25%,主要是缩减三公经费。</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 w:hAnsi="仿宋" w:eastAsia="仿宋"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本部门2018年度未发生“公务用车购置”经费支出，</w:t>
      </w:r>
      <w:r>
        <w:rPr>
          <w:rFonts w:hint="eastAsia" w:ascii="仿宋" w:hAnsi="仿宋" w:eastAsia="仿宋" w:cs="宋体"/>
          <w:sz w:val="32"/>
          <w:szCs w:val="32"/>
        </w:rPr>
        <w:t>与年初预算持平。</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本部门2018年度单位公务用车保有量1辆。公车运行维护费支出2.36万元，较年初预算减少0.84万元，降低26.25%,主要是缩减三公经费。</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宋体" w:hAnsi="宋体" w:cs="宋体"/>
          <w:b/>
          <w:bCs/>
          <w:sz w:val="32"/>
          <w:szCs w:val="32"/>
        </w:rPr>
        <w:t>0.05</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本部门2018年度公务接待共1批次、5人次。公务接待费0.05万元，支出较年初预算减少0.15万元，降低75%,主要是缩减三公经费。</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2018年度一般公共预算项目支出全面开展绩效自评，涉及第四次全国经济普查、住户抽样调查、粮食产量抽样调查等5个项目，涉及资金55.28万元。从评价情况看，评价结果为优秀的项目有2个，良好的项目有3个。</w:t>
      </w:r>
    </w:p>
    <w:p>
      <w:pPr>
        <w:adjustRightInd w:val="0"/>
        <w:snapToGrid w:val="0"/>
        <w:spacing w:after="0" w:line="580" w:lineRule="exact"/>
        <w:ind w:firstLine="640" w:firstLineChars="200"/>
        <w:rPr>
          <w:rFonts w:ascii="仿宋_GB2312" w:eastAsia="仿宋_GB2312" w:cs="DengXian-Regular"/>
          <w:sz w:val="32"/>
          <w:szCs w:val="32"/>
          <w:shd w:val="pct10" w:color="auto" w:fill="FFFFFF"/>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w:t>
      </w:r>
      <w:r>
        <w:rPr>
          <w:rFonts w:hint="eastAsia" w:ascii="仿宋" w:hAnsi="仿宋" w:eastAsia="仿宋" w:cs="DengXian-Regular"/>
          <w:sz w:val="32"/>
          <w:szCs w:val="32"/>
        </w:rPr>
        <w:t>位</w:t>
      </w:r>
      <w:r>
        <w:rPr>
          <w:rFonts w:hint="eastAsia" w:ascii="仿宋" w:hAnsi="仿宋" w:eastAsia="仿宋" w:cs="宋体"/>
          <w:sz w:val="32"/>
          <w:szCs w:val="32"/>
        </w:rPr>
        <w:t>第四次全国经济普查</w:t>
      </w:r>
      <w:r>
        <w:rPr>
          <w:rFonts w:hint="eastAsia" w:ascii="仿宋" w:hAnsi="仿宋" w:eastAsia="仿宋" w:cs="DengXian-Regular"/>
          <w:sz w:val="32"/>
          <w:szCs w:val="32"/>
        </w:rPr>
        <w:t>项目</w:t>
      </w:r>
      <w:r>
        <w:rPr>
          <w:rFonts w:hint="eastAsia" w:ascii="仿宋_GB2312" w:eastAsia="仿宋_GB2312" w:cs="DengXian-Regular"/>
          <w:sz w:val="32"/>
          <w:szCs w:val="32"/>
        </w:rPr>
        <w:t>绩效自评：根据年初设定的绩效目标，第四次全国经济普查项目绩效自评结果为优秀。项目全年预算数为20万元，执行数为1</w:t>
      </w:r>
      <w:r>
        <w:rPr>
          <w:rFonts w:hint="eastAsia" w:ascii="宋体" w:hAnsi="宋体" w:cs="宋体"/>
          <w:sz w:val="32"/>
          <w:szCs w:val="32"/>
        </w:rPr>
        <w:t>9.71</w:t>
      </w:r>
      <w:r>
        <w:rPr>
          <w:rFonts w:hint="eastAsia" w:ascii="仿宋_GB2312" w:eastAsia="仿宋_GB2312" w:cs="DengXian-Regular"/>
          <w:sz w:val="32"/>
          <w:szCs w:val="32"/>
        </w:rPr>
        <w:t>万元，完成预算的</w:t>
      </w:r>
      <w:r>
        <w:rPr>
          <w:rFonts w:hint="eastAsia" w:ascii="宋体" w:hAnsi="宋体" w:cs="宋体"/>
          <w:sz w:val="32"/>
          <w:szCs w:val="32"/>
        </w:rPr>
        <w:t>98.55</w:t>
      </w:r>
      <w:r>
        <w:rPr>
          <w:rFonts w:hint="eastAsia" w:ascii="仿宋_GB2312" w:eastAsia="仿宋_GB2312" w:cs="DengXian-Regular"/>
          <w:sz w:val="32"/>
          <w:szCs w:val="32"/>
        </w:rPr>
        <w:t>%。主要产出和效果是</w:t>
      </w:r>
      <w:r>
        <w:rPr>
          <w:rFonts w:hint="eastAsia" w:ascii="仿宋_GB2312" w:hAnsi="仿宋_GB2312" w:eastAsia="仿宋_GB2312" w:cs="仿宋_GB2312"/>
          <w:sz w:val="32"/>
          <w:szCs w:val="32"/>
        </w:rPr>
        <w:t>组织完成国情国力普查及重要调查任务，研究提出重大县情县力普查和抽样调查计划并组织实施，汇总、整理和提供有关县情县力方面的统计数据。未发现其他问题。</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本部门2018年度机关运行经费支出36.07万元，比年初预算数增加4.85万元，增长15.53%。主要原因是维修（护）费的增加。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w:t>
      </w:r>
      <w:r>
        <w:rPr>
          <w:rFonts w:hint="eastAsia" w:ascii="仿宋" w:hAnsi="仿宋" w:eastAsia="仿宋" w:cs="宋体"/>
          <w:sz w:val="32"/>
          <w:szCs w:val="32"/>
        </w:rPr>
        <w:t>无</w:t>
      </w:r>
      <w:r>
        <w:rPr>
          <w:rFonts w:hint="eastAsia" w:ascii="仿宋" w:hAnsi="仿宋" w:eastAsia="仿宋" w:cs="DengXian-Regular"/>
          <w:sz w:val="32"/>
          <w:szCs w:val="32"/>
        </w:rPr>
        <w:t>政</w:t>
      </w:r>
      <w:r>
        <w:rPr>
          <w:rFonts w:hint="eastAsia" w:ascii="仿宋_GB2312" w:eastAsia="仿宋_GB2312" w:cs="DengXian-Regular"/>
          <w:sz w:val="32"/>
          <w:szCs w:val="32"/>
        </w:rPr>
        <w:t>府采购支出</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截至2018年12月31日，本部门共有车辆1辆。较上年无增减变化。其中，一般公务用车1辆</w:t>
      </w:r>
      <w:r>
        <w:rPr>
          <w:rFonts w:hint="eastAsia" w:ascii="宋体" w:hAnsi="宋体" w:cs="宋体"/>
          <w:sz w:val="32"/>
          <w:szCs w:val="32"/>
        </w:rPr>
        <w:t>，</w:t>
      </w:r>
      <w:r>
        <w:rPr>
          <w:rFonts w:hint="eastAsia" w:ascii="仿宋_GB2312" w:eastAsia="仿宋_GB2312" w:cs="DengXian-Regular"/>
          <w:sz w:val="32"/>
          <w:szCs w:val="32"/>
        </w:rPr>
        <w:t>副部（省）级及以上领导用车0辆，主要领导干部用车0辆，机要通信用车0辆，应急保障用车0辆，执法执勤用车0辆，特种专业技术用车0辆，离退休干部用车0辆，其他用车0辆；单位价值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万元以上通用设备0台（套），与上年持平；单位价值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万元以上通用设备0台（套），与上年持平。</w:t>
      </w:r>
    </w:p>
    <w:p>
      <w:pPr>
        <w:adjustRightInd w:val="0"/>
        <w:snapToGrid w:val="0"/>
        <w:spacing w:after="0" w:line="580" w:lineRule="exact"/>
        <w:ind w:firstLine="640" w:firstLineChars="200"/>
        <w:rPr>
          <w:rFonts w:ascii="仿宋_GB2312" w:eastAsia="仿宋_GB2312" w:cs="DengXian-Regular"/>
          <w:sz w:val="32"/>
          <w:szCs w:val="32"/>
        </w:rPr>
      </w:pP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政府性基金预算财政拨款、国有资本经营预算财政拨款、政府采购无收支及结转结余情况，故政府性基金预算财政拨款收入支出决算表、国有资本经营预算财政拨款支出决算表、政府采购情况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697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6"/>
                    <a:stretch>
                      <a:fillRect/>
                    </a:stretch>
                  </pic:blipFill>
                  <pic:spPr>
                    <a:xfrm>
                      <a:off x="0" y="0"/>
                      <a:ext cx="7550150" cy="10680065"/>
                    </a:xfrm>
                    <a:prstGeom prst="rect">
                      <a:avLst/>
                    </a:prstGeom>
                  </pic:spPr>
                </pic:pic>
              </a:graphicData>
            </a:graphic>
          </wp:anchor>
        </w:drawing>
      </w:r>
      <w:r>
        <w:rPr>
          <w:sz w:val="72"/>
        </w:rPr>
        <w:pict>
          <v:shape id="_x0000_s1027" o:spid="_x0000_s1027" o:spt="202" type="#_x0000_t202" style="position:absolute;left:0pt;margin-left:-78.7pt;margin-top:232.8pt;height:159.1pt;width:596.2pt;z-index:25164595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5107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2"/>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5CD08D9-251B-492D-8A27-73D6D6F55547}"/>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embedRegular r:id="rId2" w:fontKey="{31D7D997-1106-4EFC-AB62-BB22F492E9B9}"/>
  </w:font>
  <w:font w:name="楷体">
    <w:panose1 w:val="02010609060101010101"/>
    <w:charset w:val="86"/>
    <w:family w:val="modern"/>
    <w:pitch w:val="default"/>
    <w:sig w:usb0="800002BF" w:usb1="38CF7CFA" w:usb2="00000016" w:usb3="00000000" w:csb0="00040001" w:csb1="00000000"/>
    <w:embedRegular r:id="rId3" w:fontKey="{330A8C1A-E663-4E18-86B4-51A15FCC07E1}"/>
  </w:font>
  <w:font w:name="楷体_GB2312">
    <w:panose1 w:val="02010609030101010101"/>
    <w:charset w:val="86"/>
    <w:family w:val="modern"/>
    <w:pitch w:val="default"/>
    <w:sig w:usb0="00000001" w:usb1="080E0000" w:usb2="00000000" w:usb3="00000000" w:csb0="00040000" w:csb1="00000000"/>
    <w:embedRegular r:id="rId4" w:fontKey="{BFB0C619-46B0-487C-8917-1F5F5310CF46}"/>
  </w:font>
  <w:font w:name="仿宋_GB2312">
    <w:panose1 w:val="02010609030101010101"/>
    <w:charset w:val="86"/>
    <w:family w:val="modern"/>
    <w:pitch w:val="default"/>
    <w:sig w:usb0="00000001" w:usb1="080E0000" w:usb2="00000000" w:usb3="00000000" w:csb0="00040000" w:csb1="00000000"/>
    <w:embedRegular r:id="rId5" w:fontKey="{5224084F-4B9C-4DBA-AC9D-1649C56B2B7E}"/>
  </w:font>
  <w:font w:name="ArialUnicodeMS">
    <w:altName w:val="Malgun Gothic"/>
    <w:panose1 w:val="00000000000000000000"/>
    <w:charset w:val="81"/>
    <w:family w:val="auto"/>
    <w:pitch w:val="default"/>
    <w:sig w:usb0="00000000" w:usb1="00000000" w:usb2="00000010" w:usb3="00000000" w:csb0="00080001" w:csb1="00000000"/>
    <w:embedRegular r:id="rId6" w:fontKey="{0AB9DFEB-51AD-4D16-8A90-D5A47190C4C7}"/>
  </w:font>
  <w:font w:name="MS-UIGothic,Bold">
    <w:altName w:val="Malgun Gothic"/>
    <w:panose1 w:val="00000000000000000000"/>
    <w:charset w:val="81"/>
    <w:family w:val="auto"/>
    <w:pitch w:val="default"/>
    <w:sig w:usb0="00000000" w:usb1="00000000" w:usb2="00000010" w:usb3="00000000" w:csb0="00080000" w:csb1="00000000"/>
    <w:embedRegular r:id="rId7" w:fontKey="{A76BE8A0-7021-4486-9B36-512E4FB57AFC}"/>
  </w:font>
  <w:font w:name="Arial">
    <w:panose1 w:val="020B0604020202020204"/>
    <w:charset w:val="00"/>
    <w:family w:val="swiss"/>
    <w:pitch w:val="default"/>
    <w:sig w:usb0="E0002AFF" w:usb1="C0007843" w:usb2="00000009" w:usb3="00000000" w:csb0="400001FF" w:csb1="FFFF0000"/>
    <w:embedRegular r:id="rId8" w:fontKey="{8A69044B-A4B2-49A6-9C70-585B167EC788}"/>
  </w:font>
  <w:font w:name="DengXian-Regular">
    <w:altName w:val="宋体"/>
    <w:panose1 w:val="00000000000000000000"/>
    <w:charset w:val="86"/>
    <w:family w:val="auto"/>
    <w:pitch w:val="default"/>
    <w:sig w:usb0="00000000" w:usb1="00000000" w:usb2="00000010" w:usb3="00000000" w:csb0="00040001" w:csb1="00000000"/>
    <w:embedRegular r:id="rId9" w:fontKey="{4D6D2BBA-ED0D-45A2-A001-6236E3071C3F}"/>
  </w:font>
  <w:font w:name="DengXian-Bold">
    <w:altName w:val="宋体"/>
    <w:panose1 w:val="00000000000000000000"/>
    <w:charset w:val="86"/>
    <w:family w:val="auto"/>
    <w:pitch w:val="default"/>
    <w:sig w:usb0="00000000" w:usb1="00000000" w:usb2="00000010" w:usb3="00000000" w:csb0="00040001" w:csb1="00000000"/>
    <w:embedRegular r:id="rId10" w:fontKey="{5F071E12-B4A5-45CA-96A3-41231653EA01}"/>
  </w:font>
  <w:font w:name="仿宋">
    <w:panose1 w:val="02010609060101010101"/>
    <w:charset w:val="86"/>
    <w:family w:val="modern"/>
    <w:pitch w:val="default"/>
    <w:sig w:usb0="800002BF" w:usb1="38CF7CFA" w:usb2="00000016" w:usb3="00000000" w:csb0="00040001" w:csb1="00000000"/>
    <w:embedRegular r:id="rId11" w:fontKey="{3C55330A-344F-4A40-AAF4-E86D653ADC44}"/>
  </w:font>
  <w:font w:name="TimesNewRomanPSMT">
    <w:altName w:val="Arial"/>
    <w:panose1 w:val="00000000000000000000"/>
    <w:charset w:val="00"/>
    <w:family w:val="swiss"/>
    <w:pitch w:val="default"/>
    <w:sig w:usb0="00000000" w:usb1="00000000" w:usb2="00000000" w:usb3="00000000" w:csb0="0000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24E7F"/>
    <w:rsid w:val="000368F6"/>
    <w:rsid w:val="00045217"/>
    <w:rsid w:val="000475A0"/>
    <w:rsid w:val="000838C3"/>
    <w:rsid w:val="000B2446"/>
    <w:rsid w:val="000C0FD1"/>
    <w:rsid w:val="000D7C65"/>
    <w:rsid w:val="000E1421"/>
    <w:rsid w:val="000E2F81"/>
    <w:rsid w:val="00117946"/>
    <w:rsid w:val="00117E2C"/>
    <w:rsid w:val="00136C70"/>
    <w:rsid w:val="00146C47"/>
    <w:rsid w:val="00152FB8"/>
    <w:rsid w:val="00176658"/>
    <w:rsid w:val="0018239E"/>
    <w:rsid w:val="001B3410"/>
    <w:rsid w:val="001C030D"/>
    <w:rsid w:val="001C4A84"/>
    <w:rsid w:val="001E5902"/>
    <w:rsid w:val="00221B5E"/>
    <w:rsid w:val="00224E91"/>
    <w:rsid w:val="00233705"/>
    <w:rsid w:val="002375BD"/>
    <w:rsid w:val="00275CA2"/>
    <w:rsid w:val="002A65A5"/>
    <w:rsid w:val="002C04C4"/>
    <w:rsid w:val="002D08B0"/>
    <w:rsid w:val="002D1AE3"/>
    <w:rsid w:val="002F2ECE"/>
    <w:rsid w:val="00341C8F"/>
    <w:rsid w:val="0035463A"/>
    <w:rsid w:val="00356253"/>
    <w:rsid w:val="00377225"/>
    <w:rsid w:val="003831E0"/>
    <w:rsid w:val="00391D9D"/>
    <w:rsid w:val="00391E1D"/>
    <w:rsid w:val="003B6C51"/>
    <w:rsid w:val="003C0CDA"/>
    <w:rsid w:val="003C1413"/>
    <w:rsid w:val="003C549F"/>
    <w:rsid w:val="003D5A16"/>
    <w:rsid w:val="003E7DB3"/>
    <w:rsid w:val="003F7EC9"/>
    <w:rsid w:val="004010C6"/>
    <w:rsid w:val="00431175"/>
    <w:rsid w:val="00435596"/>
    <w:rsid w:val="004357B9"/>
    <w:rsid w:val="00444663"/>
    <w:rsid w:val="00496091"/>
    <w:rsid w:val="004A05F4"/>
    <w:rsid w:val="004B5009"/>
    <w:rsid w:val="004B6E37"/>
    <w:rsid w:val="004C32BA"/>
    <w:rsid w:val="004D05EA"/>
    <w:rsid w:val="004F5862"/>
    <w:rsid w:val="00502871"/>
    <w:rsid w:val="00505A7E"/>
    <w:rsid w:val="0054127C"/>
    <w:rsid w:val="00575922"/>
    <w:rsid w:val="005A16FD"/>
    <w:rsid w:val="005A6C90"/>
    <w:rsid w:val="005E3DCF"/>
    <w:rsid w:val="005E3FB0"/>
    <w:rsid w:val="005F4B66"/>
    <w:rsid w:val="005F5208"/>
    <w:rsid w:val="00600B9E"/>
    <w:rsid w:val="00641318"/>
    <w:rsid w:val="0064405D"/>
    <w:rsid w:val="006507AC"/>
    <w:rsid w:val="00655877"/>
    <w:rsid w:val="00677D08"/>
    <w:rsid w:val="00685302"/>
    <w:rsid w:val="00695557"/>
    <w:rsid w:val="006D08F5"/>
    <w:rsid w:val="006D4EA7"/>
    <w:rsid w:val="0070012A"/>
    <w:rsid w:val="0070664B"/>
    <w:rsid w:val="007071B8"/>
    <w:rsid w:val="00712F80"/>
    <w:rsid w:val="007414DE"/>
    <w:rsid w:val="0074209C"/>
    <w:rsid w:val="00776CF7"/>
    <w:rsid w:val="00780163"/>
    <w:rsid w:val="007905A9"/>
    <w:rsid w:val="007A099A"/>
    <w:rsid w:val="007E5500"/>
    <w:rsid w:val="007F055B"/>
    <w:rsid w:val="0080644C"/>
    <w:rsid w:val="00811C2F"/>
    <w:rsid w:val="00833D46"/>
    <w:rsid w:val="00840A97"/>
    <w:rsid w:val="00893572"/>
    <w:rsid w:val="008B3381"/>
    <w:rsid w:val="008C0149"/>
    <w:rsid w:val="008C689C"/>
    <w:rsid w:val="008D5DED"/>
    <w:rsid w:val="008E25CA"/>
    <w:rsid w:val="008F34FC"/>
    <w:rsid w:val="00935058"/>
    <w:rsid w:val="00944CD7"/>
    <w:rsid w:val="00977E03"/>
    <w:rsid w:val="009831B2"/>
    <w:rsid w:val="009A1ABE"/>
    <w:rsid w:val="009C5C47"/>
    <w:rsid w:val="009E21A4"/>
    <w:rsid w:val="009E536E"/>
    <w:rsid w:val="009F22C6"/>
    <w:rsid w:val="00A07E50"/>
    <w:rsid w:val="00A15397"/>
    <w:rsid w:val="00A33F77"/>
    <w:rsid w:val="00A35CE0"/>
    <w:rsid w:val="00A4462E"/>
    <w:rsid w:val="00A44AA4"/>
    <w:rsid w:val="00A61623"/>
    <w:rsid w:val="00A63C27"/>
    <w:rsid w:val="00A64E35"/>
    <w:rsid w:val="00A84687"/>
    <w:rsid w:val="00A850E1"/>
    <w:rsid w:val="00A94921"/>
    <w:rsid w:val="00AB0A0E"/>
    <w:rsid w:val="00AC21CA"/>
    <w:rsid w:val="00AD3B6E"/>
    <w:rsid w:val="00B1751F"/>
    <w:rsid w:val="00B3052C"/>
    <w:rsid w:val="00B3669D"/>
    <w:rsid w:val="00B56722"/>
    <w:rsid w:val="00B65186"/>
    <w:rsid w:val="00B67327"/>
    <w:rsid w:val="00B74D39"/>
    <w:rsid w:val="00B75106"/>
    <w:rsid w:val="00B91DA4"/>
    <w:rsid w:val="00BB3268"/>
    <w:rsid w:val="00BB38C1"/>
    <w:rsid w:val="00BC4109"/>
    <w:rsid w:val="00BE1B57"/>
    <w:rsid w:val="00BF0BD6"/>
    <w:rsid w:val="00C02C4E"/>
    <w:rsid w:val="00C12630"/>
    <w:rsid w:val="00C22BD1"/>
    <w:rsid w:val="00C34562"/>
    <w:rsid w:val="00C3774E"/>
    <w:rsid w:val="00C57456"/>
    <w:rsid w:val="00C65387"/>
    <w:rsid w:val="00C87FAB"/>
    <w:rsid w:val="00C91FF7"/>
    <w:rsid w:val="00C94E53"/>
    <w:rsid w:val="00CB683A"/>
    <w:rsid w:val="00D0048E"/>
    <w:rsid w:val="00D23E7A"/>
    <w:rsid w:val="00D340EB"/>
    <w:rsid w:val="00D5755A"/>
    <w:rsid w:val="00D61063"/>
    <w:rsid w:val="00D671C9"/>
    <w:rsid w:val="00D83291"/>
    <w:rsid w:val="00DB1F78"/>
    <w:rsid w:val="00DB33C6"/>
    <w:rsid w:val="00DB35AF"/>
    <w:rsid w:val="00DD72D7"/>
    <w:rsid w:val="00DF5B88"/>
    <w:rsid w:val="00E0589E"/>
    <w:rsid w:val="00E1355F"/>
    <w:rsid w:val="00E241FA"/>
    <w:rsid w:val="00E2595E"/>
    <w:rsid w:val="00E35374"/>
    <w:rsid w:val="00E50046"/>
    <w:rsid w:val="00E50C19"/>
    <w:rsid w:val="00E64655"/>
    <w:rsid w:val="00E73081"/>
    <w:rsid w:val="00E856C9"/>
    <w:rsid w:val="00E8744D"/>
    <w:rsid w:val="00EB6A8B"/>
    <w:rsid w:val="00EF38C6"/>
    <w:rsid w:val="00F00090"/>
    <w:rsid w:val="00F105AE"/>
    <w:rsid w:val="00F679C7"/>
    <w:rsid w:val="00F7711A"/>
    <w:rsid w:val="00FA0D58"/>
    <w:rsid w:val="00FA56F4"/>
    <w:rsid w:val="00FB1847"/>
    <w:rsid w:val="00FB4EDA"/>
    <w:rsid w:val="00FC5223"/>
    <w:rsid w:val="00FD3762"/>
    <w:rsid w:val="00FD3BD5"/>
    <w:rsid w:val="00FE3DC8"/>
    <w:rsid w:val="04073F84"/>
    <w:rsid w:val="0536216E"/>
    <w:rsid w:val="059268C4"/>
    <w:rsid w:val="0AA169BC"/>
    <w:rsid w:val="0B60750A"/>
    <w:rsid w:val="10686488"/>
    <w:rsid w:val="10DF728A"/>
    <w:rsid w:val="1264200E"/>
    <w:rsid w:val="141C5B77"/>
    <w:rsid w:val="18D8339D"/>
    <w:rsid w:val="1A21388F"/>
    <w:rsid w:val="1A570D2F"/>
    <w:rsid w:val="1ABB2EAD"/>
    <w:rsid w:val="28FB0B8D"/>
    <w:rsid w:val="2A9870FC"/>
    <w:rsid w:val="2D2B7942"/>
    <w:rsid w:val="2D46481D"/>
    <w:rsid w:val="2D582B1B"/>
    <w:rsid w:val="2E733B28"/>
    <w:rsid w:val="31852B5A"/>
    <w:rsid w:val="32D01238"/>
    <w:rsid w:val="33CF0C68"/>
    <w:rsid w:val="3AD01935"/>
    <w:rsid w:val="3DFC59A8"/>
    <w:rsid w:val="3ECF245E"/>
    <w:rsid w:val="3FB96314"/>
    <w:rsid w:val="47CF5C11"/>
    <w:rsid w:val="4978555E"/>
    <w:rsid w:val="53A44FAF"/>
    <w:rsid w:val="58896613"/>
    <w:rsid w:val="594329EC"/>
    <w:rsid w:val="5BEE1540"/>
    <w:rsid w:val="5DE61A5D"/>
    <w:rsid w:val="63C04243"/>
    <w:rsid w:val="649C01C7"/>
    <w:rsid w:val="699A3F60"/>
    <w:rsid w:val="72902E62"/>
    <w:rsid w:val="73C61104"/>
    <w:rsid w:val="776452EA"/>
    <w:rsid w:val="7B021E26"/>
    <w:rsid w:val="7DC663B9"/>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customStyle="1" w:styleId="17">
    <w:name w:val="无间隔1"/>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customStyle="1" w:styleId="32">
    <w:name w:val="列出段落1"/>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3.xml"/><Relationship Id="rId8" Type="http://schemas.openxmlformats.org/officeDocument/2006/relationships/chart" Target="charts/chart2.xml"/><Relationship Id="rId7" Type="http://schemas.openxmlformats.org/officeDocument/2006/relationships/chart" Target="charts/chart1.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3.xml"/><Relationship Id="rId15" Type="http://schemas.openxmlformats.org/officeDocument/2006/relationships/customXml" Target="../customXml/item2.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3.jpeg"/><Relationship Id="rId11" Type="http://schemas.openxmlformats.org/officeDocument/2006/relationships/chart" Target="charts/chart5.xml"/><Relationship Id="rId10" Type="http://schemas.openxmlformats.org/officeDocument/2006/relationships/chart" Target="charts/chart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40520493506643"/>
          <c:y val="0.854477611940299"/>
        </c:manualLayout>
      </c:layout>
      <c:overlay val="0"/>
    </c:title>
    <c:autoTitleDeleted val="0"/>
    <c:plotArea>
      <c:layout>
        <c:manualLayout>
          <c:layoutTarget val="inner"/>
          <c:xMode val="edge"/>
          <c:yMode val="edge"/>
          <c:x val="0.0943148809218805"/>
          <c:y val="0.0575245818153331"/>
          <c:w val="0.811370238156239"/>
          <c:h val="0.765547851294711"/>
        </c:manualLayout>
      </c:layout>
      <c:pieChart>
        <c:varyColors val="1"/>
        <c:ser>
          <c:idx val="0"/>
          <c:order val="0"/>
          <c:explosion val="0"/>
          <c:dPt>
            <c:idx val="0"/>
            <c:bubble3D val="0"/>
          </c:dPt>
          <c:dPt>
            <c:idx val="1"/>
            <c:bubble3D val="0"/>
          </c:dPt>
          <c:dPt>
            <c:idx val="2"/>
            <c:bubble3D val="0"/>
          </c:dPt>
          <c:dPt>
            <c:idx val="3"/>
            <c:bubble3D val="0"/>
          </c:dPt>
          <c:dLbls>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收入情况说明!$C$9:$C$12</c:f>
              <c:strCache>
                <c:ptCount val="4"/>
                <c:pt idx="0">
                  <c:v>财政拨款收入</c:v>
                </c:pt>
                <c:pt idx="1">
                  <c:v>事业收入</c:v>
                </c:pt>
                <c:pt idx="2">
                  <c:v>经营收入</c:v>
                </c:pt>
                <c:pt idx="3">
                  <c:v>其他收入</c:v>
                </c:pt>
              </c:strCache>
            </c:strRef>
          </c:cat>
          <c:val>
            <c:numRef>
              <c:f>收入情况说明!$D$9:$D$12</c:f>
              <c:numCache>
                <c:formatCode>General</c:formatCode>
                <c:ptCount val="4"/>
                <c:pt idx="0">
                  <c:v>310.66</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12700"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
        </c:manualLayout>
      </c:layout>
      <c:overlay val="0"/>
    </c:title>
    <c:autoTitleDeleted val="0"/>
    <c:plotArea>
      <c:layout>
        <c:manualLayout>
          <c:layoutTarget val="inner"/>
          <c:xMode val="edge"/>
          <c:yMode val="edge"/>
          <c:x val="0.101627059597234"/>
          <c:y val="0.103243458204088"/>
          <c:w val="0.808785007968815"/>
          <c:h val="0.655154696572023"/>
        </c:manualLayout>
      </c:layout>
      <c:pieChart>
        <c:varyColors val="1"/>
        <c:ser>
          <c:idx val="0"/>
          <c:order val="0"/>
          <c:explosion val="0"/>
          <c:dPt>
            <c:idx val="0"/>
            <c:bubble3D val="0"/>
          </c:dPt>
          <c:dPt>
            <c:idx val="1"/>
            <c:bubble3D val="0"/>
          </c:dPt>
          <c:dPt>
            <c:idx val="2"/>
            <c:bubble3D val="0"/>
          </c:dPt>
          <c:dLbls>
            <c:dLbl>
              <c:idx val="2"/>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支出情况说明!$A$5:$A$7</c:f>
              <c:strCache>
                <c:ptCount val="3"/>
                <c:pt idx="0">
                  <c:v>基本支出</c:v>
                </c:pt>
                <c:pt idx="1">
                  <c:v>项目支出</c:v>
                </c:pt>
                <c:pt idx="2">
                  <c:v>经营支出</c:v>
                </c:pt>
              </c:strCache>
            </c:strRef>
          </c:cat>
          <c:val>
            <c:numRef>
              <c:f>支出情况说明!$B$5:$B$7</c:f>
              <c:numCache>
                <c:formatCode>General</c:formatCode>
                <c:ptCount val="3"/>
                <c:pt idx="0">
                  <c:v>243.98</c:v>
                </c:pt>
                <c:pt idx="1">
                  <c:v>77</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12700"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2017-2018</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23"/>
        </c:manualLayout>
      </c:layout>
      <c:overlay val="0"/>
    </c:title>
    <c:autoTitleDeleted val="0"/>
    <c:plotArea>
      <c:layout>
        <c:manualLayout>
          <c:layoutTarget val="inner"/>
          <c:xMode val="edge"/>
          <c:yMode val="edge"/>
          <c:x val="0.100155074365704"/>
          <c:y val="0.0702982734186981"/>
          <c:w val="0.869289370078742"/>
          <c:h val="0.601993408970845"/>
        </c:manualLayout>
      </c:layout>
      <c:barChart>
        <c:barDir val="col"/>
        <c:grouping val="clustered"/>
        <c:varyColors val="0"/>
        <c:ser>
          <c:idx val="0"/>
          <c:order val="0"/>
          <c:tx>
            <c:strRef>
              <c:f>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收支与决算对比!$B$5:$C$5</c:f>
              <c:numCache>
                <c:formatCode>General</c:formatCode>
                <c:ptCount val="2"/>
                <c:pt idx="0">
                  <c:v>310.66</c:v>
                </c:pt>
                <c:pt idx="1">
                  <c:v>320.989999999999</c:v>
                </c:pt>
              </c:numCache>
            </c:numRef>
          </c:val>
        </c:ser>
        <c:ser>
          <c:idx val="1"/>
          <c:order val="1"/>
          <c:tx>
            <c:strRef>
              <c:f>收支与决算对比!$A$6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收支与决算对比!$B$6:$C$6</c:f>
              <c:numCache>
                <c:formatCode>General</c:formatCode>
                <c:ptCount val="2"/>
                <c:pt idx="0">
                  <c:v>429.69</c:v>
                </c:pt>
                <c:pt idx="1">
                  <c:v>434.01</c:v>
                </c:pt>
              </c:numCache>
            </c:numRef>
          </c:val>
        </c:ser>
        <c:dLbls>
          <c:showLegendKey val="0"/>
          <c:showVal val="1"/>
          <c:showCatName val="0"/>
          <c:showSerName val="0"/>
          <c:showPercent val="0"/>
          <c:showBubbleSize val="0"/>
        </c:dLbls>
        <c:gapWidth val="75"/>
        <c:axId val="203162368"/>
        <c:axId val="203164288"/>
      </c:barChart>
      <c:catAx>
        <c:axId val="20316236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03164288"/>
        <c:crosses val="autoZero"/>
        <c:auto val="1"/>
        <c:lblAlgn val="ctr"/>
        <c:lblOffset val="100"/>
        <c:noMultiLvlLbl val="0"/>
      </c:catAx>
      <c:valAx>
        <c:axId val="203164288"/>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03162368"/>
        <c:crosses val="autoZero"/>
        <c:crossBetween val="between"/>
      </c:valAx>
    </c:plotArea>
    <c:legend>
      <c:legendPos val="b"/>
      <c:layout>
        <c:manualLayout>
          <c:xMode val="edge"/>
          <c:yMode val="edge"/>
          <c:x val="0.426340551181102"/>
          <c:y val="0.756835299740891"/>
          <c:w val="0.208429790026247"/>
          <c:h val="0.0770305149555992"/>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6"/>
          <c:y val="0.921675774134794"/>
        </c:manualLayout>
      </c:layout>
      <c:overlay val="0"/>
    </c:title>
    <c:autoTitleDeleted val="0"/>
    <c:plotArea>
      <c:layout>
        <c:manualLayout>
          <c:layoutTarget val="inner"/>
          <c:xMode val="edge"/>
          <c:yMode val="edge"/>
          <c:x val="0.100155074365704"/>
          <c:y val="0.0231156048675734"/>
          <c:w val="0.869289370078742"/>
          <c:h val="0.768818002863282"/>
        </c:manualLayout>
      </c:layout>
      <c:barChart>
        <c:barDir val="col"/>
        <c:grouping val="clustered"/>
        <c:varyColors val="0"/>
        <c:ser>
          <c:idx val="0"/>
          <c:order val="0"/>
          <c:tx>
            <c:strRef>
              <c:f>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收支与预算对比!$B$5:$C$5</c:f>
              <c:numCache>
                <c:formatCode>General</c:formatCode>
                <c:ptCount val="2"/>
                <c:pt idx="0">
                  <c:v>345.34</c:v>
                </c:pt>
                <c:pt idx="1">
                  <c:v>345.34</c:v>
                </c:pt>
              </c:numCache>
            </c:numRef>
          </c:val>
        </c:ser>
        <c:ser>
          <c:idx val="1"/>
          <c:order val="1"/>
          <c:tx>
            <c:strRef>
              <c:f>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收支与预算对比!$B$6:$C$6</c:f>
              <c:numCache>
                <c:formatCode>General</c:formatCode>
                <c:ptCount val="2"/>
                <c:pt idx="0">
                  <c:v>310.66</c:v>
                </c:pt>
                <c:pt idx="1">
                  <c:v>320.99</c:v>
                </c:pt>
              </c:numCache>
            </c:numRef>
          </c:val>
        </c:ser>
        <c:dLbls>
          <c:showLegendKey val="0"/>
          <c:showVal val="1"/>
          <c:showCatName val="0"/>
          <c:showSerName val="0"/>
          <c:showPercent val="0"/>
          <c:showBubbleSize val="0"/>
        </c:dLbls>
        <c:gapWidth val="75"/>
        <c:axId val="250805248"/>
        <c:axId val="254614144"/>
      </c:barChart>
      <c:catAx>
        <c:axId val="25080524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54614144"/>
        <c:crosses val="autoZero"/>
        <c:auto val="1"/>
        <c:lblAlgn val="ctr"/>
        <c:lblOffset val="100"/>
        <c:noMultiLvlLbl val="0"/>
      </c:catAx>
      <c:valAx>
        <c:axId val="254614144"/>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50805248"/>
        <c:crosses val="autoZero"/>
        <c:crossBetween val="between"/>
      </c:valAx>
    </c:plotArea>
    <c:legend>
      <c:legendPos val="b"/>
      <c:layout>
        <c:manualLayout>
          <c:xMode val="edge"/>
          <c:yMode val="edge"/>
          <c:x val="0.346718285214351"/>
          <c:y val="0.848750340633652"/>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5</a:t>
            </a:r>
            <a:r>
              <a:rPr lang="zh-CN" altLang="zh-CN" sz="12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200" b="0">
              <a:latin typeface="仿宋_GB2312" panose="02010609030101010101" pitchFamily="3" charset="-122"/>
              <a:ea typeface="仿宋_GB2312" panose="02010609030101010101" pitchFamily="3" charset="-122"/>
            </a:endParaRPr>
          </a:p>
        </c:rich>
      </c:tx>
      <c:layout>
        <c:manualLayout>
          <c:xMode val="edge"/>
          <c:yMode val="edge"/>
          <c:x val="0.184722222222223"/>
          <c:y val="0.849377281860749"/>
        </c:manualLayout>
      </c:layout>
      <c:overlay val="0"/>
    </c:title>
    <c:autoTitleDeleted val="0"/>
    <c:plotArea>
      <c:layout>
        <c:manualLayout>
          <c:layoutTarget val="inner"/>
          <c:xMode val="edge"/>
          <c:yMode val="edge"/>
          <c:x val="0.247529746281715"/>
          <c:y val="0.0882939369202049"/>
          <c:w val="0.552725940507438"/>
          <c:h val="0.711282711644957"/>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0"/>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zh-CN" altLang="en-US"/>
                      <a:t>一般公共服务支出</a:t>
                    </a:r>
                    <a:r>
                      <a:rPr lang="en-US" altLang="zh-CN"/>
                      <a:t>, 99.8%</a:t>
                    </a:r>
                    <a:endParaRPr lang="en-US" altLang="zh-CN"/>
                  </a:p>
                </c:rich>
              </c:tx>
              <c:dLblPos val="bestFit"/>
              <c:showLegendKey val="0"/>
              <c:showVal val="1"/>
              <c:showCatName val="1"/>
              <c:showSerName val="0"/>
              <c:showPercent val="0"/>
              <c:showBubbleSize val="0"/>
              <c:extLst>
                <c:ext xmlns:c15="http://schemas.microsoft.com/office/drawing/2012/chart" uri="{CE6537A1-D6FC-4f65-9D91-7224C49458BB}"/>
              </c:extLst>
            </c:dLbl>
            <c:dLbl>
              <c:idx val="1"/>
              <c:delete val="1"/>
            </c:dLbl>
            <c:dLbl>
              <c:idx val="2"/>
              <c:delete val="1"/>
            </c:dLbl>
            <c:dLbl>
              <c:idx val="3"/>
              <c:delete val="1"/>
            </c:dLbl>
            <c:dLbl>
              <c:idx val="4"/>
              <c:delete val="1"/>
            </c:dLbl>
            <c:dLbl>
              <c:idx val="5"/>
              <c:delete val="1"/>
            </c:dLbl>
            <c:dLbl>
              <c:idx val="6"/>
              <c:delete val="1"/>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layout>
                <c:manualLayout>
                  <c:x val="-0.0221139545056868"/>
                  <c:y val="0.0388257575757576"/>
                </c:manualLayout>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zh-CN" altLang="en-US"/>
                      <a:t>粮油物资储备支出</a:t>
                    </a:r>
                    <a:r>
                      <a:rPr lang="en-US" altLang="zh-CN"/>
                      <a:t>, 0.2%</a:t>
                    </a:r>
                    <a:endParaRPr lang="en-US" altLang="zh-CN"/>
                  </a:p>
                </c:rich>
              </c:tx>
              <c:dLblPos val="bestFit"/>
              <c:showLegendKey val="0"/>
              <c:showVal val="1"/>
              <c:showCatName val="1"/>
              <c:showSerName val="0"/>
              <c:showPercent val="0"/>
              <c:showBubbleSize val="0"/>
              <c:extLst>
                <c:ext xmlns:c15="http://schemas.microsoft.com/office/drawing/2012/chart" uri="{CE6537A1-D6FC-4f65-9D91-7224C49458BB}">
                  <c15:layout/>
                </c:ext>
              </c:extLst>
            </c:dLbl>
            <c:dLbl>
              <c:idx val="16"/>
              <c:delete val="1"/>
            </c:dLbl>
            <c:dLbl>
              <c:idx val="17"/>
              <c:delete val="1"/>
            </c:dLbl>
            <c:dLbl>
              <c:idx val="18"/>
              <c:delete val="1"/>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ext>
            </c:extLst>
          </c:dLbls>
          <c:cat>
            <c:strRef>
              <c:f>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支出决算结构!$B$5:$B$23</c:f>
              <c:numCache>
                <c:formatCode>General</c:formatCode>
                <c:ptCount val="19"/>
                <c:pt idx="0">
                  <c:v>320.78</c:v>
                </c:pt>
                <c:pt idx="15">
                  <c:v>0.2</c:v>
                </c:pt>
              </c:numCache>
            </c:numRef>
          </c:val>
        </c:ser>
        <c:dLbls>
          <c:showLegendKey val="0"/>
          <c:showVal val="1"/>
          <c:showCatName val="1"/>
          <c:showSerName val="0"/>
          <c:showPercent val="0"/>
          <c:showBubbleSize val="0"/>
          <c:showLeaderLines val="1"/>
        </c:dLbls>
        <c:firstSliceAng val="0"/>
      </c:pieChart>
    </c:plotArea>
    <c:plotVisOnly val="1"/>
    <c:dispBlanksAs val="zero"/>
    <c:showDLblsOverMax val="0"/>
  </c:chart>
  <c:spPr>
    <a:ln w="12700"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45"/>
    <customShpInfo spid="_x0000_s1044"/>
    <customShpInfo spid="_x0000_s1043"/>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4C7388D-2D47-4F13-ABA1-8C10458C7274}">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32</Pages>
  <Words>1649</Words>
  <Characters>9404</Characters>
  <Lines>78</Lines>
  <Paragraphs>22</Paragraphs>
  <TotalTime>4</TotalTime>
  <ScaleCrop>false</ScaleCrop>
  <LinksUpToDate>false</LinksUpToDate>
  <CharactersWithSpaces>11031</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2019-08-02T01:01:00Z</cp:lastPrinted>
  <dcterms:modified xsi:type="dcterms:W3CDTF">2024-01-03T07:58:39Z</dcterms:modified>
  <dc:subject>石家庄市xxx部门</dc:subject>
  <dc:title>2017年度部门决算</dc:title>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