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无极县七汲镇人民政府</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w:t>
      </w:r>
      <w:r>
        <w:rPr>
          <w:rFonts w:eastAsia="黑体"/>
          <w:sz w:val="32"/>
          <w:szCs w:val="32"/>
        </w:rPr>
        <w:t>七汲镇部门概况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w:t>
      </w:r>
      <w:r>
        <w:rPr>
          <w:rFonts w:eastAsia="黑体"/>
          <w:sz w:val="32"/>
          <w:szCs w:val="32"/>
        </w:rPr>
        <w:t>七汲镇部门2017年度部门决算报表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w:t>
      </w:r>
      <w:r>
        <w:rPr>
          <w:rFonts w:eastAsia="黑体"/>
          <w:sz w:val="32"/>
          <w:szCs w:val="32"/>
        </w:rPr>
        <w:t>七汲镇部门2017年部门决算情况说明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3" w:firstLineChars="200"/>
        <w:rPr>
          <w:rFonts w:ascii="宋体" w:hAnsi="宋体" w:cs="宋体"/>
          <w:b/>
          <w:bCs/>
          <w:sz w:val="32"/>
          <w:szCs w:val="32"/>
        </w:rPr>
      </w:pPr>
      <w:r>
        <w:rPr>
          <w:rFonts w:hint="eastAsia" w:ascii="宋体" w:hAnsi="宋体" w:cs="宋体"/>
          <w:b/>
          <w:bCs/>
          <w:sz w:val="32"/>
          <w:szCs w:val="32"/>
        </w:rPr>
        <w:t>第四部分名词解释</w:t>
      </w:r>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宣传、贯彻、执行党的路线方针政策和国家的法律、法规,执行本级人民代表大会的决议和上级国家行政机关的决定和命令,其主要职能为:</w:t>
      </w:r>
    </w:p>
    <w:p>
      <w:pPr>
        <w:numPr>
          <w:ilvl w:val="0"/>
          <w:numId w:val="1"/>
        </w:numPr>
        <w:adjustRightInd w:val="0"/>
        <w:snapToGrid w:val="0"/>
        <w:spacing w:line="560" w:lineRule="exact"/>
        <w:jc w:val="left"/>
        <w:rPr>
          <w:rFonts w:ascii="仿宋_GB2312" w:hAnsi="仿宋" w:eastAsia="仿宋_GB2312"/>
          <w:sz w:val="32"/>
          <w:szCs w:val="32"/>
        </w:rPr>
      </w:pPr>
      <w:r>
        <w:rPr>
          <w:rFonts w:hint="eastAsia" w:ascii="仿宋_GB2312" w:hAnsi="仿宋" w:eastAsia="仿宋_GB2312"/>
          <w:sz w:val="32"/>
          <w:szCs w:val="32"/>
        </w:rPr>
        <w:t>促进经济发展</w:t>
      </w:r>
    </w:p>
    <w:p>
      <w:pPr>
        <w:adjustRightInd w:val="0"/>
        <w:snapToGrid w:val="0"/>
        <w:spacing w:line="56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2.加强社会管理</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3.提供公共服务</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4.维护农村稳定</w:t>
      </w:r>
    </w:p>
    <w:p>
      <w:pPr>
        <w:adjustRightInd w:val="0"/>
        <w:snapToGrid w:val="0"/>
        <w:spacing w:line="560" w:lineRule="exact"/>
        <w:ind w:firstLine="627" w:firstLineChars="196"/>
        <w:jc w:val="left"/>
        <w:rPr>
          <w:rFonts w:ascii="仿宋_GB2312" w:hAnsi="Cambria" w:eastAsia="仿宋_GB2312" w:cs="ArialUnicodeMS"/>
          <w:kern w:val="0"/>
          <w:sz w:val="32"/>
          <w:szCs w:val="32"/>
          <w:highlight w:val="yellow"/>
        </w:rPr>
      </w:pPr>
      <w:r>
        <w:rPr>
          <w:rFonts w:hint="eastAsia" w:ascii="仿宋_GB2312" w:hAnsi="仿宋" w:eastAsia="仿宋_GB2312"/>
          <w:sz w:val="32"/>
          <w:szCs w:val="32"/>
        </w:rPr>
        <w:t>主要包括:（1）做好社会治安综合</w:t>
      </w:r>
      <w:r>
        <w:rPr>
          <w:rFonts w:hint="eastAsia" w:ascii="仿宋_GB2312" w:hAnsi="仿宋" w:eastAsia="仿宋_GB2312"/>
          <w:sz w:val="32"/>
          <w:szCs w:val="32"/>
          <w:lang w:eastAsia="zh-CN"/>
        </w:rPr>
        <w:t>治理</w:t>
      </w:r>
      <w:r>
        <w:rPr>
          <w:rFonts w:hint="eastAsia" w:ascii="仿宋_GB2312" w:hAnsi="仿宋" w:eastAsia="仿宋_GB2312"/>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3"/>
        <w:spacing w:before="0" w:after="0" w:line="560" w:lineRule="exact"/>
        <w:ind w:firstLine="643" w:firstLineChars="200"/>
        <w:rPr>
          <w:rFonts w:ascii="黑体" w:hAnsi="Cambria" w:eastAsia="黑体"/>
          <w:kern w:val="0"/>
        </w:rPr>
      </w:pP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 w:hAnsi="仿宋" w:eastAsia="仿宋" w:cs="仿宋"/>
          <w:kern w:val="0"/>
          <w:sz w:val="32"/>
          <w:szCs w:val="32"/>
        </w:rPr>
      </w:pPr>
      <w:r>
        <w:rPr>
          <w:rFonts w:hint="eastAsia" w:ascii="仿宋" w:hAnsi="仿宋" w:eastAsia="仿宋" w:cs="仿宋"/>
          <w:kern w:val="0"/>
          <w:sz w:val="32"/>
          <w:szCs w:val="32"/>
        </w:rPr>
        <w:t>2017 年度，纳入本部门决算汇编范围的独立核算单位（以下简称“单位”）共1个，是无极县七汲镇人民政府，单位基本性质为行政单位，预算管理级次为一级预算单位，执行行政单位会计制度，较上年无增减变化。</w:t>
      </w:r>
    </w:p>
    <w:p>
      <w:pPr>
        <w:autoSpaceDE w:val="0"/>
        <w:autoSpaceDN w:val="0"/>
        <w:adjustRightInd w:val="0"/>
        <w:spacing w:after="0" w:line="560" w:lineRule="exact"/>
        <w:ind w:firstLine="640" w:firstLineChars="200"/>
        <w:jc w:val="left"/>
        <w:rPr>
          <w:rFonts w:ascii="仿宋" w:hAnsi="仿宋" w:eastAsia="仿宋" w:cs="仿宋"/>
          <w:kern w:val="0"/>
          <w:sz w:val="32"/>
          <w:szCs w:val="32"/>
        </w:rPr>
      </w:pPr>
    </w:p>
    <w:tbl>
      <w:tblPr>
        <w:tblStyle w:val="10"/>
        <w:tblW w:w="91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9"/>
        <w:gridCol w:w="1077"/>
        <w:gridCol w:w="1077"/>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4309" w:type="dxa"/>
            <w:vAlign w:val="center"/>
          </w:tcPr>
          <w:p>
            <w:pPr>
              <w:ind w:firstLine="361"/>
              <w:jc w:val="center"/>
              <w:rPr>
                <w:rFonts w:ascii="宋体" w:hAnsi="宋体" w:cs="宋体"/>
                <w:b/>
                <w:sz w:val="18"/>
              </w:rPr>
            </w:pPr>
            <w:r>
              <w:rPr>
                <w:rFonts w:hint="eastAsia" w:ascii="宋体" w:hAnsi="宋体" w:cs="宋体"/>
                <w:b/>
                <w:sz w:val="18"/>
              </w:rPr>
              <w:t>单位名称</w:t>
            </w:r>
          </w:p>
        </w:tc>
        <w:tc>
          <w:tcPr>
            <w:tcW w:w="1077" w:type="dxa"/>
            <w:vAlign w:val="center"/>
          </w:tcPr>
          <w:p>
            <w:pPr>
              <w:rPr>
                <w:rFonts w:ascii="宋体" w:hAnsi="宋体" w:cs="宋体"/>
                <w:b/>
                <w:sz w:val="18"/>
              </w:rPr>
            </w:pPr>
            <w:r>
              <w:rPr>
                <w:rFonts w:hint="eastAsia" w:ascii="宋体" w:hAnsi="宋体" w:cs="宋体"/>
                <w:b/>
                <w:sz w:val="18"/>
              </w:rPr>
              <w:t>单位规格</w:t>
            </w:r>
          </w:p>
        </w:tc>
        <w:tc>
          <w:tcPr>
            <w:tcW w:w="1077" w:type="dxa"/>
            <w:vAlign w:val="center"/>
          </w:tcPr>
          <w:p>
            <w:pPr>
              <w:jc w:val="center"/>
              <w:rPr>
                <w:rFonts w:ascii="宋体" w:hAnsi="宋体" w:cs="宋体"/>
                <w:b/>
                <w:sz w:val="18"/>
              </w:rPr>
            </w:pPr>
            <w:r>
              <w:rPr>
                <w:rFonts w:hint="eastAsia" w:ascii="宋体" w:hAnsi="宋体" w:cs="宋体"/>
                <w:b/>
                <w:sz w:val="18"/>
              </w:rPr>
              <w:t>单位性质</w:t>
            </w:r>
          </w:p>
        </w:tc>
        <w:tc>
          <w:tcPr>
            <w:tcW w:w="2721" w:type="dxa"/>
            <w:vAlign w:val="center"/>
          </w:tcPr>
          <w:p>
            <w:pPr>
              <w:ind w:firstLine="361"/>
              <w:jc w:val="center"/>
              <w:rPr>
                <w:rFonts w:ascii="宋体" w:hAnsi="宋体" w:cs="宋体"/>
                <w:b/>
                <w:sz w:val="18"/>
              </w:rPr>
            </w:pPr>
            <w:r>
              <w:rPr>
                <w:rFonts w:hint="eastAsia" w:ascii="宋体" w:hAnsi="宋体" w:cs="宋体"/>
                <w:b/>
                <w:sz w:val="18"/>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4309" w:type="dxa"/>
            <w:vAlign w:val="center"/>
          </w:tcPr>
          <w:p>
            <w:pPr>
              <w:ind w:firstLine="480"/>
              <w:jc w:val="center"/>
              <w:rPr>
                <w:rFonts w:ascii="仿宋" w:hAnsi="仿宋" w:eastAsia="仿宋" w:cs="仿宋"/>
                <w:sz w:val="24"/>
              </w:rPr>
            </w:pPr>
            <w:r>
              <w:rPr>
                <w:rFonts w:hint="eastAsia" w:ascii="仿宋" w:hAnsi="仿宋" w:eastAsia="仿宋" w:cs="仿宋"/>
                <w:sz w:val="24"/>
              </w:rPr>
              <w:t>石家庄市无极县七汲镇人民政府</w:t>
            </w:r>
          </w:p>
        </w:tc>
        <w:tc>
          <w:tcPr>
            <w:tcW w:w="1077" w:type="dxa"/>
            <w:vAlign w:val="center"/>
          </w:tcPr>
          <w:p>
            <w:pPr>
              <w:jc w:val="center"/>
              <w:rPr>
                <w:rFonts w:ascii="仿宋" w:hAnsi="仿宋" w:eastAsia="仿宋" w:cs="仿宋"/>
                <w:sz w:val="24"/>
              </w:rPr>
            </w:pPr>
            <w:r>
              <w:rPr>
                <w:rFonts w:hint="eastAsia" w:ascii="仿宋" w:hAnsi="仿宋" w:eastAsia="仿宋" w:cs="仿宋"/>
                <w:sz w:val="24"/>
              </w:rPr>
              <w:t>行政</w:t>
            </w:r>
          </w:p>
        </w:tc>
        <w:tc>
          <w:tcPr>
            <w:tcW w:w="1077" w:type="dxa"/>
            <w:vAlign w:val="center"/>
          </w:tcPr>
          <w:p>
            <w:pPr>
              <w:jc w:val="center"/>
              <w:rPr>
                <w:rFonts w:ascii="仿宋" w:hAnsi="仿宋" w:eastAsia="仿宋" w:cs="仿宋"/>
                <w:sz w:val="24"/>
              </w:rPr>
            </w:pPr>
            <w:r>
              <w:rPr>
                <w:rFonts w:hint="eastAsia" w:ascii="仿宋" w:hAnsi="仿宋" w:eastAsia="仿宋" w:cs="仿宋"/>
                <w:sz w:val="24"/>
              </w:rPr>
              <w:t>正科级</w:t>
            </w:r>
          </w:p>
        </w:tc>
        <w:tc>
          <w:tcPr>
            <w:tcW w:w="2721" w:type="dxa"/>
            <w:vAlign w:val="center"/>
          </w:tcPr>
          <w:p>
            <w:pPr>
              <w:ind w:firstLine="480"/>
              <w:jc w:val="center"/>
              <w:rPr>
                <w:rFonts w:ascii="仿宋" w:hAnsi="仿宋" w:eastAsia="仿宋" w:cs="仿宋"/>
                <w:sz w:val="24"/>
              </w:rPr>
            </w:pPr>
            <w:r>
              <w:rPr>
                <w:rFonts w:hint="eastAsia" w:ascii="仿宋" w:hAnsi="仿宋" w:eastAsia="仿宋" w:cs="仿宋"/>
                <w:sz w:val="24"/>
              </w:rPr>
              <w:t>财政拨款</w:t>
            </w:r>
          </w:p>
        </w:tc>
      </w:tr>
    </w:tbl>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charSpace="0"/>
        </w:sectPr>
      </w:pPr>
    </w:p>
    <w:p>
      <w:pPr>
        <w:widowControl/>
        <w:spacing w:line="560" w:lineRule="exact"/>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w:t>
      </w:r>
      <w:r>
        <w:rPr>
          <w:rFonts w:ascii="仿宋_GB2312" w:eastAsia="仿宋_GB2312" w:cs="DengXian-Regular"/>
          <w:sz w:val="32"/>
          <w:szCs w:val="32"/>
        </w:rPr>
        <w:t>560.38</w:t>
      </w:r>
      <w:r>
        <w:rPr>
          <w:rFonts w:hint="eastAsia" w:ascii="仿宋_GB2312" w:eastAsia="仿宋_GB2312" w:cs="DengXian-Regular"/>
          <w:sz w:val="32"/>
          <w:szCs w:val="32"/>
        </w:rPr>
        <w:t>万元；本年支出</w:t>
      </w:r>
      <w:r>
        <w:rPr>
          <w:rFonts w:hint="eastAsia" w:ascii="仿宋_GB2312" w:eastAsia="仿宋_GB2312" w:cs="DengXian-Regular"/>
          <w:b/>
          <w:bCs/>
          <w:sz w:val="32"/>
          <w:szCs w:val="32"/>
        </w:rPr>
        <w:t>531.08</w:t>
      </w:r>
      <w:r>
        <w:rPr>
          <w:rFonts w:hint="eastAsia" w:ascii="仿宋_GB2312" w:eastAsia="仿宋_GB2312" w:cs="DengXian-Regular"/>
          <w:sz w:val="32"/>
          <w:szCs w:val="32"/>
        </w:rPr>
        <w:t>万元、年末结转和结余29.30万元。与2016年度决算相比，本年收入比</w:t>
      </w:r>
      <w:r>
        <w:rPr>
          <w:rFonts w:ascii="仿宋_GB2312" w:eastAsia="仿宋_GB2312" w:cs="DengXian-Regular"/>
          <w:sz w:val="32"/>
          <w:szCs w:val="32"/>
        </w:rPr>
        <w:t>2016年</w:t>
      </w:r>
      <w:r>
        <w:rPr>
          <w:rFonts w:hint="eastAsia" w:ascii="仿宋_GB2312" w:eastAsia="仿宋_GB2312" w:cs="DengXian-Regular"/>
          <w:sz w:val="32"/>
          <w:szCs w:val="32"/>
        </w:rPr>
        <w:t>减少103.12万元，下降15.5</w:t>
      </w:r>
      <w:r>
        <w:rPr>
          <w:rFonts w:ascii="仿宋_GB2312" w:eastAsia="仿宋_GB2312" w:cs="DengXian-Regular"/>
          <w:sz w:val="32"/>
          <w:szCs w:val="32"/>
        </w:rPr>
        <w:t>%</w:t>
      </w:r>
      <w:r>
        <w:rPr>
          <w:rFonts w:hint="eastAsia" w:ascii="仿宋_GB2312" w:eastAsia="仿宋_GB2312" w:cs="DengXian-Regular"/>
          <w:sz w:val="32"/>
          <w:szCs w:val="32"/>
        </w:rPr>
        <w:t>。主要原因是：较上年办公业务减少。支出比</w:t>
      </w:r>
      <w:r>
        <w:rPr>
          <w:rFonts w:ascii="仿宋_GB2312" w:eastAsia="仿宋_GB2312" w:cs="DengXian-Regular"/>
          <w:sz w:val="32"/>
          <w:szCs w:val="32"/>
        </w:rPr>
        <w:t>2016年</w:t>
      </w:r>
      <w:r>
        <w:rPr>
          <w:rFonts w:hint="eastAsia" w:ascii="仿宋_GB2312" w:eastAsia="仿宋_GB2312" w:cs="DengXian-Regular"/>
          <w:sz w:val="32"/>
          <w:szCs w:val="32"/>
        </w:rPr>
        <w:t>减少132.42万元，下降2</w:t>
      </w:r>
      <w:r>
        <w:rPr>
          <w:rFonts w:ascii="仿宋_GB2312" w:eastAsia="仿宋_GB2312" w:cs="DengXian-Regular"/>
          <w:sz w:val="32"/>
          <w:szCs w:val="32"/>
        </w:rPr>
        <w:t>0%</w:t>
      </w:r>
      <w:r>
        <w:rPr>
          <w:rFonts w:hint="eastAsia" w:ascii="仿宋_GB2312" w:eastAsia="仿宋_GB2312" w:cs="DengXian-Regular"/>
          <w:sz w:val="32"/>
          <w:szCs w:val="32"/>
        </w:rPr>
        <w:t>。主要原因是：较上年办公业务减少。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w:t>
      </w:r>
      <w:r>
        <w:rPr>
          <w:rFonts w:ascii="仿宋_GB2312" w:eastAsia="仿宋_GB2312" w:cs="DengXian-Regular"/>
          <w:sz w:val="32"/>
          <w:szCs w:val="32"/>
        </w:rPr>
        <w:t>560.38</w:t>
      </w:r>
      <w:r>
        <w:rPr>
          <w:rFonts w:hint="eastAsia" w:ascii="仿宋_GB2312" w:eastAsia="仿宋_GB2312" w:cs="DengXian-Regular"/>
          <w:sz w:val="32"/>
          <w:szCs w:val="32"/>
        </w:rPr>
        <w:t>万元，其中：财政拨款收入</w:t>
      </w:r>
      <w:r>
        <w:rPr>
          <w:rFonts w:ascii="仿宋_GB2312" w:eastAsia="仿宋_GB2312" w:cs="DengXian-Regular"/>
          <w:sz w:val="32"/>
          <w:szCs w:val="32"/>
        </w:rPr>
        <w:t>560.38</w:t>
      </w:r>
      <w:r>
        <w:rPr>
          <w:rFonts w:hint="eastAsia" w:ascii="仿宋_GB2312" w:eastAsia="仿宋_GB2312" w:cs="DengXian-Regular"/>
          <w:sz w:val="32"/>
          <w:szCs w:val="32"/>
        </w:rPr>
        <w:t>万元，占100%；事业收入0万元，占0%；经营收入0万元，占0%；其他收入0万元，占0%。如图所示：</w:t>
      </w:r>
    </w:p>
    <w:p>
      <w:pPr>
        <w:ind w:firstLine="640"/>
        <w:rPr>
          <w:rFonts w:ascii="仿宋" w:hAnsi="仿宋" w:eastAsia="仿宋" w:cs="仿宋"/>
          <w:sz w:val="32"/>
          <w:szCs w:val="32"/>
        </w:rPr>
      </w:pPr>
      <w:r>
        <w:rPr>
          <w:rFonts w:hint="eastAsia" w:ascii="仿宋" w:hAnsi="仿宋" w:eastAsia="仿宋" w:cs="仿宋"/>
          <w:sz w:val="32"/>
          <w:szCs w:val="32"/>
        </w:rPr>
        <w:t xml:space="preserve">        图1;收入决算结构饼状图</w:t>
      </w:r>
    </w:p>
    <w:p>
      <w:pPr>
        <w:ind w:firstLine="640"/>
        <w:rPr>
          <w:rFonts w:ascii="仿宋" w:hAnsi="仿宋" w:eastAsia="仿宋" w:cs="仿宋"/>
          <w:sz w:val="32"/>
          <w:szCs w:val="32"/>
        </w:rPr>
      </w:pPr>
      <w:r>
        <w:drawing>
          <wp:inline distT="0" distB="0" distL="114300" distR="114300">
            <wp:extent cx="5610225" cy="2552700"/>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5610225" cy="2552700"/>
                    </a:xfrm>
                    <a:prstGeom prst="rect">
                      <a:avLst/>
                    </a:prstGeom>
                    <a:noFill/>
                    <a:ln>
                      <a:noFill/>
                    </a:ln>
                  </pic:spPr>
                </pic:pic>
              </a:graphicData>
            </a:graphic>
          </wp:inline>
        </w:drawing>
      </w:r>
    </w:p>
    <w:p>
      <w:pPr>
        <w:adjustRightInd w:val="0"/>
        <w:snapToGrid w:val="0"/>
        <w:spacing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w:t>
      </w:r>
      <w:r>
        <w:rPr>
          <w:rFonts w:hint="eastAsia" w:ascii="仿宋_GB2312" w:eastAsia="仿宋_GB2312" w:cs="DengXian-Regular"/>
          <w:b/>
          <w:bCs/>
          <w:sz w:val="32"/>
          <w:szCs w:val="32"/>
        </w:rPr>
        <w:t>531.08</w:t>
      </w:r>
      <w:r>
        <w:rPr>
          <w:rFonts w:hint="eastAsia" w:ascii="仿宋_GB2312" w:eastAsia="仿宋_GB2312" w:cs="DengXian-Regular"/>
          <w:sz w:val="32"/>
          <w:szCs w:val="32"/>
        </w:rPr>
        <w:t>万元，其中：基本支出</w:t>
      </w:r>
      <w:r>
        <w:rPr>
          <w:rFonts w:hint="eastAsia" w:ascii="仿宋_GB2312" w:eastAsia="仿宋_GB2312" w:cs="DengXian-Regular"/>
          <w:b/>
          <w:bCs/>
          <w:sz w:val="32"/>
          <w:szCs w:val="32"/>
        </w:rPr>
        <w:t>499.08</w:t>
      </w:r>
      <w:r>
        <w:rPr>
          <w:rFonts w:hint="eastAsia" w:ascii="仿宋_GB2312" w:eastAsia="仿宋_GB2312" w:cs="DengXian-Regular"/>
          <w:sz w:val="32"/>
          <w:szCs w:val="32"/>
        </w:rPr>
        <w:t>万元，占94%；项目支出32万元，占6%；经营支出0万元，占0%。如图所示：</w:t>
      </w:r>
    </w:p>
    <w:p>
      <w:pPr>
        <w:ind w:firstLine="640" w:firstLineChars="200"/>
        <w:rPr>
          <w:rFonts w:ascii="仿宋" w:hAnsi="仿宋" w:eastAsia="仿宋" w:cs="仿宋"/>
          <w:sz w:val="32"/>
          <w:szCs w:val="32"/>
        </w:rPr>
      </w:pPr>
      <w:r>
        <w:rPr>
          <w:rFonts w:hint="eastAsia" w:ascii="仿宋" w:hAnsi="仿宋" w:eastAsia="仿宋" w:cs="仿宋"/>
          <w:sz w:val="32"/>
          <w:szCs w:val="32"/>
        </w:rPr>
        <w:t xml:space="preserve">        图2：支出决算结构饼状图</w:t>
      </w:r>
    </w:p>
    <w:p>
      <w:pPr>
        <w:ind w:firstLine="420" w:firstLineChars="200"/>
        <w:rPr>
          <w:rFonts w:ascii="仿宋" w:hAnsi="仿宋" w:eastAsia="仿宋" w:cs="仿宋"/>
          <w:sz w:val="32"/>
          <w:szCs w:val="32"/>
        </w:rPr>
      </w:pPr>
      <w:r>
        <w:drawing>
          <wp:inline distT="0" distB="0" distL="114300" distR="114300">
            <wp:extent cx="5610225" cy="2552700"/>
            <wp:effectExtent l="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5610225" cy="2552700"/>
                    </a:xfrm>
                    <a:prstGeom prst="rect">
                      <a:avLst/>
                    </a:prstGeom>
                    <a:noFill/>
                    <a:ln>
                      <a:noFill/>
                    </a:ln>
                  </pic:spPr>
                </pic:pic>
              </a:graphicData>
            </a:graphic>
          </wp:inline>
        </w:drawing>
      </w:r>
    </w:p>
    <w:p>
      <w:pPr>
        <w:adjustRightInd w:val="0"/>
        <w:snapToGrid w:val="0"/>
        <w:spacing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本部门2017年度财政拨款收支全部为一般公共预算财政拨款收支。一般公共预算财政拨款年初结转和结余0万元、本年收入</w:t>
      </w:r>
      <w:r>
        <w:rPr>
          <w:rFonts w:ascii="仿宋_GB2312" w:eastAsia="仿宋_GB2312" w:cs="DengXian-Regular"/>
          <w:sz w:val="32"/>
          <w:szCs w:val="32"/>
        </w:rPr>
        <w:t>560.38</w:t>
      </w:r>
      <w:r>
        <w:rPr>
          <w:rFonts w:hint="eastAsia" w:ascii="仿宋_GB2312" w:eastAsia="仿宋_GB2312" w:cs="DengXian-Regular"/>
          <w:sz w:val="32"/>
          <w:szCs w:val="32"/>
        </w:rPr>
        <w:t>万元；本年支出</w:t>
      </w:r>
      <w:r>
        <w:rPr>
          <w:rFonts w:hint="eastAsia" w:ascii="仿宋_GB2312" w:eastAsia="仿宋_GB2312" w:cs="DengXian-Regular"/>
          <w:b/>
          <w:bCs/>
          <w:sz w:val="32"/>
          <w:szCs w:val="32"/>
        </w:rPr>
        <w:t>531.08</w:t>
      </w:r>
      <w:r>
        <w:rPr>
          <w:rFonts w:hint="eastAsia" w:ascii="仿宋_GB2312" w:eastAsia="仿宋_GB2312" w:cs="DengXian-Regular"/>
          <w:sz w:val="32"/>
          <w:szCs w:val="32"/>
        </w:rPr>
        <w:t>万元、年末结转和结余29.3万元。与2016年度决算相比，一般公共预算财政拨款本年收入减少103.12万元，降低15.5</w:t>
      </w:r>
      <w:r>
        <w:rPr>
          <w:rFonts w:ascii="仿宋_GB2312" w:eastAsia="仿宋_GB2312" w:cs="DengXian-Regular"/>
          <w:sz w:val="32"/>
          <w:szCs w:val="32"/>
        </w:rPr>
        <w:t>%</w:t>
      </w:r>
      <w:r>
        <w:rPr>
          <w:rFonts w:hint="eastAsia" w:ascii="仿宋_GB2312" w:eastAsia="仿宋_GB2312" w:cs="DengXian-Regular"/>
          <w:sz w:val="32"/>
          <w:szCs w:val="32"/>
        </w:rPr>
        <w:t>，主要原因是：2017年拨款减少。支出减少132.42万元，降低20</w:t>
      </w:r>
      <w:r>
        <w:rPr>
          <w:rFonts w:ascii="仿宋_GB2312" w:eastAsia="仿宋_GB2312" w:cs="DengXian-Regular"/>
          <w:sz w:val="32"/>
          <w:szCs w:val="32"/>
        </w:rPr>
        <w:t>%</w:t>
      </w:r>
      <w:r>
        <w:rPr>
          <w:rFonts w:hint="eastAsia" w:ascii="仿宋_GB2312" w:eastAsia="仿宋_GB2312" w:cs="DengXian-Regular"/>
          <w:sz w:val="32"/>
          <w:szCs w:val="32"/>
        </w:rPr>
        <w:t>。主要原因是：2017年拨款减少，节俭开支，行政运行支出减少。</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本部门2017年度一般公共预算财政拨款本年收入较2017年初预算增加0万元，增长0%，与年初批复的预算数相比一致。</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本部门2017年度“三公”经费支出共计2.9万元，较年初预算减少1.3万元，减少31%，主要是正常开支；较2016年度决算减少1.1万元，降低27.5%，主要是维护正常运行开支。具体情况如下：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本年度未发生因公出国（境）费支出，较年初预算无增减变化,主要是无；较2016年度决算无增减变化,主要是无。</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（二）公务用车购置及运行维护费支出2.88万元。</w:t>
      </w:r>
      <w:r>
        <w:rPr>
          <w:rFonts w:hint="eastAsia" w:ascii="仿宋_GB2312" w:eastAsia="仿宋_GB2312" w:cs="DengXian-Regular"/>
          <w:sz w:val="32"/>
          <w:szCs w:val="32"/>
        </w:rPr>
        <w:t>本部门2017年度公务用车购置及运行维护费较年初预算减少0.12万元，降低0%,主要是维护正常运行开支；较2016年度决算减少0.82万元</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本部门2017年度公务用车购置量0辆，发生“公务用车购置”经费支出0万元。主要是</w:t>
      </w:r>
      <w:r>
        <w:rPr>
          <w:rFonts w:hint="eastAsia" w:ascii="仿宋_GB2312" w:eastAsia="仿宋_GB2312" w:cs="DengXian-Regular"/>
          <w:color w:val="000000"/>
          <w:sz w:val="32"/>
          <w:szCs w:val="32"/>
        </w:rPr>
        <w:t>“未发生“公务用车购置”经费支出</w:t>
      </w:r>
      <w:r>
        <w:rPr>
          <w:rFonts w:hint="eastAsia" w:ascii="仿宋_GB2312" w:eastAsia="仿宋_GB2312" w:cs="DengXian-Regular"/>
          <w:sz w:val="32"/>
          <w:szCs w:val="32"/>
        </w:rPr>
        <w:t>；较年初预算无增减变化,</w:t>
      </w:r>
      <w:r>
        <w:rPr>
          <w:rFonts w:hint="eastAsia" w:ascii="仿宋_GB2312" w:eastAsia="仿宋_GB2312" w:cs="DengXian-Regular"/>
          <w:color w:val="000000"/>
          <w:sz w:val="32"/>
          <w:szCs w:val="32"/>
        </w:rPr>
        <w:t>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本部门2017年度单位公务用车保有量1辆。公车运行维护费支出较年初预算减少0.12万元，降低4%,主要是维护正常运行开支；较2016年度决算减少0.82万元。</w:t>
      </w:r>
    </w:p>
    <w:p>
      <w:pPr>
        <w:adjustRightInd w:val="0"/>
        <w:snapToGrid w:val="0"/>
        <w:spacing w:after="0" w:line="560" w:lineRule="exact"/>
        <w:ind w:firstLine="643" w:firstLineChars="200"/>
        <w:rPr>
          <w:rFonts w:ascii="仿宋_GB2312" w:eastAsia="仿宋_GB2312" w:cs="DengXian-Regular"/>
          <w:color w:val="000000"/>
          <w:sz w:val="32"/>
          <w:szCs w:val="32"/>
        </w:rPr>
      </w:pPr>
      <w:r>
        <w:rPr>
          <w:rFonts w:hint="eastAsia" w:ascii="楷体_GB2312" w:eastAsia="楷体_GB2312" w:cs="DengXian-Bold"/>
          <w:b/>
          <w:bCs/>
          <w:sz w:val="32"/>
          <w:szCs w:val="32"/>
        </w:rPr>
        <w:t>（三）公务接待费支出0.02万元。</w:t>
      </w:r>
      <w:r>
        <w:rPr>
          <w:rFonts w:hint="eastAsia" w:ascii="仿宋_GB2312" w:eastAsia="仿宋_GB2312" w:cs="DengXian-Regular"/>
          <w:sz w:val="32"/>
          <w:szCs w:val="32"/>
        </w:rPr>
        <w:t>本部门2017年度公务接待共1批次、5人次。公务接待费支出比年初预算减少</w:t>
      </w:r>
      <w:r>
        <w:rPr>
          <w:rFonts w:ascii="仿宋_GB2312" w:eastAsia="仿宋_GB2312" w:cs="DengXian-Regular"/>
          <w:sz w:val="32"/>
          <w:szCs w:val="32"/>
        </w:rPr>
        <w:t>1.18</w:t>
      </w:r>
      <w:r>
        <w:rPr>
          <w:rFonts w:hint="eastAsia" w:ascii="仿宋_GB2312" w:eastAsia="仿宋_GB2312" w:cs="DengXian-Regular"/>
          <w:sz w:val="32"/>
          <w:szCs w:val="32"/>
        </w:rPr>
        <w:t>万元，降低98.3%,主要是公务接待减少；</w:t>
      </w:r>
      <w:r>
        <w:rPr>
          <w:rFonts w:hint="eastAsia" w:ascii="仿宋_GB2312" w:eastAsia="仿宋_GB2312" w:cs="DengXian-Regular"/>
          <w:color w:val="000000"/>
          <w:sz w:val="32"/>
          <w:szCs w:val="32"/>
        </w:rPr>
        <w:t>较2016年度决算减少0</w:t>
      </w:r>
      <w:r>
        <w:rPr>
          <w:rFonts w:ascii="仿宋_GB2312" w:eastAsia="仿宋_GB2312" w:cs="DengXian-Regular"/>
          <w:color w:val="000000"/>
          <w:sz w:val="32"/>
          <w:szCs w:val="32"/>
        </w:rPr>
        <w:t>.28</w:t>
      </w:r>
      <w:r>
        <w:rPr>
          <w:rFonts w:hint="eastAsia" w:ascii="仿宋_GB2312" w:eastAsia="仿宋_GB2312" w:cs="DengXian-Regular"/>
          <w:color w:val="000000"/>
          <w:sz w:val="32"/>
          <w:szCs w:val="32"/>
        </w:rPr>
        <w:t>万元。</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根据预算绩效管理要求，本单位组织对2017年度一般公共预算项目支出全面开展绩效自评，涉及西庄占地协调管理费和东汉通村公路建设补助款项目，涉及资金32万元，自评结果为良好。</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    本单位西庄占地协调管理费和东汉通村公路建设补助款项目绩效自评：根据年初设定的绩效目标，西庄占地协调管理费和东汉通村公路建设补助款项目自评结果为良好。项目全年预算数为32万元。完成预算的100%。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本部门2017年度机关运行经费支出91.17万元，比</w:t>
      </w:r>
      <w:r>
        <w:rPr>
          <w:rFonts w:ascii="仿宋_GB2312" w:eastAsia="仿宋_GB2312" w:cs="DengXian-Regular"/>
          <w:sz w:val="32"/>
          <w:szCs w:val="32"/>
        </w:rPr>
        <w:t>2016</w:t>
      </w:r>
      <w:r>
        <w:rPr>
          <w:rFonts w:hint="eastAsia" w:ascii="仿宋_GB2312" w:eastAsia="仿宋_GB2312" w:cs="DengXian-Regular"/>
          <w:sz w:val="32"/>
          <w:szCs w:val="32"/>
        </w:rPr>
        <w:t>年增加</w:t>
      </w:r>
      <w:r>
        <w:rPr>
          <w:rFonts w:ascii="仿宋_GB2312" w:eastAsia="仿宋_GB2312" w:cs="DengXian-Regular"/>
          <w:sz w:val="32"/>
          <w:szCs w:val="32"/>
        </w:rPr>
        <w:t>38.37</w:t>
      </w:r>
      <w:r>
        <w:rPr>
          <w:rFonts w:hint="eastAsia" w:ascii="仿宋_GB2312" w:eastAsia="仿宋_GB2312" w:cs="DengXian-Regular"/>
          <w:sz w:val="32"/>
          <w:szCs w:val="32"/>
        </w:rPr>
        <w:t>万元，增长7</w:t>
      </w:r>
      <w:r>
        <w:rPr>
          <w:rFonts w:ascii="仿宋_GB2312" w:eastAsia="仿宋_GB2312" w:cs="DengXian-Regular"/>
          <w:sz w:val="32"/>
          <w:szCs w:val="32"/>
        </w:rPr>
        <w:t>5%</w:t>
      </w:r>
      <w:r>
        <w:rPr>
          <w:rFonts w:hint="eastAsia" w:ascii="仿宋_GB2312" w:eastAsia="仿宋_GB2312" w:cs="DengXian-Regular"/>
          <w:sz w:val="32"/>
          <w:szCs w:val="32"/>
        </w:rPr>
        <w:t>。主要原因：办公业务增多</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本部门2017年度政府采购支出总额额</w:t>
      </w:r>
      <w:r>
        <w:rPr>
          <w:rFonts w:ascii="仿宋_GB2312" w:eastAsia="仿宋_GB2312" w:cs="DengXian-Regular"/>
          <w:sz w:val="32"/>
          <w:szCs w:val="32"/>
        </w:rPr>
        <w:t>99.95</w:t>
      </w:r>
      <w:r>
        <w:rPr>
          <w:rFonts w:hint="eastAsia" w:ascii="仿宋_GB2312" w:eastAsia="仿宋_GB2312" w:cs="DengXian-Regular"/>
          <w:sz w:val="32"/>
          <w:szCs w:val="32"/>
        </w:rPr>
        <w:t>万元，其中：政府采购货物支出0万元、政府采购工程支出额</w:t>
      </w:r>
      <w:r>
        <w:rPr>
          <w:rFonts w:ascii="仿宋_GB2312" w:eastAsia="仿宋_GB2312" w:cs="DengXian-Regular"/>
          <w:sz w:val="32"/>
          <w:szCs w:val="32"/>
        </w:rPr>
        <w:t>99.95</w:t>
      </w:r>
      <w:r>
        <w:rPr>
          <w:rFonts w:hint="eastAsia" w:ascii="仿宋_GB2312" w:eastAsia="仿宋_GB2312" w:cs="DengXian-Regular"/>
          <w:sz w:val="32"/>
          <w:szCs w:val="32"/>
        </w:rPr>
        <w:t>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截至2017年12月31日，本部门共有车辆4辆，其中，市级领导干部用车0辆、一般公务用车1辆、一般执法执勤用车0辆、特种专业技术用车0辆、其他用车3辆，其他用车主要是0；单位价值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1、本部门2017年度政府性基金预算财政拨款收入支出决算表为空、国有资本经营预算财政拨款收入支出决算表为空、无收支及结转结余情况，故以空表列示。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2000000" w:usb3="00000000" w:csb0="0000019F" w:csb1="00000000"/>
  </w:font>
  <w:font w:name="FreeSerif">
    <w:panose1 w:val="02020603050405020304"/>
    <w:charset w:val="00"/>
    <w:family w:val="auto"/>
    <w:pitch w:val="default"/>
    <w:sig w:usb0="E59FAFFF" w:usb1="C200FDFF" w:usb2="43501B29" w:usb3="04000043" w:csb0="600101FF" w:csb1="FFFF0000"/>
  </w:font>
  <w:font w:name="方正小标宋_GBK">
    <w:panose1 w:val="02000000000000000000"/>
    <w:charset w:val="86"/>
    <w:family w:val="auto"/>
    <w:pitch w:val="default"/>
    <w:sig w:usb0="00000001" w:usb1="08000000" w:usb2="00000000" w:usb3="00000000" w:csb0="00040000" w:csb1="00000000"/>
  </w:font>
  <w:font w:name="仿宋_GB2312">
    <w:altName w:val="方正仿宋_GBK"/>
    <w:panose1 w:val="00000000000000000000"/>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书宋_GBK"/>
    <w:panose1 w:val="00000000000000000000"/>
    <w:charset w:val="81"/>
    <w:family w:val="auto"/>
    <w:pitch w:val="default"/>
    <w:sig w:usb0="00000000" w:usb1="00000000" w:usb2="00000010" w:usb3="00000000" w:csb0="0008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altName w:val="方正楷体_GBK"/>
    <w:panose1 w:val="00000000000000000000"/>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auto"/>
    <w:pitch w:val="default"/>
    <w:sig w:usb0="00000000" w:usb1="00000000" w:usb2="00000000" w:usb3="00000000" w:csb0="00000001" w:csb1="00000000"/>
  </w:font>
  <w:font w:name="SimSun,Bold">
    <w:altName w:val="华文中宋"/>
    <w:panose1 w:val="00000000000000000000"/>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7"/>
    <w:multiLevelType w:val="multilevel"/>
    <w:tmpl w:val="00000007"/>
    <w:lvl w:ilvl="0" w:tentative="0">
      <w:start w:val="1"/>
      <w:numFmt w:val="decimal"/>
      <w:lvlText w:val="%1."/>
      <w:lvlJc w:val="left"/>
      <w:pPr>
        <w:tabs>
          <w:tab w:val="left" w:pos="1047"/>
        </w:tabs>
        <w:ind w:left="1047" w:hanging="420"/>
      </w:pPr>
    </w:lvl>
    <w:lvl w:ilvl="1" w:tentative="0">
      <w:start w:val="1"/>
      <w:numFmt w:val="lowerLetter"/>
      <w:lvlText w:val="%2)"/>
      <w:lvlJc w:val="left"/>
      <w:pPr>
        <w:tabs>
          <w:tab w:val="left" w:pos="1467"/>
        </w:tabs>
        <w:ind w:left="1467" w:hanging="420"/>
      </w:pPr>
    </w:lvl>
    <w:lvl w:ilvl="2" w:tentative="0">
      <w:start w:val="1"/>
      <w:numFmt w:val="lowerRoman"/>
      <w:lvlText w:val="%3."/>
      <w:lvlJc w:val="right"/>
      <w:pPr>
        <w:tabs>
          <w:tab w:val="left" w:pos="1887"/>
        </w:tabs>
        <w:ind w:left="1887" w:hanging="420"/>
      </w:pPr>
    </w:lvl>
    <w:lvl w:ilvl="3" w:tentative="0">
      <w:start w:val="1"/>
      <w:numFmt w:val="decimal"/>
      <w:lvlText w:val="%4."/>
      <w:lvlJc w:val="left"/>
      <w:pPr>
        <w:tabs>
          <w:tab w:val="left" w:pos="2307"/>
        </w:tabs>
        <w:ind w:left="2307" w:hanging="420"/>
      </w:pPr>
    </w:lvl>
    <w:lvl w:ilvl="4" w:tentative="0">
      <w:start w:val="1"/>
      <w:numFmt w:val="lowerLetter"/>
      <w:lvlText w:val="%5)"/>
      <w:lvlJc w:val="left"/>
      <w:pPr>
        <w:tabs>
          <w:tab w:val="left" w:pos="2727"/>
        </w:tabs>
        <w:ind w:left="2727" w:hanging="420"/>
      </w:pPr>
    </w:lvl>
    <w:lvl w:ilvl="5" w:tentative="0">
      <w:start w:val="1"/>
      <w:numFmt w:val="lowerRoman"/>
      <w:lvlText w:val="%6."/>
      <w:lvlJc w:val="right"/>
      <w:pPr>
        <w:tabs>
          <w:tab w:val="left" w:pos="3147"/>
        </w:tabs>
        <w:ind w:left="3147" w:hanging="420"/>
      </w:pPr>
    </w:lvl>
    <w:lvl w:ilvl="6" w:tentative="0">
      <w:start w:val="1"/>
      <w:numFmt w:val="decimal"/>
      <w:lvlText w:val="%7."/>
      <w:lvlJc w:val="left"/>
      <w:pPr>
        <w:tabs>
          <w:tab w:val="left" w:pos="3567"/>
        </w:tabs>
        <w:ind w:left="3567" w:hanging="420"/>
      </w:pPr>
    </w:lvl>
    <w:lvl w:ilvl="7" w:tentative="0">
      <w:start w:val="1"/>
      <w:numFmt w:val="lowerLetter"/>
      <w:lvlText w:val="%8)"/>
      <w:lvlJc w:val="left"/>
      <w:pPr>
        <w:tabs>
          <w:tab w:val="left" w:pos="3987"/>
        </w:tabs>
        <w:ind w:left="3987" w:hanging="420"/>
      </w:pPr>
    </w:lvl>
    <w:lvl w:ilvl="8" w:tentative="0">
      <w:start w:val="1"/>
      <w:numFmt w:val="lowerRoman"/>
      <w:lvlText w:val="%9."/>
      <w:lvlJc w:val="right"/>
      <w:pPr>
        <w:tabs>
          <w:tab w:val="left" w:pos="4407"/>
        </w:tabs>
        <w:ind w:left="4407"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3DD"/>
    <w:rsid w:val="00D003DD"/>
    <w:rsid w:val="00E2556F"/>
    <w:rsid w:val="2F870BD1"/>
    <w:rsid w:val="345713E4"/>
    <w:rsid w:val="4F5EDFF1"/>
    <w:rsid w:val="599263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6"/>
    <w:qFormat/>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qFormat/>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字符"/>
    <w:link w:val="2"/>
    <w:semiHidden/>
    <w:qFormat/>
    <w:uiPriority w:val="0"/>
    <w:rPr>
      <w:rFonts w:ascii="Times New Roman" w:hAnsi="Times New Roman" w:eastAsia="宋体" w:cs="Times New Roman"/>
      <w:b/>
      <w:bCs/>
      <w:kern w:val="44"/>
      <w:sz w:val="44"/>
      <w:szCs w:val="44"/>
    </w:rPr>
  </w:style>
  <w:style w:type="character" w:customStyle="1" w:styleId="13">
    <w:name w:val="标题 2 字符"/>
    <w:link w:val="3"/>
    <w:semiHidden/>
    <w:qFormat/>
    <w:uiPriority w:val="0"/>
    <w:rPr>
      <w:rFonts w:ascii="Calibri" w:hAnsi="Calibri" w:eastAsia="宋体" w:cs="黑体"/>
      <w:b/>
      <w:bCs/>
      <w:sz w:val="32"/>
      <w:szCs w:val="32"/>
    </w:rPr>
  </w:style>
  <w:style w:type="character" w:customStyle="1" w:styleId="14">
    <w:name w:val="标题 3 字符"/>
    <w:link w:val="4"/>
    <w:semiHidden/>
    <w:qFormat/>
    <w:uiPriority w:val="0"/>
    <w:rPr>
      <w:rFonts w:ascii="Times New Roman" w:hAnsi="Times New Roman" w:eastAsia="宋体" w:cs="Times New Roman"/>
      <w:b/>
      <w:bCs/>
      <w:sz w:val="32"/>
      <w:szCs w:val="32"/>
    </w:rPr>
  </w:style>
  <w:style w:type="character" w:customStyle="1" w:styleId="15">
    <w:name w:val="标题 4 字符"/>
    <w:link w:val="5"/>
    <w:semiHidden/>
    <w:qFormat/>
    <w:uiPriority w:val="0"/>
    <w:rPr>
      <w:rFonts w:ascii="Calibri" w:hAnsi="Calibri" w:eastAsia="宋体" w:cs="黑体"/>
      <w:b/>
      <w:bCs/>
      <w:sz w:val="28"/>
      <w:szCs w:val="28"/>
    </w:rPr>
  </w:style>
  <w:style w:type="character" w:customStyle="1" w:styleId="16">
    <w:name w:val="页脚 字符"/>
    <w:link w:val="6"/>
    <w:semiHidden/>
    <w:qFormat/>
    <w:uiPriority w:val="0"/>
    <w:rPr>
      <w:sz w:val="18"/>
      <w:szCs w:val="18"/>
    </w:rPr>
  </w:style>
  <w:style w:type="character" w:customStyle="1" w:styleId="17">
    <w:name w:val="页眉 字符"/>
    <w:link w:val="7"/>
    <w:semiHidden/>
    <w:qFormat/>
    <w:uiPriority w:val="0"/>
    <w:rPr>
      <w:sz w:val="18"/>
      <w:szCs w:val="18"/>
    </w:rPr>
  </w:style>
  <w:style w:type="character" w:customStyle="1" w:styleId="18">
    <w:name w:val="副标题 字符"/>
    <w:link w:val="8"/>
    <w:semiHidden/>
    <w:qFormat/>
    <w:uiPriority w:val="0"/>
    <w:rPr>
      <w:rFonts w:ascii="Calibri" w:hAnsi="Calibri" w:eastAsia="宋体" w:cs="黑体"/>
      <w:i/>
      <w:iCs/>
      <w:color w:val="F0A22E"/>
      <w:spacing w:val="15"/>
      <w:kern w:val="0"/>
      <w:sz w:val="24"/>
      <w:szCs w:val="24"/>
    </w:rPr>
  </w:style>
  <w:style w:type="character" w:customStyle="1" w:styleId="19">
    <w:name w:val="标题 字符"/>
    <w:link w:val="9"/>
    <w:semiHidden/>
    <w:qFormat/>
    <w:uiPriority w:val="0"/>
    <w:rPr>
      <w:rFonts w:ascii="Calibri" w:hAnsi="Calibri" w:eastAsia="宋体" w:cs="黑体"/>
      <w:color w:val="392B23"/>
      <w:spacing w:val="5"/>
      <w:kern w:val="28"/>
      <w:sz w:val="52"/>
      <w:szCs w:val="52"/>
    </w:rPr>
  </w:style>
  <w:style w:type="paragraph" w:customStyle="1" w:styleId="20">
    <w:name w:val="批注框文本 Char Char"/>
    <w:basedOn w:val="1"/>
    <w:link w:val="22"/>
    <w:qFormat/>
    <w:uiPriority w:val="0"/>
    <w:rPr>
      <w:sz w:val="18"/>
      <w:szCs w:val="18"/>
    </w:rPr>
  </w:style>
  <w:style w:type="paragraph" w:customStyle="1" w:styleId="21">
    <w:name w:val="无间隔1"/>
    <w:link w:val="23"/>
    <w:qFormat/>
    <w:uiPriority w:val="0"/>
    <w:pPr>
      <w:spacing w:after="160" w:line="480" w:lineRule="auto"/>
    </w:pPr>
    <w:rPr>
      <w:rFonts w:ascii="Times New Roman" w:hAnsi="Times New Roman" w:eastAsia="宋体" w:cs="Times New Roman"/>
      <w:sz w:val="22"/>
      <w:lang w:val="en-US" w:eastAsia="zh-CN" w:bidi="ar-SA"/>
    </w:rPr>
  </w:style>
  <w:style w:type="character" w:customStyle="1" w:styleId="22">
    <w:name w:val="批注框文本 Char Char Char"/>
    <w:link w:val="20"/>
    <w:semiHidden/>
    <w:qFormat/>
    <w:uiPriority w:val="0"/>
    <w:rPr>
      <w:rFonts w:ascii="Times New Roman" w:hAnsi="Times New Roman" w:eastAsia="宋体" w:cs="Times New Roman"/>
      <w:sz w:val="18"/>
      <w:szCs w:val="18"/>
    </w:rPr>
  </w:style>
  <w:style w:type="character" w:customStyle="1" w:styleId="23">
    <w:name w:val="无间隔 Char"/>
    <w:link w:val="21"/>
    <w:semiHidden/>
    <w:qFormat/>
    <w:uiPriority w:val="0"/>
    <w:rPr>
      <w:kern w:val="0"/>
      <w:sz w:val="22"/>
    </w:rPr>
  </w:style>
  <w:style w:type="character" w:customStyle="1" w:styleId="24">
    <w:name w:val="Style1"/>
    <w:qFormat/>
    <w:uiPriority w:val="0"/>
    <w:rPr>
      <w:rFonts w:ascii="Cambria" w:hAnsi="黑体" w:eastAsia="黑体" w:cs="黑体"/>
      <w:sz w:val="22"/>
      <w:szCs w:val="22"/>
      <w:lang w:eastAsia="zh-CN"/>
    </w:rPr>
  </w:style>
  <w:style w:type="character" w:customStyle="1" w:styleId="25">
    <w:name w:val="Style2"/>
    <w:qFormat/>
    <w:uiPriority w:val="0"/>
    <w:rPr>
      <w:rFonts w:ascii="Cambria" w:hAnsi="黑体" w:eastAsia="黑体" w:cs="黑体"/>
      <w:sz w:val="22"/>
      <w:szCs w:val="22"/>
      <w:lang w:eastAsia="zh-CN"/>
    </w:rPr>
  </w:style>
  <w:style w:type="character" w:customStyle="1" w:styleId="26">
    <w:name w:val="Style3"/>
    <w:qFormat/>
    <w:uiPriority w:val="0"/>
    <w:rPr>
      <w:rFonts w:ascii="Cambria" w:hAnsi="黑体" w:eastAsia="黑体" w:cs="黑体"/>
      <w:szCs w:val="22"/>
      <w:lang w:eastAsia="zh-CN"/>
    </w:rPr>
  </w:style>
  <w:style w:type="character" w:customStyle="1" w:styleId="27">
    <w:name w:val="Style4"/>
    <w:qFormat/>
    <w:uiPriority w:val="0"/>
    <w:rPr>
      <w:rFonts w:ascii="Cambria" w:hAnsi="黑体" w:eastAsia="黑体" w:cs="黑体"/>
      <w:szCs w:val="22"/>
      <w:lang w:eastAsia="zh-CN"/>
    </w:rPr>
  </w:style>
  <w:style w:type="character" w:customStyle="1" w:styleId="28">
    <w:name w:val="Style5"/>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753</Words>
  <Characters>4298</Characters>
  <Lines>35</Lines>
  <Paragraphs>10</Paragraphs>
  <TotalTime>3</TotalTime>
  <ScaleCrop>false</ScaleCrop>
  <LinksUpToDate>false</LinksUpToDate>
  <CharactersWithSpaces>5041</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2019-01-27T08:27:00Z</dcterms:created>
  <dc:creator>User</dc:creator>
  <cp:lastModifiedBy>caizhengju</cp:lastModifiedBy>
  <dcterms:modified xsi:type="dcterms:W3CDTF">2024-01-03T08:40:03Z</dcterms:modified>
  <dc:subject>石家庄市xxx部门</dc:subject>
  <dc:title>AI霓</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873DD8C930BB96D5E3AC9465BC41AF2A</vt:lpwstr>
  </property>
</Properties>
</file>