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无极县七汲镇</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无极县七汲镇</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七汲镇</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-1361440</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
    <w:p/>
    <w:p/>
    <w:p/>
    <w:p/>
    <w:p/>
    <w:p/>
    <w:p/>
    <w:p/>
    <w:p/>
    <w:p/>
    <w:p/>
    <w:p/>
    <w:p/>
    <w:p/>
    <w:p/>
    <w:p/>
    <w:p/>
    <w:p/>
    <w:p/>
    <w:p/>
    <w:p/>
    <w:p/>
    <w:p>
      <w:pPr>
        <w:pStyle w:val="2"/>
        <w:numPr>
          <w:ilvl w:val="0"/>
          <w:numId w:val="1"/>
        </w:numPr>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部门职责</w:t>
      </w:r>
    </w:p>
    <w:p>
      <w:pPr>
        <w:ind w:firstLine="640" w:firstLineChars="200"/>
        <w:rPr>
          <w:sz w:val="32"/>
        </w:rPr>
      </w:pPr>
      <w:r>
        <w:rPr>
          <w:rFonts w:hint="eastAsia"/>
          <w:sz w:val="32"/>
        </w:rPr>
        <w:t>宣传、贯彻、执行党的路线方针政策和国家的法律、法规,执行本级人民代表大会的决议和上级国家行政机关的决定和命令,其主要职能为:</w:t>
      </w:r>
    </w:p>
    <w:p>
      <w:pPr>
        <w:ind w:firstLine="640" w:firstLineChars="200"/>
        <w:rPr>
          <w:sz w:val="32"/>
        </w:rPr>
      </w:pPr>
      <w:r>
        <w:rPr>
          <w:rFonts w:hint="eastAsia"/>
          <w:sz w:val="32"/>
        </w:rPr>
        <w:t>1.</w:t>
      </w:r>
      <w:r>
        <w:rPr>
          <w:rFonts w:hint="eastAsia"/>
          <w:sz w:val="32"/>
        </w:rPr>
        <w:tab/>
      </w:r>
      <w:r>
        <w:rPr>
          <w:rFonts w:hint="eastAsia"/>
          <w:sz w:val="32"/>
        </w:rPr>
        <w:t>促进经济发展</w:t>
      </w:r>
    </w:p>
    <w:p>
      <w:pPr>
        <w:ind w:firstLine="640" w:firstLineChars="200"/>
        <w:rPr>
          <w:sz w:val="32"/>
        </w:rPr>
      </w:pPr>
      <w:r>
        <w:rPr>
          <w:rFonts w:hint="eastAsia"/>
          <w:sz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配合农口部门做好农业技术推广和服务工作。</w:t>
      </w:r>
    </w:p>
    <w:p>
      <w:pPr>
        <w:ind w:firstLine="640" w:firstLineChars="200"/>
        <w:rPr>
          <w:sz w:val="32"/>
        </w:rPr>
      </w:pPr>
      <w:r>
        <w:rPr>
          <w:rFonts w:hint="eastAsia"/>
          <w:sz w:val="32"/>
        </w:rPr>
        <w:t>2.加强社会管理</w:t>
      </w:r>
    </w:p>
    <w:p>
      <w:pPr>
        <w:ind w:firstLine="640" w:firstLineChars="200"/>
        <w:rPr>
          <w:sz w:val="32"/>
        </w:rPr>
      </w:pPr>
      <w:r>
        <w:rPr>
          <w:rFonts w:hint="eastAsia"/>
          <w:sz w:val="32"/>
        </w:rPr>
        <w:t>主要包括:（1）加强乡村财政资金监督管理、农村合同管理及农民减负工作;做好乡镇统计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640" w:firstLineChars="200"/>
        <w:rPr>
          <w:sz w:val="32"/>
        </w:rPr>
      </w:pPr>
      <w:r>
        <w:rPr>
          <w:rFonts w:hint="eastAsia"/>
          <w:sz w:val="32"/>
        </w:rPr>
        <w:t>3.提供公共服务</w:t>
      </w:r>
    </w:p>
    <w:p>
      <w:pPr>
        <w:ind w:firstLine="640" w:firstLineChars="200"/>
        <w:rPr>
          <w:sz w:val="32"/>
        </w:rPr>
      </w:pPr>
      <w:r>
        <w:rPr>
          <w:rFonts w:hint="eastAsia"/>
          <w:sz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做好农业技术服务和技术推广工作,动物防疫工作。（4）配合民政、残联部门做好农村扶贫和低保工作以及特困户救助和残疾人服务工作。（5）配合就业部门做好农村劳动力职业培训、劳动就业和社会保障工作。</w:t>
      </w:r>
    </w:p>
    <w:p>
      <w:pPr>
        <w:ind w:firstLine="640" w:firstLineChars="200"/>
        <w:rPr>
          <w:sz w:val="32"/>
        </w:rPr>
      </w:pPr>
      <w:r>
        <w:rPr>
          <w:rFonts w:hint="eastAsia"/>
          <w:sz w:val="32"/>
        </w:rPr>
        <w:t>4.维护农村稳定</w:t>
      </w:r>
    </w:p>
    <w:p>
      <w:pPr>
        <w:ind w:firstLine="640" w:firstLineChars="200"/>
        <w:rPr>
          <w:sz w:val="32"/>
        </w:rPr>
      </w:pPr>
      <w:r>
        <w:rPr>
          <w:rFonts w:hint="eastAsia"/>
          <w:sz w:val="32"/>
        </w:rPr>
        <w:t>主要包括:（1）做好社会治安</w:t>
      </w:r>
      <w:r>
        <w:rPr>
          <w:rFonts w:hint="eastAsia"/>
          <w:sz w:val="32"/>
          <w:lang w:eastAsia="zh-CN"/>
        </w:rPr>
        <w:t>综合治理</w:t>
      </w:r>
      <w:r>
        <w:rPr>
          <w:rFonts w:hint="eastAsia"/>
          <w:sz w:val="32"/>
        </w:rPr>
        <w:t>工作;（2）宣传贯彻国家法律法规和政策,增强农民法律意识,教育农民知法、懂法、守法;（3）做好司法、宗教工作,打击邪教;（4）做好群众来信来访、法律咨询、搞好农村矛盾纠纷排查调处;（5</w:t>
      </w:r>
      <w:bookmarkStart w:id="0" w:name="_GoBack"/>
      <w:bookmarkEnd w:id="0"/>
      <w:r>
        <w:rPr>
          <w:rFonts w:hint="eastAsia"/>
          <w:sz w:val="32"/>
        </w:rPr>
        <w:t>）妥善处理突发性、群体性事件,维护社会稳定;（6）协助司法机关打击各类刑事犯罪活动。</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ascii="仿宋_GB2312" w:eastAsia="仿宋_GB2312" w:cs="ArialUnicodeMS" w:hAnsiTheme="minorHAnsi"/>
          <w:kern w:val="0"/>
          <w:sz w:val="32"/>
          <w:szCs w:val="32"/>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ind w:firstLine="480"/>
              <w:rPr>
                <w:rFonts w:ascii="仿宋" w:hAnsi="仿宋" w:eastAsia="仿宋" w:cs="仿宋"/>
                <w:sz w:val="24"/>
              </w:rPr>
            </w:pPr>
            <w:r>
              <w:rPr>
                <w:rFonts w:hint="eastAsia" w:ascii="仿宋" w:hAnsi="仿宋" w:eastAsia="仿宋" w:cs="仿宋"/>
                <w:sz w:val="24"/>
              </w:rPr>
              <w:t>无极县七汲镇人民政府</w:t>
            </w:r>
          </w:p>
        </w:tc>
        <w:tc>
          <w:tcPr>
            <w:tcW w:w="2445" w:type="dxa"/>
          </w:tcPr>
          <w:p>
            <w:pPr>
              <w:spacing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8</w:t>
            </w:r>
            <w:r>
              <w:rPr>
                <w:rFonts w:ascii="宋体" w:hAnsi="宋体" w:cs="宋体"/>
                <w:color w:val="000000"/>
                <w:sz w:val="20"/>
                <w:szCs w:val="20"/>
              </w:rPr>
              <w:t>21.61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7</w:t>
            </w:r>
            <w:r>
              <w:rPr>
                <w:rFonts w:ascii="宋体" w:hAnsi="宋体" w:cs="宋体"/>
                <w:color w:val="000000"/>
                <w:sz w:val="20"/>
                <w:szCs w:val="20"/>
              </w:rPr>
              <w:t>66.16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6</w:t>
            </w:r>
            <w:r>
              <w:rPr>
                <w:rFonts w:ascii="宋体" w:hAnsi="宋体" w:cs="宋体"/>
                <w:color w:val="000000"/>
                <w:sz w:val="20"/>
                <w:szCs w:val="20"/>
              </w:rPr>
              <w:t>0.83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18"/>
                <w:szCs w:val="18"/>
              </w:rPr>
            </w:pPr>
            <w:r>
              <w:rPr>
                <w:rFonts w:hint="eastAsia" w:ascii="宋体" w:hAnsi="宋体" w:cs="宋体"/>
                <w:color w:val="000000"/>
                <w:sz w:val="18"/>
                <w:szCs w:val="18"/>
              </w:rPr>
              <w:t>8</w:t>
            </w:r>
            <w:r>
              <w:rPr>
                <w:rFonts w:ascii="宋体" w:hAnsi="宋体" w:cs="宋体"/>
                <w:color w:val="000000"/>
                <w:sz w:val="18"/>
                <w:szCs w:val="18"/>
              </w:rPr>
              <w:t>21.61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8</w:t>
            </w:r>
            <w:r>
              <w:rPr>
                <w:rFonts w:ascii="宋体" w:hAnsi="宋体" w:cs="宋体"/>
                <w:color w:val="000000"/>
                <w:sz w:val="20"/>
                <w:szCs w:val="20"/>
              </w:rPr>
              <w:t>36.98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9.3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3.92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18"/>
                <w:szCs w:val="18"/>
              </w:rPr>
            </w:pPr>
            <w:r>
              <w:rPr>
                <w:rFonts w:hint="eastAsia" w:ascii="宋体" w:hAnsi="宋体" w:cs="宋体"/>
                <w:color w:val="000000"/>
                <w:sz w:val="18"/>
                <w:szCs w:val="18"/>
              </w:rPr>
              <w:t>8</w:t>
            </w:r>
            <w:r>
              <w:rPr>
                <w:rFonts w:ascii="宋体" w:hAnsi="宋体" w:cs="宋体"/>
                <w:color w:val="000000"/>
                <w:sz w:val="18"/>
                <w:szCs w:val="18"/>
              </w:rPr>
              <w:t>50.91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right"/>
              <w:rPr>
                <w:rFonts w:ascii="宋体" w:hAnsi="宋体" w:cs="宋体"/>
                <w:color w:val="000000"/>
                <w:sz w:val="20"/>
                <w:szCs w:val="20"/>
              </w:rPr>
            </w:pPr>
            <w:r>
              <w:rPr>
                <w:rFonts w:hint="eastAsia" w:ascii="宋体" w:hAnsi="宋体" w:cs="宋体"/>
                <w:color w:val="000000"/>
                <w:sz w:val="20"/>
                <w:szCs w:val="20"/>
              </w:rPr>
              <w:t>8</w:t>
            </w:r>
            <w:r>
              <w:rPr>
                <w:rFonts w:ascii="宋体" w:hAnsi="宋体" w:cs="宋体"/>
                <w:color w:val="000000"/>
                <w:sz w:val="20"/>
                <w:szCs w:val="20"/>
              </w:rPr>
              <w:t>50.91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060" w:type="dxa"/>
        <w:jc w:val="center"/>
        <w:tblLayout w:type="fixed"/>
        <w:tblCellMar>
          <w:top w:w="0" w:type="dxa"/>
          <w:left w:w="0" w:type="dxa"/>
          <w:bottom w:w="0" w:type="dxa"/>
          <w:right w:w="0" w:type="dxa"/>
        </w:tblCellMar>
      </w:tblPr>
      <w:tblGrid>
        <w:gridCol w:w="654"/>
        <w:gridCol w:w="178"/>
        <w:gridCol w:w="142"/>
        <w:gridCol w:w="2229"/>
        <w:gridCol w:w="262"/>
        <w:gridCol w:w="628"/>
        <w:gridCol w:w="50"/>
        <w:gridCol w:w="260"/>
        <w:gridCol w:w="558"/>
        <w:gridCol w:w="257"/>
        <w:gridCol w:w="618"/>
        <w:gridCol w:w="90"/>
        <w:gridCol w:w="108"/>
        <w:gridCol w:w="464"/>
        <w:gridCol w:w="243"/>
        <w:gridCol w:w="108"/>
        <w:gridCol w:w="337"/>
        <w:gridCol w:w="478"/>
        <w:gridCol w:w="147"/>
        <w:gridCol w:w="877"/>
        <w:gridCol w:w="773"/>
        <w:gridCol w:w="15"/>
        <w:gridCol w:w="584"/>
      </w:tblGrid>
      <w:tr>
        <w:tblPrEx>
          <w:tblCellMar>
            <w:top w:w="0" w:type="dxa"/>
            <w:left w:w="0" w:type="dxa"/>
            <w:bottom w:w="0" w:type="dxa"/>
            <w:right w:w="0" w:type="dxa"/>
          </w:tblCellMar>
        </w:tblPrEx>
        <w:trPr>
          <w:gridAfter w:val="2"/>
          <w:wAfter w:w="599" w:type="dxa"/>
          <w:trHeight w:val="770" w:hRule="atLeast"/>
          <w:jc w:val="center"/>
        </w:trPr>
        <w:tc>
          <w:tcPr>
            <w:tcW w:w="9461" w:type="dxa"/>
            <w:gridSpan w:val="2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654"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78"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42"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119"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39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584" w:type="dxa"/>
          <w:trHeight w:val="362" w:hRule="atLeast"/>
          <w:jc w:val="center"/>
        </w:trPr>
        <w:tc>
          <w:tcPr>
            <w:tcW w:w="3203"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2"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49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7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735"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2"/>
          <w:wAfter w:w="599" w:type="dxa"/>
          <w:trHeight w:val="325" w:hRule="atLeast"/>
          <w:jc w:val="center"/>
        </w:trPr>
        <w:tc>
          <w:tcPr>
            <w:tcW w:w="4093" w:type="dxa"/>
            <w:gridSpan w:val="6"/>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68"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75"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662"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688"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625"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7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73"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2"/>
          <w:wAfter w:w="599" w:type="dxa"/>
          <w:trHeight w:val="626"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119" w:type="dxa"/>
            <w:gridSpan w:val="3"/>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68"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 w:val="20"/>
                <w:szCs w:val="20"/>
              </w:rPr>
            </w:pPr>
          </w:p>
        </w:tc>
        <w:tc>
          <w:tcPr>
            <w:tcW w:w="875"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c>
          <w:tcPr>
            <w:tcW w:w="662"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c>
          <w:tcPr>
            <w:tcW w:w="688"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c>
          <w:tcPr>
            <w:tcW w:w="625"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c>
          <w:tcPr>
            <w:tcW w:w="87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c>
          <w:tcPr>
            <w:tcW w:w="773"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2"/>
          <w:wAfter w:w="599" w:type="dxa"/>
          <w:trHeight w:val="391" w:hRule="atLeast"/>
          <w:jc w:val="center"/>
        </w:trPr>
        <w:tc>
          <w:tcPr>
            <w:tcW w:w="4093"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6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6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2"/>
          <w:wAfter w:w="599" w:type="dxa"/>
          <w:trHeight w:val="90" w:hRule="atLeast"/>
          <w:jc w:val="center"/>
        </w:trPr>
        <w:tc>
          <w:tcPr>
            <w:tcW w:w="4093"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6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Arial" w:hAnsi="Arial" w:cs="Arial"/>
                <w:color w:val="000000"/>
                <w:kern w:val="0"/>
                <w:sz w:val="20"/>
                <w:szCs w:val="20"/>
              </w:rPr>
            </w:pPr>
            <w:r>
              <w:rPr>
                <w:rFonts w:ascii="Arial" w:hAnsi="Arial" w:cs="Arial"/>
                <w:color w:val="000000"/>
                <w:sz w:val="20"/>
                <w:szCs w:val="20"/>
              </w:rPr>
              <w:t xml:space="preserve">821.61 </w:t>
            </w:r>
          </w:p>
          <w:p>
            <w:pPr>
              <w:widowControl/>
              <w:spacing w:line="240" w:lineRule="atLeast"/>
              <w:jc w:val="right"/>
              <w:rPr>
                <w:rFonts w:ascii="宋体" w:hAnsi="宋体" w:cs="宋体"/>
                <w:b/>
                <w:color w:val="000000"/>
                <w:sz w:val="18"/>
                <w:szCs w:val="18"/>
              </w:rPr>
            </w:pPr>
          </w:p>
        </w:tc>
        <w:tc>
          <w:tcPr>
            <w:tcW w:w="87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Arial" w:hAnsi="Arial" w:cs="Arial"/>
                <w:color w:val="000000"/>
                <w:kern w:val="0"/>
                <w:sz w:val="20"/>
                <w:szCs w:val="20"/>
              </w:rPr>
            </w:pPr>
            <w:r>
              <w:rPr>
                <w:rFonts w:ascii="Arial" w:hAnsi="Arial" w:cs="Arial"/>
                <w:color w:val="000000"/>
                <w:sz w:val="20"/>
                <w:szCs w:val="20"/>
              </w:rPr>
              <w:t xml:space="preserve">821.61 </w:t>
            </w:r>
          </w:p>
          <w:p>
            <w:pPr>
              <w:widowControl/>
              <w:spacing w:line="240" w:lineRule="atLeast"/>
              <w:jc w:val="right"/>
              <w:rPr>
                <w:rFonts w:ascii="宋体" w:hAnsi="宋体" w:cs="宋体"/>
                <w:b/>
                <w:color w:val="000000"/>
                <w:sz w:val="18"/>
                <w:szCs w:val="18"/>
              </w:rPr>
            </w:pPr>
          </w:p>
        </w:tc>
        <w:tc>
          <w:tcPr>
            <w:tcW w:w="662"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b/>
                <w:color w:val="000000"/>
                <w:sz w:val="18"/>
                <w:szCs w:val="18"/>
              </w:rPr>
            </w:pPr>
          </w:p>
        </w:tc>
        <w:tc>
          <w:tcPr>
            <w:tcW w:w="68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b/>
                <w:color w:val="000000"/>
                <w:sz w:val="18"/>
                <w:szCs w:val="18"/>
              </w:rPr>
            </w:pPr>
          </w:p>
        </w:tc>
        <w:tc>
          <w:tcPr>
            <w:tcW w:w="62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b/>
                <w:color w:val="000000"/>
                <w:sz w:val="18"/>
                <w:szCs w:val="18"/>
              </w:rPr>
            </w:pPr>
          </w:p>
        </w:tc>
        <w:tc>
          <w:tcPr>
            <w:tcW w:w="87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b/>
                <w:color w:val="000000"/>
                <w:sz w:val="18"/>
                <w:szCs w:val="18"/>
              </w:rPr>
            </w:pPr>
          </w:p>
        </w:tc>
        <w:tc>
          <w:tcPr>
            <w:tcW w:w="773"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cs="Arial"/>
                <w:color w:val="000000"/>
                <w:kern w:val="0"/>
                <w:sz w:val="22"/>
                <w:szCs w:val="22"/>
              </w:rPr>
            </w:pPr>
            <w:r>
              <w:rPr>
                <w:rFonts w:hint="eastAsia" w:cs="Arial"/>
                <w:color w:val="000000"/>
                <w:sz w:val="22"/>
                <w:szCs w:val="22"/>
              </w:rPr>
              <w:t>201</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cs="Arial"/>
                <w:color w:val="000000"/>
                <w:kern w:val="0"/>
                <w:sz w:val="18"/>
                <w:szCs w:val="18"/>
              </w:rPr>
            </w:pPr>
            <w:r>
              <w:rPr>
                <w:rFonts w:hint="eastAsia" w:cs="Arial"/>
                <w:color w:val="000000"/>
                <w:sz w:val="18"/>
                <w:szCs w:val="18"/>
              </w:rPr>
              <w:t>一般公共服务支出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rPr>
                <w:rFonts w:ascii="Arial" w:hAnsi="Arial" w:cs="Arial"/>
                <w:color w:val="000000"/>
                <w:kern w:val="0"/>
                <w:sz w:val="20"/>
                <w:szCs w:val="20"/>
              </w:rPr>
            </w:pPr>
            <w:r>
              <w:rPr>
                <w:rFonts w:ascii="Arial" w:hAnsi="Arial" w:cs="Arial"/>
                <w:color w:val="000000"/>
                <w:sz w:val="20"/>
                <w:szCs w:val="20"/>
              </w:rPr>
              <w:t xml:space="preserve">740.92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rPr>
                <w:rFonts w:ascii="Arial" w:hAnsi="Arial" w:cs="Arial"/>
                <w:color w:val="000000"/>
                <w:kern w:val="0"/>
                <w:sz w:val="20"/>
                <w:szCs w:val="20"/>
              </w:rPr>
            </w:pPr>
            <w:r>
              <w:rPr>
                <w:rFonts w:ascii="Arial" w:hAnsi="Arial" w:cs="Arial"/>
                <w:color w:val="000000"/>
                <w:sz w:val="20"/>
                <w:szCs w:val="20"/>
              </w:rPr>
              <w:t xml:space="preserve">740.92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20103</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政府办公厅（室）及相关机构事务</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740.92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740.92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2010301</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行政运行</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653.32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653.32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2010399</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其他政府办公厅（室）及相关机构事务支出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87.60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87.60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社会保障和就业支出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56.77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56.77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20805</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行政事业单位离退休</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8.21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8.21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2080505</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机关事业单位基本养老保险缴费支出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8.21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8.21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20808</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抚恤</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16.55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16.55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2080801</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死亡抚恤</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16.55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16.55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20899</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cs="Arial"/>
                <w:color w:val="000000"/>
                <w:sz w:val="18"/>
                <w:szCs w:val="18"/>
              </w:rPr>
            </w:pPr>
            <w:r>
              <w:rPr>
                <w:rFonts w:hint="eastAsia" w:cs="Arial"/>
                <w:color w:val="000000"/>
                <w:sz w:val="18"/>
                <w:szCs w:val="18"/>
              </w:rPr>
              <w:t>其他社会保障和就业支出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32.00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32.00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rPr>
                <w:rFonts w:cs="Arial"/>
                <w:color w:val="000000"/>
                <w:kern w:val="0"/>
                <w:sz w:val="22"/>
                <w:szCs w:val="22"/>
              </w:rPr>
            </w:pPr>
            <w:r>
              <w:rPr>
                <w:rFonts w:hint="eastAsia" w:cs="Arial"/>
                <w:color w:val="000000"/>
                <w:sz w:val="22"/>
                <w:szCs w:val="22"/>
              </w:rPr>
              <w:t>211</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color w:val="000000"/>
                <w:sz w:val="22"/>
                <w:szCs w:val="22"/>
              </w:rPr>
            </w:pPr>
            <w:r>
              <w:rPr>
                <w:rFonts w:hint="eastAsia" w:cs="Arial"/>
                <w:color w:val="000000"/>
                <w:sz w:val="22"/>
                <w:szCs w:val="22"/>
              </w:rPr>
              <w:t>节能环保支出</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rPr>
                <w:rFonts w:ascii="Arial" w:hAnsi="Arial" w:cs="Arial"/>
                <w:color w:val="000000"/>
                <w:kern w:val="0"/>
                <w:sz w:val="20"/>
                <w:szCs w:val="20"/>
              </w:rPr>
            </w:pPr>
            <w:r>
              <w:rPr>
                <w:rFonts w:ascii="Arial" w:hAnsi="Arial" w:cs="Arial"/>
                <w:color w:val="000000"/>
                <w:sz w:val="20"/>
                <w:szCs w:val="20"/>
              </w:rPr>
              <w:t xml:space="preserve">23.92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rPr>
                <w:rFonts w:ascii="Arial" w:hAnsi="Arial" w:cs="Arial"/>
                <w:color w:val="000000"/>
                <w:kern w:val="0"/>
                <w:sz w:val="20"/>
                <w:szCs w:val="20"/>
              </w:rPr>
            </w:pPr>
            <w:r>
              <w:rPr>
                <w:rFonts w:ascii="Arial" w:hAnsi="Arial" w:cs="Arial"/>
                <w:color w:val="000000"/>
                <w:sz w:val="20"/>
                <w:szCs w:val="20"/>
              </w:rPr>
              <w:t xml:space="preserve">23.92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21103</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color w:val="000000"/>
                <w:sz w:val="22"/>
                <w:szCs w:val="22"/>
              </w:rPr>
            </w:pPr>
            <w:r>
              <w:rPr>
                <w:rFonts w:hint="eastAsia" w:cs="Arial"/>
                <w:color w:val="000000"/>
                <w:sz w:val="22"/>
                <w:szCs w:val="22"/>
              </w:rPr>
              <w:t>污染防治</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23.92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23.92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2110301</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color w:val="000000"/>
                <w:sz w:val="22"/>
                <w:szCs w:val="22"/>
              </w:rPr>
            </w:pPr>
            <w:r>
              <w:rPr>
                <w:rFonts w:hint="eastAsia" w:cs="Arial"/>
                <w:color w:val="000000"/>
                <w:sz w:val="22"/>
                <w:szCs w:val="22"/>
              </w:rPr>
              <w:t>大气</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13.92 </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 xml:space="preserve">13.92 </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371" w:hRule="atLeast"/>
          <w:jc w:val="center"/>
        </w:trPr>
        <w:tc>
          <w:tcPr>
            <w:tcW w:w="97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cs="Arial"/>
                <w:color w:val="000000"/>
                <w:sz w:val="22"/>
                <w:szCs w:val="22"/>
              </w:rPr>
            </w:pPr>
            <w:r>
              <w:rPr>
                <w:rFonts w:hint="eastAsia" w:cs="Arial"/>
                <w:color w:val="000000"/>
                <w:sz w:val="22"/>
                <w:szCs w:val="22"/>
              </w:rPr>
              <w:t>2110302</w:t>
            </w:r>
          </w:p>
        </w:tc>
        <w:tc>
          <w:tcPr>
            <w:tcW w:w="311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cs="Arial"/>
                <w:color w:val="000000"/>
                <w:sz w:val="22"/>
                <w:szCs w:val="22"/>
              </w:rPr>
            </w:pPr>
            <w:r>
              <w:rPr>
                <w:rFonts w:hint="eastAsia" w:cs="Arial"/>
                <w:color w:val="000000"/>
                <w:sz w:val="22"/>
                <w:szCs w:val="22"/>
              </w:rPr>
              <w:t>水体</w:t>
            </w:r>
          </w:p>
        </w:tc>
        <w:tc>
          <w:tcPr>
            <w:tcW w:w="8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1</w:t>
            </w:r>
            <w:r>
              <w:rPr>
                <w:rFonts w:hint="eastAsia" w:ascii="Arial" w:hAnsi="Arial" w:cs="Arial"/>
                <w:color w:val="000000"/>
                <w:sz w:val="20"/>
                <w:szCs w:val="20"/>
              </w:rPr>
              <w:t>0</w:t>
            </w:r>
          </w:p>
        </w:tc>
        <w:tc>
          <w:tcPr>
            <w:tcW w:w="8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jc w:val="right"/>
              <w:rPr>
                <w:rFonts w:ascii="Arial" w:hAnsi="Arial" w:cs="Arial"/>
                <w:color w:val="000000"/>
                <w:sz w:val="20"/>
                <w:szCs w:val="20"/>
              </w:rPr>
            </w:pPr>
            <w:r>
              <w:rPr>
                <w:rFonts w:ascii="Arial" w:hAnsi="Arial" w:cs="Arial"/>
                <w:color w:val="000000"/>
                <w:sz w:val="20"/>
                <w:szCs w:val="20"/>
              </w:rPr>
              <w:t>1</w:t>
            </w:r>
            <w:r>
              <w:rPr>
                <w:rFonts w:hint="eastAsia" w:ascii="Arial" w:hAnsi="Arial" w:cs="Arial"/>
                <w:color w:val="000000"/>
                <w:sz w:val="20"/>
                <w:szCs w:val="20"/>
              </w:rPr>
              <w:t>0</w:t>
            </w:r>
          </w:p>
        </w:tc>
        <w:tc>
          <w:tcPr>
            <w:tcW w:w="66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8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6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8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c>
          <w:tcPr>
            <w:tcW w:w="7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599" w:type="dxa"/>
          <w:trHeight w:val="481" w:hRule="atLeast"/>
          <w:jc w:val="center"/>
        </w:trPr>
        <w:tc>
          <w:tcPr>
            <w:tcW w:w="9461" w:type="dxa"/>
            <w:gridSpan w:val="21"/>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424" w:type="dxa"/>
        <w:tblInd w:w="0" w:type="dxa"/>
        <w:tblLayout w:type="fixed"/>
        <w:tblCellMar>
          <w:top w:w="0" w:type="dxa"/>
          <w:left w:w="0" w:type="dxa"/>
          <w:bottom w:w="0" w:type="dxa"/>
          <w:right w:w="0" w:type="dxa"/>
        </w:tblCellMar>
      </w:tblPr>
      <w:tblGrid>
        <w:gridCol w:w="290"/>
        <w:gridCol w:w="289"/>
        <w:gridCol w:w="376"/>
        <w:gridCol w:w="2191"/>
        <w:gridCol w:w="334"/>
        <w:gridCol w:w="90"/>
        <w:gridCol w:w="694"/>
        <w:gridCol w:w="424"/>
        <w:gridCol w:w="480"/>
        <w:gridCol w:w="216"/>
        <w:gridCol w:w="424"/>
        <w:gridCol w:w="310"/>
        <w:gridCol w:w="384"/>
        <w:gridCol w:w="424"/>
        <w:gridCol w:w="192"/>
        <w:gridCol w:w="928"/>
        <w:gridCol w:w="34"/>
        <w:gridCol w:w="920"/>
        <w:gridCol w:w="424"/>
      </w:tblGrid>
      <w:tr>
        <w:tblPrEx>
          <w:tblCellMar>
            <w:top w:w="0" w:type="dxa"/>
            <w:left w:w="0" w:type="dxa"/>
            <w:bottom w:w="0" w:type="dxa"/>
            <w:right w:w="0" w:type="dxa"/>
          </w:tblCellMar>
        </w:tblPrEx>
        <w:trPr>
          <w:gridAfter w:val="1"/>
          <w:wAfter w:w="424" w:type="dxa"/>
          <w:trHeight w:val="798" w:hRule="atLeast"/>
        </w:trPr>
        <w:tc>
          <w:tcPr>
            <w:tcW w:w="9000" w:type="dxa"/>
            <w:gridSpan w:val="18"/>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76"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5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424" w:type="dxa"/>
          <w:trHeight w:val="380" w:hRule="atLeast"/>
        </w:trPr>
        <w:tc>
          <w:tcPr>
            <w:tcW w:w="314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424" w:type="dxa"/>
          <w:trHeight w:val="837" w:hRule="atLeast"/>
        </w:trPr>
        <w:tc>
          <w:tcPr>
            <w:tcW w:w="34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84"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04"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50" w:type="dxa"/>
            <w:gridSpan w:val="3"/>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00" w:type="dxa"/>
            <w:gridSpan w:val="3"/>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962"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920"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424" w:type="dxa"/>
          <w:trHeight w:val="782" w:hRule="atLeast"/>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90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950" w:type="dxa"/>
            <w:gridSpan w:val="3"/>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000" w:type="dxa"/>
            <w:gridSpan w:val="3"/>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962"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920"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395" w:hRule="atLeast"/>
        </w:trPr>
        <w:tc>
          <w:tcPr>
            <w:tcW w:w="3480"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7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0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9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424" w:type="dxa"/>
          <w:trHeight w:val="440" w:hRule="atLeast"/>
        </w:trPr>
        <w:tc>
          <w:tcPr>
            <w:tcW w:w="3480"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836.98</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609.36</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227.62</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766.16</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597.09</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169.07</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政府办公厅（室）及相关机构事务</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766.16</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597.09</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169.07</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2010301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行政运行</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678.56</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595.69</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82.87</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2010399</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其他政府办公厅（室）及相关机构事务支出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87.60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1.40</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86.20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60.83</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48.55</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机关事业单位基本养老保险缴费支出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抚恤</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死亡抚恤</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其他社会保障和就业支出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其他社会保障和就业支出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节能环保支出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21103</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污染防治</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2110302</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水体</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468" w:hRule="atLeast"/>
        </w:trPr>
        <w:tc>
          <w:tcPr>
            <w:tcW w:w="9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5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7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b/>
                <w:color w:val="000000"/>
                <w:kern w:val="0"/>
                <w:sz w:val="22"/>
                <w:szCs w:val="22"/>
              </w:rPr>
              <w:t>836.98</w:t>
            </w:r>
          </w:p>
        </w:tc>
        <w:tc>
          <w:tcPr>
            <w:tcW w:w="9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b/>
                <w:color w:val="000000"/>
                <w:kern w:val="0"/>
                <w:sz w:val="22"/>
                <w:szCs w:val="22"/>
              </w:rPr>
              <w:t>609.36</w:t>
            </w:r>
          </w:p>
        </w:tc>
        <w:tc>
          <w:tcPr>
            <w:tcW w:w="9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b/>
                <w:color w:val="000000"/>
                <w:kern w:val="0"/>
                <w:sz w:val="22"/>
                <w:szCs w:val="22"/>
              </w:rPr>
              <w:t>227.62</w:t>
            </w:r>
          </w:p>
        </w:tc>
        <w:tc>
          <w:tcPr>
            <w:tcW w:w="10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6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424" w:type="dxa"/>
          <w:trHeight w:val="748" w:hRule="atLeast"/>
        </w:trPr>
        <w:tc>
          <w:tcPr>
            <w:tcW w:w="9000" w:type="dxa"/>
            <w:gridSpan w:val="18"/>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line="560" w:lineRule="exact"/>
        <w:ind w:firstLine="562" w:firstLineChars="200"/>
        <w:jc w:val="left"/>
        <w:rPr>
          <w:rFonts w:ascii="仿宋_GB2312" w:eastAsia="仿宋_GB2312" w:hAnsiTheme="majorEastAsia"/>
          <w:b/>
          <w:sz w:val="28"/>
          <w:szCs w:val="28"/>
          <w:highlight w:val="yellow"/>
        </w:rPr>
        <w:sectPr>
          <w:pgSz w:w="11906" w:h="16838"/>
          <w:pgMar w:top="1134"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142"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Cs w:val="21"/>
              </w:rPr>
              <w:t>821.61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766.16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766.16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60.83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60.83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10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10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Cs w:val="21"/>
              </w:rPr>
              <w:t>821.61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836.98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836.98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Cs w:val="21"/>
              </w:rPr>
              <w:t>29.30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13.92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13.92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Cs w:val="21"/>
              </w:rPr>
              <w:t>29.30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4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Cs w:val="21"/>
              </w:rPr>
              <w:t>850.91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850.91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22"/>
                <w:szCs w:val="22"/>
              </w:rPr>
              <w:t>850.91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196" w:type="dxa"/>
        <w:tblInd w:w="0" w:type="dxa"/>
        <w:tblLayout w:type="fixed"/>
        <w:tblCellMar>
          <w:top w:w="0" w:type="dxa"/>
          <w:left w:w="0" w:type="dxa"/>
          <w:bottom w:w="0" w:type="dxa"/>
          <w:right w:w="0" w:type="dxa"/>
        </w:tblCellMar>
      </w:tblPr>
      <w:tblGrid>
        <w:gridCol w:w="317"/>
        <w:gridCol w:w="319"/>
        <w:gridCol w:w="357"/>
        <w:gridCol w:w="4100"/>
        <w:gridCol w:w="90"/>
        <w:gridCol w:w="556"/>
        <w:gridCol w:w="454"/>
        <w:gridCol w:w="882"/>
        <w:gridCol w:w="293"/>
        <w:gridCol w:w="1492"/>
        <w:gridCol w:w="1336"/>
      </w:tblGrid>
      <w:tr>
        <w:tblPrEx>
          <w:tblCellMar>
            <w:top w:w="0" w:type="dxa"/>
            <w:left w:w="0" w:type="dxa"/>
            <w:bottom w:w="0" w:type="dxa"/>
            <w:right w:w="0" w:type="dxa"/>
          </w:tblCellMar>
        </w:tblPrEx>
        <w:trPr>
          <w:gridAfter w:val="1"/>
          <w:wAfter w:w="1336" w:type="dxa"/>
          <w:trHeight w:val="600" w:hRule="atLeast"/>
        </w:trPr>
        <w:tc>
          <w:tcPr>
            <w:tcW w:w="8860" w:type="dxa"/>
            <w:gridSpan w:val="10"/>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410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1892"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121"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gridAfter w:val="1"/>
          <w:wAfter w:w="1336" w:type="dxa"/>
          <w:trHeight w:val="334" w:hRule="atLeast"/>
        </w:trPr>
        <w:tc>
          <w:tcPr>
            <w:tcW w:w="5093"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64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Arial" w:hAnsi="Arial" w:cs="Arial"/>
                <w:color w:val="000000"/>
                <w:szCs w:val="21"/>
              </w:rPr>
            </w:pPr>
          </w:p>
        </w:tc>
        <w:tc>
          <w:tcPr>
            <w:tcW w:w="3121"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336" w:type="dxa"/>
          <w:trHeight w:val="351" w:hRule="atLeast"/>
        </w:trPr>
        <w:tc>
          <w:tcPr>
            <w:tcW w:w="509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3767"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1"/>
          <w:wAfter w:w="1336" w:type="dxa"/>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41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00"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7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4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gridAfter w:val="1"/>
          <w:wAfter w:w="1336" w:type="dxa"/>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41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10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17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4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336" w:type="dxa"/>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41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10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17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c>
          <w:tcPr>
            <w:tcW w:w="14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336" w:type="dxa"/>
          <w:trHeight w:val="368" w:hRule="atLeast"/>
        </w:trPr>
        <w:tc>
          <w:tcPr>
            <w:tcW w:w="50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gridAfter w:val="1"/>
          <w:wAfter w:w="1336" w:type="dxa"/>
          <w:trHeight w:val="599" w:hRule="atLeast"/>
        </w:trPr>
        <w:tc>
          <w:tcPr>
            <w:tcW w:w="50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836.98</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609.36</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227.62</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766.16</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597.09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169.07</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政府办公厅（室）及相关机构事务</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766.16</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597.09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169.07</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2010301</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行政运行</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678.56</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595.69</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82.87</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2010399</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其他政府办公厅（室）及相关机构事务支出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87.60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1.40</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86.20</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60.83</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48.55</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机关事业单位基本养老保险缴费支出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抚恤</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死亡抚恤</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16.55</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其他社会保障和就业支出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其他社会保障和就业支出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32.00</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节能环保支出</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21103</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污染防治</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szCs w:val="21"/>
              </w:rPr>
              <w:t>10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szCs w:val="21"/>
              </w:rPr>
              <w:t>10</w:t>
            </w:r>
          </w:p>
        </w:tc>
      </w:tr>
      <w:tr>
        <w:tblPrEx>
          <w:tblCellMar>
            <w:top w:w="0" w:type="dxa"/>
            <w:left w:w="0" w:type="dxa"/>
            <w:bottom w:w="0" w:type="dxa"/>
            <w:right w:w="0" w:type="dxa"/>
          </w:tblCellMar>
        </w:tblPrEx>
        <w:trPr>
          <w:gridAfter w:val="1"/>
          <w:wAfter w:w="1336" w:type="dxa"/>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2110302</w:t>
            </w:r>
          </w:p>
        </w:tc>
        <w:tc>
          <w:tcPr>
            <w:tcW w:w="4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水体</w:t>
            </w:r>
          </w:p>
        </w:tc>
        <w:tc>
          <w:tcPr>
            <w:tcW w:w="11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c>
          <w:tcPr>
            <w:tcW w:w="1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w:t>
            </w:r>
          </w:p>
        </w:tc>
      </w:tr>
      <w:tr>
        <w:tblPrEx>
          <w:tblCellMar>
            <w:top w:w="0" w:type="dxa"/>
            <w:left w:w="0" w:type="dxa"/>
            <w:bottom w:w="0" w:type="dxa"/>
            <w:right w:w="0" w:type="dxa"/>
          </w:tblCellMar>
        </w:tblPrEx>
        <w:trPr>
          <w:gridAfter w:val="1"/>
          <w:wAfter w:w="1336" w:type="dxa"/>
          <w:trHeight w:val="368"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04"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162"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7"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142"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rPr>
                <w:rFonts w:ascii="宋体" w:hAnsi="宋体" w:cs="宋体"/>
                <w:color w:val="000000"/>
                <w:sz w:val="22"/>
                <w:szCs w:val="22"/>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398.86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203.80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166.26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54.16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132.68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3.94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74.59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12.27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11.44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8.12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1.30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5.20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19.90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5.82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0.25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86.01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1.56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13.23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Cs w:val="21"/>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right"/>
              <w:rPr>
                <w:rFonts w:ascii="宋体" w:hAnsi="宋体" w:cs="宋体"/>
                <w:color w:val="000000"/>
                <w:sz w:val="20"/>
                <w:szCs w:val="20"/>
              </w:rPr>
            </w:pPr>
          </w:p>
        </w:tc>
      </w:tr>
      <w:tr>
        <w:tblPrEx>
          <w:tblCellMar>
            <w:top w:w="0" w:type="dxa"/>
            <w:left w:w="0" w:type="dxa"/>
            <w:bottom w:w="0" w:type="dxa"/>
            <w:right w:w="0" w:type="dxa"/>
          </w:tblCellMar>
        </w:tblPrEx>
        <w:trPr>
          <w:trHeight w:val="142"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405.56</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203.80</w:t>
            </w:r>
          </w:p>
        </w:tc>
      </w:tr>
      <w:tr>
        <w:tblPrEx>
          <w:tblCellMar>
            <w:top w:w="0" w:type="dxa"/>
            <w:left w:w="0" w:type="dxa"/>
            <w:bottom w:w="0" w:type="dxa"/>
            <w:right w:w="0" w:type="dxa"/>
          </w:tblCellMar>
        </w:tblPrEx>
        <w:trPr>
          <w:trHeight w:val="340" w:hRule="exac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line="560" w:lineRule="exact"/>
        <w:jc w:val="left"/>
        <w:rPr>
          <w:rFonts w:ascii="仿宋_GB2312" w:eastAsia="仿宋_GB2312" w:hAnsiTheme="majorEastAsia"/>
          <w:b/>
          <w:sz w:val="28"/>
          <w:szCs w:val="28"/>
          <w:highlight w:val="yellow"/>
        </w:rPr>
        <w:sectPr>
          <w:pgSz w:w="11906" w:h="16838"/>
          <w:pgMar w:top="1134"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1.56</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jc w:val="left"/>
              <w:textAlignment w:val="center"/>
              <w:rPr>
                <w:rFonts w:ascii="宋体" w:hAnsi="宋体" w:cs="宋体"/>
                <w:color w:val="000000"/>
                <w:szCs w:val="21"/>
              </w:rPr>
            </w:pPr>
            <w:r>
              <w:rPr>
                <w:rFonts w:hint="eastAsia" w:ascii="宋体" w:hAnsi="宋体" w:cs="宋体"/>
                <w:color w:val="000000"/>
                <w:kern w:val="0"/>
                <w:sz w:val="22"/>
                <w:szCs w:val="22"/>
              </w:rPr>
              <w:t>注：本年度无政府性基金预算财政拨款收入支出结余情况，按要求空表列示。</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注：本年度无国有资本经营预算财政拨款支出情况，按要求空表列示</w:t>
            </w:r>
          </w:p>
        </w:tc>
      </w:tr>
    </w:tbl>
    <w:p>
      <w:pPr>
        <w:widowControl/>
        <w:spacing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jc w:val="left"/>
              <w:textAlignment w:val="center"/>
              <w:rPr>
                <w:rFonts w:ascii="宋体" w:hAnsi="宋体" w:cs="宋体"/>
                <w:color w:val="000000"/>
                <w:szCs w:val="21"/>
              </w:rPr>
            </w:pPr>
            <w:r>
              <w:rPr>
                <w:rFonts w:hint="eastAsia" w:ascii="宋体" w:hAnsi="宋体" w:cs="宋体"/>
                <w:color w:val="000000"/>
                <w:kern w:val="0"/>
                <w:sz w:val="22"/>
                <w:szCs w:val="22"/>
              </w:rPr>
              <w:t>注：本年度无政府采购情况，按要求空表列示</w:t>
            </w:r>
          </w:p>
        </w:tc>
      </w:tr>
    </w:tbl>
    <w:p>
      <w:pPr>
        <w:widowControl/>
        <w:spacing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本部门2018年度收支总计（含结转和结余）850.91万元。与2017年度决算相比，收支各增加261.23万元，增长46.62%，主要原因是业务活动增多，收支增加。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本部门2018年度本年收入合计821.61万元，其中：财政拨款收入821.61万元，占100%；事业收入0万元，占0%；经营收入0万元，占0%；其他收入0万元，占0%。如图所示：</w:t>
      </w:r>
    </w:p>
    <w:p>
      <w:pPr>
        <w:adjustRightInd w:val="0"/>
        <w:snapToGrid w:val="0"/>
        <w:spacing w:line="580" w:lineRule="exact"/>
        <w:rPr>
          <w:rFonts w:ascii="仿宋_GB2312" w:eastAsia="仿宋_GB2312" w:cs="DengXian-Regular"/>
          <w:sz w:val="32"/>
          <w:szCs w:val="32"/>
        </w:rPr>
      </w:pPr>
    </w:p>
    <w:p>
      <w:pPr>
        <w:adjustRightInd w:val="0"/>
        <w:snapToGrid w:val="0"/>
        <w:spacing w:line="580" w:lineRule="exact"/>
        <w:ind w:firstLine="1920" w:firstLineChars="600"/>
        <w:rPr>
          <w:rFonts w:ascii="仿宋_GB2312" w:eastAsia="仿宋_GB2312" w:cs="DengXian-Regular"/>
          <w:sz w:val="32"/>
          <w:szCs w:val="32"/>
        </w:rPr>
      </w:pPr>
    </w:p>
    <w:p>
      <w:pPr>
        <w:adjustRightInd w:val="0"/>
        <w:snapToGrid w:val="0"/>
        <w:spacing w:line="580" w:lineRule="exact"/>
        <w:ind w:firstLine="1920" w:firstLineChars="600"/>
        <w:rPr>
          <w:rFonts w:ascii="仿宋_GB2312" w:eastAsia="仿宋_GB2312" w:cs="DengXian-Regular"/>
          <w:sz w:val="32"/>
          <w:szCs w:val="32"/>
        </w:rPr>
      </w:pPr>
    </w:p>
    <w:p>
      <w:pPr>
        <w:adjustRightInd w:val="0"/>
        <w:snapToGrid w:val="0"/>
        <w:spacing w:line="580" w:lineRule="exact"/>
        <w:ind w:firstLine="1920" w:firstLineChars="600"/>
        <w:rPr>
          <w:rFonts w:ascii="仿宋_GB2312" w:eastAsia="仿宋_GB2312" w:cs="DengXian-Regular"/>
          <w:sz w:val="32"/>
          <w:szCs w:val="32"/>
        </w:rPr>
      </w:pPr>
    </w:p>
    <w:p>
      <w:pPr>
        <w:adjustRightInd w:val="0"/>
        <w:snapToGrid w:val="0"/>
        <w:spacing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b w:val="0"/>
          <w:bCs w:val="0"/>
        </w:rPr>
      </w:pPr>
      <w:r>
        <w:drawing>
          <wp:anchor distT="0" distB="0" distL="114300" distR="114300" simplePos="0" relativeHeight="251670528" behindDoc="0" locked="0" layoutInCell="1" allowOverlap="1">
            <wp:simplePos x="0" y="0"/>
            <wp:positionH relativeFrom="column">
              <wp:posOffset>410845</wp:posOffset>
            </wp:positionH>
            <wp:positionV relativeFrom="paragraph">
              <wp:posOffset>-2272665</wp:posOffset>
            </wp:positionV>
            <wp:extent cx="4391025" cy="2552700"/>
            <wp:effectExtent l="4445" t="4445" r="5080" b="14605"/>
            <wp:wrapSquare wrapText="bothSides"/>
            <wp:docPr id="1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drawing>
          <wp:inline distT="0" distB="0" distL="114300" distR="114300">
            <wp:extent cx="4391025" cy="2552700"/>
            <wp:effectExtent l="4445" t="4445" r="5080" b="14605"/>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本部门2018年度本年支出合计836.98万元，其中：基本支出609.36万元，占72.80%；项目支出227.62万元，占27.20%；经营支出0万元，占0%。如图</w:t>
      </w: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420" w:firstLineChars="200"/>
        <w:rPr>
          <w:rFonts w:ascii="仿宋_GB2312" w:eastAsia="仿宋_GB2312" w:cs="DengXian-Regular"/>
          <w:sz w:val="32"/>
          <w:szCs w:val="32"/>
        </w:rPr>
      </w:pPr>
      <w:r>
        <w:drawing>
          <wp:anchor distT="0" distB="0" distL="114300" distR="114300" simplePos="0" relativeHeight="251671552" behindDoc="0" locked="0" layoutInCell="1" allowOverlap="1">
            <wp:simplePos x="0" y="0"/>
            <wp:positionH relativeFrom="column">
              <wp:posOffset>466090</wp:posOffset>
            </wp:positionH>
            <wp:positionV relativeFrom="paragraph">
              <wp:posOffset>-740410</wp:posOffset>
            </wp:positionV>
            <wp:extent cx="4219575" cy="2514600"/>
            <wp:effectExtent l="4445" t="4445" r="5080" b="14605"/>
            <wp:wrapSquare wrapText="bothSides"/>
            <wp:docPr id="1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line="580" w:lineRule="exact"/>
        <w:ind w:firstLine="640" w:firstLineChars="2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821.61万元,比2017年度增加261.23万元，增长46.62%，主要是项目增多收入增加；本年支出836.98万元，增加305.9万元，增长57.6%，主要是项目增多支出增加。</w:t>
      </w:r>
    </w:p>
    <w:p>
      <w:pPr>
        <w:adjustRightInd w:val="0"/>
        <w:snapToGrid w:val="0"/>
        <w:spacing w:line="580" w:lineRule="exact"/>
        <w:ind w:firstLine="420" w:firstLineChars="200"/>
        <w:rPr>
          <w:rFonts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366395</wp:posOffset>
            </wp:positionH>
            <wp:positionV relativeFrom="paragraph">
              <wp:posOffset>180975</wp:posOffset>
            </wp:positionV>
            <wp:extent cx="4572000" cy="2981325"/>
            <wp:effectExtent l="4445" t="4445" r="14605" b="5080"/>
            <wp:wrapSquare wrapText="bothSides"/>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ind w:firstLine="640" w:firstLineChars="200"/>
        <w:rPr>
          <w:rFonts w:ascii="仿宋_GB2312" w:eastAsia="仿宋_GB2312" w:cs="DengXian-Regular"/>
          <w:sz w:val="32"/>
          <w:szCs w:val="32"/>
        </w:rPr>
      </w:pPr>
    </w:p>
    <w:p>
      <w:pPr>
        <w:adjustRightInd w:val="0"/>
        <w:snapToGrid w:val="0"/>
        <w:spacing w:line="580" w:lineRule="exact"/>
        <w:rPr>
          <w:rFonts w:ascii="仿宋_GB2312" w:eastAsia="仿宋_GB2312" w:cs="DengXian-Regular"/>
          <w:sz w:val="32"/>
          <w:szCs w:val="32"/>
        </w:rPr>
      </w:pPr>
    </w:p>
    <w:p>
      <w:pPr>
        <w:adjustRightInd w:val="0"/>
        <w:snapToGrid w:val="0"/>
        <w:spacing w:line="580" w:lineRule="exact"/>
        <w:rPr>
          <w:rFonts w:ascii="仿宋_GB2312" w:eastAsia="仿宋_GB2312" w:cs="DengXian-Regular"/>
          <w:sz w:val="32"/>
          <w:szCs w:val="32"/>
        </w:rPr>
      </w:pPr>
    </w:p>
    <w:p>
      <w:pPr>
        <w:spacing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821.61万元，完成年初预算的116.16%,比年初预算增加114.28万元，决算数大于预算数主要原因是年中项目增加，收入增多；本年支出836.98万元，完成年初预算的118.33%,比年初预算增加129.65万元，决算数大于预算数主要原因是年中项目增加，支出增多。</w:t>
      </w:r>
    </w:p>
    <w:p>
      <w:pPr>
        <w:adjustRightInd w:val="0"/>
        <w:snapToGrid w:val="0"/>
        <w:spacing w:line="580" w:lineRule="exact"/>
        <w:ind w:firstLine="640" w:firstLineChars="200"/>
        <w:rPr>
          <w:rFonts w:ascii="仿宋_GB2312" w:eastAsia="仿宋_GB2312" w:cs="DengXian-Regular"/>
          <w:sz w:val="32"/>
          <w:szCs w:val="32"/>
          <w:highlight w:val="yellow"/>
        </w:rPr>
      </w:pPr>
    </w:p>
    <w:p>
      <w:pPr>
        <w:adjustRightInd w:val="0"/>
        <w:snapToGrid w:val="0"/>
        <w:spacing w:line="580" w:lineRule="exact"/>
        <w:ind w:firstLine="640" w:firstLineChars="200"/>
        <w:rPr>
          <w:rFonts w:ascii="仿宋_GB2312" w:eastAsia="仿宋_GB2312" w:cs="DengXian-Regular"/>
          <w:sz w:val="32"/>
          <w:szCs w:val="32"/>
          <w:highlight w:val="yellow"/>
        </w:rPr>
      </w:pPr>
    </w:p>
    <w:p>
      <w:pPr>
        <w:adjustRightInd w:val="0"/>
        <w:snapToGrid w:val="0"/>
        <w:spacing w:line="580" w:lineRule="exact"/>
        <w:ind w:firstLine="640" w:firstLineChars="200"/>
        <w:rPr>
          <w:rFonts w:ascii="仿宋_GB2312" w:eastAsia="仿宋_GB2312" w:cs="DengXian-Regular"/>
          <w:sz w:val="32"/>
          <w:szCs w:val="32"/>
          <w:highlight w:val="yellow"/>
        </w:rPr>
      </w:pPr>
    </w:p>
    <w:p>
      <w:pPr>
        <w:adjustRightInd w:val="0"/>
        <w:snapToGrid w:val="0"/>
        <w:spacing w:line="580" w:lineRule="exact"/>
        <w:ind w:firstLine="640" w:firstLineChars="200"/>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r>
        <w:drawing>
          <wp:anchor distT="0" distB="0" distL="114300" distR="114300" simplePos="0" relativeHeight="251673600" behindDoc="0" locked="0" layoutInCell="1" allowOverlap="1">
            <wp:simplePos x="0" y="0"/>
            <wp:positionH relativeFrom="column">
              <wp:posOffset>271145</wp:posOffset>
            </wp:positionH>
            <wp:positionV relativeFrom="paragraph">
              <wp:posOffset>-2577465</wp:posOffset>
            </wp:positionV>
            <wp:extent cx="4548505" cy="2867025"/>
            <wp:effectExtent l="0" t="0" r="0" b="0"/>
            <wp:wrapSquare wrapText="bothSides"/>
            <wp:docPr id="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numPr>
          <w:ilvl w:val="0"/>
          <w:numId w:val="2"/>
        </w:numPr>
        <w:adjustRightInd w:val="0"/>
        <w:snapToGrid w:val="0"/>
        <w:spacing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年度财政拨款支出836.98万元，主要用于以下方面一般公共服务（类）支出776.16万元，占91.54%；社会保障和就业（类）支出 60.83万元，占7.27%；节能环保支出10万元，占1.19%。</w:t>
      </w:r>
    </w:p>
    <w:p>
      <w:pPr>
        <w:adjustRightInd w:val="0"/>
        <w:snapToGrid w:val="0"/>
        <w:spacing w:line="580" w:lineRule="exact"/>
        <w:rPr>
          <w:rFonts w:ascii="楷体_GB2312" w:eastAsia="楷体_GB2312" w:cs="DengXian-Bold"/>
          <w:b/>
          <w:bCs/>
          <w:sz w:val="32"/>
          <w:szCs w:val="32"/>
        </w:rPr>
      </w:pPr>
      <w:r>
        <w:drawing>
          <wp:anchor distT="0" distB="0" distL="114300" distR="114300" simplePos="0" relativeHeight="251674624" behindDoc="0" locked="0" layoutInCell="1" allowOverlap="1">
            <wp:simplePos x="0" y="0"/>
            <wp:positionH relativeFrom="column">
              <wp:posOffset>612140</wp:posOffset>
            </wp:positionH>
            <wp:positionV relativeFrom="paragraph">
              <wp:posOffset>-376555</wp:posOffset>
            </wp:positionV>
            <wp:extent cx="4373880" cy="2997200"/>
            <wp:effectExtent l="0" t="0" r="0" b="0"/>
            <wp:wrapSquare wrapText="bothSides"/>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drawing>
          <wp:inline distT="0" distB="0" distL="114300" distR="114300">
            <wp:extent cx="4572000" cy="3353435"/>
            <wp:effectExtent l="4445" t="4445" r="14605" b="13970"/>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line="580" w:lineRule="exact"/>
        <w:rPr>
          <w:rFonts w:ascii="楷体_GB2312" w:eastAsia="楷体_GB2312" w:cs="DengXian-Bold"/>
          <w:b/>
          <w:bCs/>
          <w:sz w:val="32"/>
          <w:szCs w:val="32"/>
        </w:rPr>
      </w:pPr>
    </w:p>
    <w:p>
      <w:pPr>
        <w:adjustRightInd w:val="0"/>
        <w:snapToGrid w:val="0"/>
        <w:spacing w:line="580" w:lineRule="exact"/>
        <w:rPr>
          <w:rFonts w:ascii="楷体_GB2312" w:eastAsia="楷体_GB2312" w:cs="DengXian-Bold"/>
          <w:b/>
          <w:bCs/>
          <w:sz w:val="32"/>
          <w:szCs w:val="32"/>
        </w:rPr>
      </w:pPr>
    </w:p>
    <w:p>
      <w:pPr>
        <w:adjustRightInd w:val="0"/>
        <w:snapToGrid w:val="0"/>
        <w:spacing w:line="580" w:lineRule="exact"/>
        <w:rPr>
          <w:rFonts w:ascii="楷体_GB2312" w:eastAsia="楷体_GB2312" w:cs="DengXian-Bold"/>
          <w:b/>
          <w:bCs/>
          <w:sz w:val="32"/>
          <w:szCs w:val="32"/>
        </w:rPr>
      </w:pPr>
    </w:p>
    <w:p>
      <w:pPr>
        <w:adjustRightInd w:val="0"/>
        <w:snapToGrid w:val="0"/>
        <w:spacing w:line="580" w:lineRule="exact"/>
        <w:ind w:left="420" w:leftChars="200"/>
        <w:rPr>
          <w:rFonts w:ascii="楷体_GB2312" w:eastAsia="楷体_GB2312" w:cs="DengXian-Bold"/>
          <w:b/>
          <w:bCs/>
          <w:sz w:val="32"/>
          <w:szCs w:val="32"/>
        </w:rPr>
      </w:pPr>
      <w:r>
        <w:drawing>
          <wp:inline distT="0" distB="0" distL="114300" distR="114300">
            <wp:extent cx="4572000" cy="3353435"/>
            <wp:effectExtent l="4445" t="4445" r="14605" b="13970"/>
            <wp:docPr id="1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line="580" w:lineRule="exact"/>
        <w:ind w:left="420" w:leftChars="200"/>
        <w:rPr>
          <w:rFonts w:ascii="楷体_GB2312" w:eastAsia="楷体_GB2312" w:cs="DengXian-Bold"/>
          <w:b/>
          <w:bCs/>
          <w:sz w:val="32"/>
          <w:szCs w:val="32"/>
        </w:rPr>
      </w:pPr>
    </w:p>
    <w:p>
      <w:pPr>
        <w:adjustRightInd w:val="0"/>
        <w:snapToGrid w:val="0"/>
        <w:spacing w:line="580" w:lineRule="exact"/>
        <w:ind w:left="420" w:leftChars="200"/>
        <w:rPr>
          <w:rFonts w:hint="eastAsia" w:ascii="楷体_GB2312" w:eastAsia="楷体_GB2312" w:cs="DengXian-Bold"/>
          <w:b/>
          <w:bCs/>
          <w:sz w:val="32"/>
          <w:szCs w:val="32"/>
        </w:rPr>
      </w:pPr>
    </w:p>
    <w:p>
      <w:pPr>
        <w:adjustRightInd w:val="0"/>
        <w:snapToGrid w:val="0"/>
        <w:spacing w:line="580" w:lineRule="exact"/>
        <w:ind w:left="420" w:leftChars="200"/>
        <w:rPr>
          <w:rFonts w:ascii="楷体_GB2312" w:eastAsia="楷体_GB2312" w:cs="DengXian-Bold"/>
          <w:b/>
          <w:bCs/>
          <w:sz w:val="32"/>
          <w:szCs w:val="32"/>
        </w:rPr>
      </w:pPr>
    </w:p>
    <w:p>
      <w:pPr>
        <w:adjustRightInd w:val="0"/>
        <w:snapToGrid w:val="0"/>
        <w:spacing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年度一般公共预算财政拨款基本支出609.36万元，其中：人员经费 405.56万元，主要包括基本工资、津贴补贴、奖金、绩效工资、机关事业单位基本养老保险缴费、职工基本医疗保险缴费、其他工资福利支出、退休费；公用经费 203.80万元，主要包括办公费、印刷费、电费、邮电费、差旅费、维修（护）费、会议费、劳务费、公务用车运行维护费、其他交通费用。</w:t>
      </w:r>
    </w:p>
    <w:p>
      <w:pPr>
        <w:pStyle w:val="3"/>
        <w:spacing w:before="0" w:after="0" w:line="580" w:lineRule="exact"/>
        <w:ind w:firstLine="643" w:firstLineChars="200"/>
        <w:rPr>
          <w:rFonts w:ascii="黑体" w:eastAsia="黑体" w:cs="Times New Roman"/>
        </w:rPr>
      </w:pPr>
      <w:r>
        <w:rPr>
          <w:rFonts w:hint="eastAsia" w:ascii="黑体" w:eastAsia="黑体" w:cs="Times New Roman"/>
        </w:rPr>
        <w:t>五、一般公共预算财政拨款“三公”经费支出决算情况说明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本部门2018年度“三公”经费支出共计1.56万元，较年初预算减少2.64万元，降低37.14%，主要是认真贯彻落实中央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本部门2018年度因公出国（境）团组0个、共0人。因公出国（境）费支出较年初预算增加0万元，增长0%,主要是未发生因公出国（境）费用。</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（二）公务用车购置及运行维护费支出1.56万元。</w:t>
      </w:r>
      <w:r>
        <w:rPr>
          <w:rFonts w:hint="eastAsia" w:ascii="仿宋_GB2312" w:eastAsia="仿宋_GB2312" w:cs="DengXian-Regular"/>
          <w:sz w:val="32"/>
          <w:szCs w:val="32"/>
        </w:rPr>
        <w:t>本部门2018年度公务用车购置及运行维护费较年初预算减少1.44万元，降低48%,主要是主要是认真贯彻落实中央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本部门2018年度公务用车购置量0辆，发生“公务用车购置”经费支出0万元。公务用车购置费支出较年初预算增加0万元，增长0%,主要是未发生公务用车购置经费支出。</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本部门2018年度单位公务用车保有量1辆。公车运行维护费支出1.56万元，较年初预算减少1.44万元，降低48%,主要是认真贯彻落实中央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p>
    <w:p>
      <w:pPr>
        <w:adjustRightInd w:val="0"/>
        <w:snapToGrid w:val="0"/>
        <w:spacing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本部门2018年度公务接待共0批次、0人次。公务接待费支出较年初预算减少1.2万元，降低100%,主要是未发生公务接待费支出。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修缮西流村等水厂及管道，关于志愿兵、进藏兵、城镇义务兵政策落实资金等6个项目，涉及资金227.62万元。从评价情况看，评价结果为优秀的项目有4个，良好的项目有1个，一般的项目有1个。</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本部门项目支出符合单位职责和相关管理规定，绩效目标合理，项目较好的完成了目标任务，达到了预期目标。</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本部门修缮西流村等水厂及管道项目绩效自评：根据年初设定的绩效目标，修缮西流村等水厂及管道项目绩效自评结果为优秀。项目全年预算数为10万元，执行数为10万元，完成预算的 100 %。主要产出和效果是对西流村等村的饮水管道进行了修缮，方便人民群众日常用水，提高了人民群众生活质量。未发现其它问题。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本部门2018年度机关运行经费支出203.80万元，比年初预算数增加183.80万元，增长919%。主要原因是业务活动增多，支出增加。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w:t>
      </w:r>
      <w:r>
        <w:rPr>
          <w:rFonts w:hint="eastAsia" w:ascii="仿宋" w:hAnsi="仿宋" w:eastAsia="仿宋" w:cs="微软雅黑"/>
          <w:sz w:val="32"/>
          <w:szCs w:val="32"/>
        </w:rPr>
        <w:t>授予</w:t>
      </w:r>
      <w:r>
        <w:rPr>
          <w:rFonts w:hint="eastAsia" w:ascii="仿宋" w:hAnsi="仿宋" w:eastAsia="仿宋" w:cs="___WRD_EMBED_SUB_48"/>
          <w:sz w:val="32"/>
          <w:szCs w:val="32"/>
        </w:rPr>
        <w:t>中小企业合</w:t>
      </w:r>
      <w:r>
        <w:rPr>
          <w:rFonts w:hint="eastAsia" w:ascii="仿宋" w:hAnsi="仿宋" w:eastAsia="仿宋" w:cs="微软雅黑"/>
          <w:sz w:val="32"/>
          <w:szCs w:val="32"/>
        </w:rPr>
        <w:t>同</w:t>
      </w:r>
      <w:r>
        <w:rPr>
          <w:rFonts w:hint="eastAsia" w:ascii="仿宋" w:hAnsi="仿宋" w:eastAsia="仿宋" w:cs="___WRD_EMBED_SUB_48"/>
          <w:sz w:val="32"/>
          <w:szCs w:val="32"/>
        </w:rPr>
        <w:t>金</w:t>
      </w:r>
      <w:r>
        <w:rPr>
          <w:rFonts w:hint="eastAsia" w:ascii="仿宋_GB2312" w:eastAsia="仿宋_GB2312" w:cs="DengXian-Regular"/>
          <w:sz w:val="32"/>
          <w:szCs w:val="32"/>
        </w:rPr>
        <w:t>0</w:t>
      </w:r>
      <w:r>
        <w:rPr>
          <w:rFonts w:ascii="仿宋" w:hAnsi="仿宋" w:eastAsia="仿宋" w:cs="DengXian-Regular"/>
          <w:sz w:val="32"/>
          <w:szCs w:val="32"/>
        </w:rPr>
        <w:t>万元，占政府采购支出总额的</w:t>
      </w:r>
      <w:r>
        <w:rPr>
          <w:rFonts w:hint="eastAsia" w:ascii="仿宋" w:hAnsi="仿宋" w:eastAsia="仿宋" w:cs="DengXian-Regular"/>
          <w:sz w:val="32"/>
          <w:szCs w:val="32"/>
        </w:rPr>
        <w:t>0%，</w:t>
      </w:r>
      <w:r>
        <w:rPr>
          <w:rFonts w:ascii="仿宋" w:hAnsi="仿宋" w:eastAsia="仿宋" w:cs="DengXian-Regular"/>
          <w:sz w:val="32"/>
          <w:szCs w:val="32"/>
        </w:rPr>
        <w:t>其中</w:t>
      </w:r>
      <w:r>
        <w:rPr>
          <w:rFonts w:hint="eastAsia" w:ascii="仿宋" w:hAnsi="仿宋" w:eastAsia="仿宋" w:cs="微软雅黑"/>
          <w:sz w:val="32"/>
          <w:szCs w:val="32"/>
        </w:rPr>
        <w:t>授予</w:t>
      </w:r>
      <w:r>
        <w:rPr>
          <w:rFonts w:hint="eastAsia" w:ascii="仿宋" w:hAnsi="仿宋" w:eastAsia="仿宋" w:cs="___WRD_EMBED_SUB_48"/>
          <w:sz w:val="32"/>
          <w:szCs w:val="32"/>
        </w:rPr>
        <w:t>小</w:t>
      </w:r>
      <w:r>
        <w:rPr>
          <w:rFonts w:hint="eastAsia" w:ascii="仿宋" w:hAnsi="仿宋" w:eastAsia="仿宋" w:cs="微软雅黑"/>
          <w:sz w:val="32"/>
          <w:szCs w:val="32"/>
        </w:rPr>
        <w:t>微</w:t>
      </w:r>
      <w:r>
        <w:rPr>
          <w:rFonts w:hint="eastAsia" w:ascii="仿宋" w:hAnsi="仿宋" w:eastAsia="仿宋" w:cs="___WRD_EMBED_SUB_48"/>
          <w:sz w:val="32"/>
          <w:szCs w:val="32"/>
        </w:rPr>
        <w:t>企业</w:t>
      </w:r>
      <w:r>
        <w:rPr>
          <w:rFonts w:ascii="仿宋" w:hAnsi="仿宋" w:eastAsia="仿宋" w:cs="DengXian-Regular"/>
          <w:sz w:val="32"/>
          <w:szCs w:val="32"/>
        </w:rPr>
        <w:t>合</w:t>
      </w:r>
      <w:r>
        <w:rPr>
          <w:rFonts w:hint="eastAsia" w:ascii="仿宋" w:hAnsi="仿宋" w:eastAsia="仿宋" w:cs="微软雅黑"/>
          <w:sz w:val="32"/>
          <w:szCs w:val="32"/>
        </w:rPr>
        <w:t>同</w:t>
      </w:r>
      <w:r>
        <w:rPr>
          <w:rFonts w:hint="eastAsia" w:ascii="仿宋" w:hAnsi="仿宋" w:eastAsia="仿宋" w:cs="___WRD_EMBED_SUB_48"/>
          <w:sz w:val="32"/>
          <w:szCs w:val="32"/>
        </w:rPr>
        <w:t>金额</w:t>
      </w:r>
      <w:r>
        <w:rPr>
          <w:rFonts w:ascii="仿宋" w:hAnsi="仿宋" w:eastAsia="仿宋" w:cs="DengXian-Regular"/>
          <w:sz w:val="32"/>
          <w:szCs w:val="32"/>
        </w:rPr>
        <w:t>0万元，占政府采购支出总额的 0%。</w:t>
      </w:r>
    </w:p>
    <w:p>
      <w:pPr>
        <w:pStyle w:val="4"/>
        <w:spacing w:before="0" w:after="0" w:line="580" w:lineRule="exact"/>
        <w:ind w:firstLine="643" w:firstLineChars="200"/>
        <w:rPr>
          <w:rFonts w:ascii="仿宋_GB2312" w:eastAsia="仿宋_GB2312" w:cs="DengXian-Regular"/>
        </w:rPr>
      </w:pPr>
      <w:r>
        <w:rPr>
          <w:rFonts w:hint="eastAsia" w:ascii="楷体_GB2312" w:eastAsia="楷体_GB2312" w:cs="DengXian-Bold"/>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3辆，比上年无变化。其中，副部（省）级及以上领导用车0辆，主要领导干部用车0辆，机要通信用车0辆，应急保障用车0辆，执法执勤用车1辆，特种专业技术用车0辆，离退休干部用车0辆，其他用车2辆，其他用车主要是洒水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国有资本经营预算财政拨款无收支及结转结余情况，无政府采购情况，故政府性基金预算财政拨款收入支出决算表国有资本经营预算财政拨款支出决算表、政府采购情况表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AF5DFA1-CE69-48E5-8B01-746308C5FAFF}"/>
  </w:font>
  <w:font w:name="黑体">
    <w:panose1 w:val="02010609060101010101"/>
    <w:charset w:val="86"/>
    <w:family w:val="auto"/>
    <w:pitch w:val="default"/>
    <w:sig w:usb0="800002BF" w:usb1="38CF7CFA" w:usb2="00000016" w:usb3="00000000" w:csb0="00040001" w:csb1="00000000"/>
    <w:embedRegular r:id="rId2" w:fontKey="{222301D8-97B6-4CE6-A2AC-1AA36C5938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137A8CEA-1182-449E-B58A-5A3652E529F3}"/>
  </w:font>
  <w:font w:name="楷体">
    <w:panose1 w:val="02010609060101010101"/>
    <w:charset w:val="86"/>
    <w:family w:val="modern"/>
    <w:pitch w:val="default"/>
    <w:sig w:usb0="800002BF" w:usb1="38CF7CFA" w:usb2="00000016" w:usb3="00000000" w:csb0="00040001" w:csb1="00000000"/>
    <w:embedRegular r:id="rId4" w:fontKey="{E20F3BFF-8424-465F-802E-3877368CE4AB}"/>
  </w:font>
  <w:font w:name="楷体_GB2312">
    <w:panose1 w:val="02010609030101010101"/>
    <w:charset w:val="86"/>
    <w:family w:val="modern"/>
    <w:pitch w:val="default"/>
    <w:sig w:usb0="00000001" w:usb1="080E0000" w:usb2="00000000" w:usb3="00000000" w:csb0="00040000" w:csb1="00000000"/>
    <w:embedRegular r:id="rId5" w:fontKey="{97E8576D-458B-4F84-8EAA-E4CB69E37394}"/>
  </w:font>
  <w:font w:name="仿宋_GB2312">
    <w:panose1 w:val="02010609030101010101"/>
    <w:charset w:val="86"/>
    <w:family w:val="modern"/>
    <w:pitch w:val="default"/>
    <w:sig w:usb0="00000001" w:usb1="080E0000" w:usb2="00000000" w:usb3="00000000" w:csb0="00040000" w:csb1="00000000"/>
    <w:embedRegular r:id="rId6" w:fontKey="{AEEC00FB-916E-44E5-922F-23919081F2DB}"/>
  </w:font>
  <w:font w:name="ArialUnicodeMS">
    <w:altName w:val="Malgun Gothic"/>
    <w:panose1 w:val="00000000000000000000"/>
    <w:charset w:val="81"/>
    <w:family w:val="auto"/>
    <w:pitch w:val="default"/>
    <w:sig w:usb0="00000000" w:usb1="00000000" w:usb2="00000010" w:usb3="00000000" w:csb0="00080001" w:csb1="00000000"/>
    <w:embedRegular r:id="rId7" w:fontKey="{F01DF5C9-4E21-4CB3-9547-F4D3CD01B612}"/>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8" w:fontKey="{1DDF1F88-222C-49B7-AFAC-DAFC3685225B}"/>
  </w:font>
  <w:font w:name="MS-UIGothic,Bold">
    <w:altName w:val="Malgun Gothic"/>
    <w:panose1 w:val="00000000000000000000"/>
    <w:charset w:val="81"/>
    <w:family w:val="auto"/>
    <w:pitch w:val="default"/>
    <w:sig w:usb0="00000000" w:usb1="00000000" w:usb2="00000010" w:usb3="00000000" w:csb0="00080000" w:csb1="00000000"/>
    <w:embedRegular r:id="rId9" w:fontKey="{7530B5F5-10C1-4160-AE1E-E51D9C45AF6F}"/>
  </w:font>
  <w:font w:name="方正书宋_GBK">
    <w:panose1 w:val="02000000000000000000"/>
    <w:charset w:val="86"/>
    <w:family w:val="auto"/>
    <w:pitch w:val="default"/>
    <w:sig w:usb0="A00002BF" w:usb1="38CF7CFA" w:usb2="00082016" w:usb3="00000000" w:csb0="00040001" w:csb1="00000000"/>
  </w:font>
  <w:font w:name="DengXian-Regular">
    <w:altName w:val="华文中宋"/>
    <w:panose1 w:val="00000000000000000000"/>
    <w:charset w:val="86"/>
    <w:family w:val="auto"/>
    <w:pitch w:val="default"/>
    <w:sig w:usb0="00000000" w:usb1="00000000" w:usb2="00000010" w:usb3="00000000" w:csb0="00040001" w:csb1="00000000"/>
    <w:embedRegular r:id="rId10" w:fontKey="{39DB89BA-5810-4B6E-808C-47525644D006}"/>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embedRegular r:id="rId11" w:fontKey="{8DC67467-AE17-40BE-8F94-53A0ED2D1882}"/>
  </w:font>
  <w:font w:name="微软雅黑">
    <w:panose1 w:val="020B0503020204020204"/>
    <w:charset w:val="86"/>
    <w:family w:val="swiss"/>
    <w:pitch w:val="default"/>
    <w:sig w:usb0="80000287" w:usb1="2ACF3C50" w:usb2="00000016" w:usb3="00000000" w:csb0="0004001F" w:csb1="00000000"/>
    <w:embedRegular r:id="rId12" w:fontKey="{329BD472-0337-47A0-A501-D0773A29B467}"/>
  </w:font>
  <w:font w:name="___WRD_EMBED_SUB_48">
    <w:altName w:val="华文中宋"/>
    <w:panose1 w:val="00000000000000000000"/>
    <w:charset w:val="86"/>
    <w:family w:val="modern"/>
    <w:pitch w:val="default"/>
    <w:sig w:usb0="00000000" w:usb1="00000000" w:usb2="00000010" w:usb3="00000000" w:csb0="00040000" w:csb1="00000000"/>
    <w:embedRegular r:id="rId13" w:fontKey="{DE7480F1-949F-460D-9B71-861935CAE191}"/>
  </w:font>
  <w:font w:name="TimesNewRomanPSMT">
    <w:altName w:val="Times New Roman"/>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7D338F"/>
    <w:multiLevelType w:val="multilevel"/>
    <w:tmpl w:val="057D338F"/>
    <w:lvl w:ilvl="0" w:tentative="0">
      <w:start w:val="1"/>
      <w:numFmt w:val="japaneseCounting"/>
      <w:lvlText w:val="%1、"/>
      <w:lvlJc w:val="left"/>
      <w:pPr>
        <w:ind w:left="630" w:hanging="63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77C3F"/>
    <w:rsid w:val="000838C3"/>
    <w:rsid w:val="00090E65"/>
    <w:rsid w:val="000A26A2"/>
    <w:rsid w:val="000B2446"/>
    <w:rsid w:val="000D7C65"/>
    <w:rsid w:val="000E2F81"/>
    <w:rsid w:val="00102B60"/>
    <w:rsid w:val="00117946"/>
    <w:rsid w:val="00117E2C"/>
    <w:rsid w:val="00146C47"/>
    <w:rsid w:val="00152FB8"/>
    <w:rsid w:val="00170DE7"/>
    <w:rsid w:val="00176658"/>
    <w:rsid w:val="0018239E"/>
    <w:rsid w:val="001B3410"/>
    <w:rsid w:val="001C030D"/>
    <w:rsid w:val="001C4A84"/>
    <w:rsid w:val="001E5902"/>
    <w:rsid w:val="00221B5E"/>
    <w:rsid w:val="00224E91"/>
    <w:rsid w:val="00233705"/>
    <w:rsid w:val="00275CA2"/>
    <w:rsid w:val="00285C74"/>
    <w:rsid w:val="002A65A5"/>
    <w:rsid w:val="002C04C4"/>
    <w:rsid w:val="002D08B0"/>
    <w:rsid w:val="002D1AE3"/>
    <w:rsid w:val="002F2ECE"/>
    <w:rsid w:val="00311BEE"/>
    <w:rsid w:val="00341C8F"/>
    <w:rsid w:val="0035463A"/>
    <w:rsid w:val="00391D9D"/>
    <w:rsid w:val="00391E1D"/>
    <w:rsid w:val="003B6C51"/>
    <w:rsid w:val="003C1413"/>
    <w:rsid w:val="003C549F"/>
    <w:rsid w:val="003D5A16"/>
    <w:rsid w:val="003E7DB3"/>
    <w:rsid w:val="003F7EC9"/>
    <w:rsid w:val="004116BE"/>
    <w:rsid w:val="00431175"/>
    <w:rsid w:val="00471D05"/>
    <w:rsid w:val="004B6E37"/>
    <w:rsid w:val="004C32BA"/>
    <w:rsid w:val="00502871"/>
    <w:rsid w:val="0052537B"/>
    <w:rsid w:val="00563EB9"/>
    <w:rsid w:val="00575922"/>
    <w:rsid w:val="005778C9"/>
    <w:rsid w:val="005A6C90"/>
    <w:rsid w:val="005E3FB0"/>
    <w:rsid w:val="005F4B66"/>
    <w:rsid w:val="005F5208"/>
    <w:rsid w:val="00641318"/>
    <w:rsid w:val="0064405D"/>
    <w:rsid w:val="00685302"/>
    <w:rsid w:val="006860AA"/>
    <w:rsid w:val="00695557"/>
    <w:rsid w:val="006A3FFE"/>
    <w:rsid w:val="006D4EA7"/>
    <w:rsid w:val="0070012A"/>
    <w:rsid w:val="0070664B"/>
    <w:rsid w:val="007071B8"/>
    <w:rsid w:val="007414DE"/>
    <w:rsid w:val="0074209C"/>
    <w:rsid w:val="007905A9"/>
    <w:rsid w:val="007E5500"/>
    <w:rsid w:val="007F055B"/>
    <w:rsid w:val="0080644C"/>
    <w:rsid w:val="00811C2F"/>
    <w:rsid w:val="00832643"/>
    <w:rsid w:val="00833D46"/>
    <w:rsid w:val="00840A97"/>
    <w:rsid w:val="008831C6"/>
    <w:rsid w:val="008B13B4"/>
    <w:rsid w:val="008B36B1"/>
    <w:rsid w:val="008C0149"/>
    <w:rsid w:val="008C689C"/>
    <w:rsid w:val="008D5DED"/>
    <w:rsid w:val="008E25CA"/>
    <w:rsid w:val="008F34FC"/>
    <w:rsid w:val="00935058"/>
    <w:rsid w:val="00944CD7"/>
    <w:rsid w:val="0096602B"/>
    <w:rsid w:val="009831B2"/>
    <w:rsid w:val="00996857"/>
    <w:rsid w:val="009A1ABE"/>
    <w:rsid w:val="009E21A4"/>
    <w:rsid w:val="009F22C6"/>
    <w:rsid w:val="00A07E50"/>
    <w:rsid w:val="00A15397"/>
    <w:rsid w:val="00A35CE0"/>
    <w:rsid w:val="00A4462E"/>
    <w:rsid w:val="00A44AA4"/>
    <w:rsid w:val="00A61623"/>
    <w:rsid w:val="00A84687"/>
    <w:rsid w:val="00AB0A0E"/>
    <w:rsid w:val="00AD3B6E"/>
    <w:rsid w:val="00B06A0C"/>
    <w:rsid w:val="00B1751F"/>
    <w:rsid w:val="00B56722"/>
    <w:rsid w:val="00B74D39"/>
    <w:rsid w:val="00B91DA4"/>
    <w:rsid w:val="00BC6F96"/>
    <w:rsid w:val="00C019B9"/>
    <w:rsid w:val="00C12630"/>
    <w:rsid w:val="00C34562"/>
    <w:rsid w:val="00C3774E"/>
    <w:rsid w:val="00C57456"/>
    <w:rsid w:val="00C65387"/>
    <w:rsid w:val="00C87FAB"/>
    <w:rsid w:val="00C91FF7"/>
    <w:rsid w:val="00C94E53"/>
    <w:rsid w:val="00CC4151"/>
    <w:rsid w:val="00D0048E"/>
    <w:rsid w:val="00D23E7A"/>
    <w:rsid w:val="00D61063"/>
    <w:rsid w:val="00DB35AF"/>
    <w:rsid w:val="00DD72D7"/>
    <w:rsid w:val="00DF5B88"/>
    <w:rsid w:val="00E0589E"/>
    <w:rsid w:val="00E05FBF"/>
    <w:rsid w:val="00E241FA"/>
    <w:rsid w:val="00E2595E"/>
    <w:rsid w:val="00E35374"/>
    <w:rsid w:val="00E50C19"/>
    <w:rsid w:val="00E64655"/>
    <w:rsid w:val="00E73081"/>
    <w:rsid w:val="00E856C9"/>
    <w:rsid w:val="00E8744D"/>
    <w:rsid w:val="00EB6A8B"/>
    <w:rsid w:val="00EF38C6"/>
    <w:rsid w:val="00F24CF1"/>
    <w:rsid w:val="00F57B96"/>
    <w:rsid w:val="00F679C7"/>
    <w:rsid w:val="00F7711A"/>
    <w:rsid w:val="00F87B8A"/>
    <w:rsid w:val="00FA0D58"/>
    <w:rsid w:val="00FA56F4"/>
    <w:rsid w:val="00FB404A"/>
    <w:rsid w:val="00FB4EDA"/>
    <w:rsid w:val="00FD3BD5"/>
    <w:rsid w:val="00FE3DC8"/>
    <w:rsid w:val="04073F84"/>
    <w:rsid w:val="0B60750A"/>
    <w:rsid w:val="0B6D178E"/>
    <w:rsid w:val="0FCE3755"/>
    <w:rsid w:val="10686488"/>
    <w:rsid w:val="10DF728A"/>
    <w:rsid w:val="1264200E"/>
    <w:rsid w:val="141C5B77"/>
    <w:rsid w:val="14E84DF4"/>
    <w:rsid w:val="163A3CBD"/>
    <w:rsid w:val="18D8339D"/>
    <w:rsid w:val="1A21388F"/>
    <w:rsid w:val="1A570D2F"/>
    <w:rsid w:val="210109FF"/>
    <w:rsid w:val="21E57428"/>
    <w:rsid w:val="28E35CE3"/>
    <w:rsid w:val="28FB0B8D"/>
    <w:rsid w:val="2A9870FC"/>
    <w:rsid w:val="2D2B7942"/>
    <w:rsid w:val="2D46481D"/>
    <w:rsid w:val="2E733B28"/>
    <w:rsid w:val="31852B5A"/>
    <w:rsid w:val="32D01238"/>
    <w:rsid w:val="340A5F03"/>
    <w:rsid w:val="34CA564C"/>
    <w:rsid w:val="3DFC59A8"/>
    <w:rsid w:val="3ECF245E"/>
    <w:rsid w:val="3FB96314"/>
    <w:rsid w:val="47AF536D"/>
    <w:rsid w:val="4C975664"/>
    <w:rsid w:val="53A44FAF"/>
    <w:rsid w:val="594329EC"/>
    <w:rsid w:val="5BEE1540"/>
    <w:rsid w:val="5C6B53BB"/>
    <w:rsid w:val="5DE61A5D"/>
    <w:rsid w:val="63323E1F"/>
    <w:rsid w:val="63C04243"/>
    <w:rsid w:val="6440158A"/>
    <w:rsid w:val="649C01C7"/>
    <w:rsid w:val="67DF6B39"/>
    <w:rsid w:val="699A3F60"/>
    <w:rsid w:val="6BAF25AD"/>
    <w:rsid w:val="72902E62"/>
    <w:rsid w:val="73C61104"/>
    <w:rsid w:val="76D511CC"/>
    <w:rsid w:val="776452EA"/>
    <w:rsid w:val="783C33E3"/>
    <w:rsid w:val="7DC663B9"/>
    <w:rsid w:val="7FD21032"/>
    <w:rsid w:val="7FD6A9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jpeg"/><Relationship Id="rId13" Type="http://schemas.openxmlformats.org/officeDocument/2006/relationships/chart" Target="charts/chart8.xml"/><Relationship Id="rId12" Type="http://schemas.openxmlformats.org/officeDocument/2006/relationships/chart" Target="charts/chart7.xml"/><Relationship Id="rId11" Type="http://schemas.openxmlformats.org/officeDocument/2006/relationships/chart" Target="charts/chart6.xml"/><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My%20Documents\WeChat%20Files\wxid-yujiannily\FileStorage\File\2019-09\&#37096;&#38376;&#20915;&#31639;&#20844;&#24320;&#21046;&#22270;&#27169;&#26495;(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'[部门决算公开制图模板(1).xlsx]收入情况说明'!$C$9:$C$12</c:f>
              <c:strCache>
                <c:ptCount val="4"/>
                <c:pt idx="0">
                  <c:v>财政拨款收入</c:v>
                </c:pt>
                <c:pt idx="1">
                  <c:v>事业收入</c:v>
                </c:pt>
                <c:pt idx="2">
                  <c:v>经营收入</c:v>
                </c:pt>
                <c:pt idx="3">
                  <c:v>其他收入</c:v>
                </c:pt>
              </c:strCache>
            </c:strRef>
          </c:cat>
          <c:val>
            <c:numRef>
              <c:f>'[部门决算公开制图模板(1).xlsx]收入情况说明'!$D$9:$D$12</c:f>
              <c:numCache>
                <c:formatCode>General</c:formatCode>
                <c:ptCount val="4"/>
                <c:pt idx="0">
                  <c:v>821.61</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'[部门决算公开制图模板(1).xlsx]收入情况说明'!$C$9:$C$12</c:f>
              <c:strCache>
                <c:ptCount val="4"/>
                <c:pt idx="0">
                  <c:v>财政拨款收入</c:v>
                </c:pt>
                <c:pt idx="1">
                  <c:v>事业收入</c:v>
                </c:pt>
                <c:pt idx="2">
                  <c:v>经营收入</c:v>
                </c:pt>
                <c:pt idx="3">
                  <c:v>其他收入</c:v>
                </c:pt>
              </c:strCache>
            </c:strRef>
          </c:cat>
          <c:val>
            <c:numRef>
              <c:f>'[部门决算公开制图模板(1).xlsx]收入情况说明'!$D$9:$D$12</c:f>
              <c:numCache>
                <c:formatCode>General</c:formatCode>
                <c:ptCount val="4"/>
                <c:pt idx="0">
                  <c:v>821.61</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'[部门决算公开制图模板(1).xlsx]支出情况说明'!$A$5:$A$7</c:f>
              <c:strCache>
                <c:ptCount val="3"/>
                <c:pt idx="0">
                  <c:v>基本支出</c:v>
                </c:pt>
                <c:pt idx="1">
                  <c:v>项目支出</c:v>
                </c:pt>
                <c:pt idx="2">
                  <c:v>经营支出</c:v>
                </c:pt>
              </c:strCache>
            </c:strRef>
          </c:cat>
          <c:val>
            <c:numRef>
              <c:f>'[部门决算公开制图模板(1).xlsx]支出情况说明'!$B$5:$B$7</c:f>
              <c:numCache>
                <c:formatCode>General</c:formatCode>
                <c:ptCount val="3"/>
                <c:pt idx="0">
                  <c:v>609.36</c:v>
                </c:pt>
                <c:pt idx="1">
                  <c:v>227.62</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
          <c:h val="0.601993408970844"/>
        </c:manualLayout>
      </c:layout>
      <c:barChart>
        <c:barDir val="col"/>
        <c:grouping val="clustered"/>
        <c:varyColors val="0"/>
        <c:ser>
          <c:idx val="0"/>
          <c:order val="0"/>
          <c:tx>
            <c:strRef>
              <c:f>'[部门决算公开制图模板(1).xlsx]收支与决算对比'!$A$5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'[部门决算公开制图模板(1).xlsx]收支与决算对比'!$B$5:$C$5</c:f>
              <c:numCache>
                <c:formatCode>General</c:formatCode>
                <c:ptCount val="2"/>
                <c:pt idx="0">
                  <c:v>821.61</c:v>
                </c:pt>
                <c:pt idx="1">
                  <c:v>836.98</c:v>
                </c:pt>
              </c:numCache>
            </c:numRef>
          </c:val>
        </c:ser>
        <c:ser>
          <c:idx val="1"/>
          <c:order val="1"/>
          <c:tx>
            <c:strRef>
              <c:f>'[部门决算公开制图模板(1).xlsx]收支与决算对比'!$A$6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'[部门决算公开制图模板(1).xlsx]收支与决算对比'!$B$6:$C$6</c:f>
              <c:numCache>
                <c:formatCode>General</c:formatCode>
                <c:ptCount val="2"/>
                <c:pt idx="0">
                  <c:v>560.38</c:v>
                </c:pt>
                <c:pt idx="1">
                  <c:v>531.08</c:v>
                </c:pt>
              </c:numCache>
            </c:numRef>
          </c:val>
        </c:ser>
        <c:dLbls>
          <c:showLegendKey val="0"/>
          <c:showVal val="1"/>
          <c:showCatName val="0"/>
          <c:showSerName val="0"/>
          <c:showPercent val="0"/>
          <c:showBubbleSize val="0"/>
        </c:dLbls>
        <c:gapWidth val="75"/>
        <c:axId val="184248576"/>
        <c:axId val="184428800"/>
      </c:barChart>
      <c:catAx>
        <c:axId val="1842485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428800"/>
        <c:crosses val="autoZero"/>
        <c:auto val="1"/>
        <c:lblAlgn val="ctr"/>
        <c:lblOffset val="100"/>
        <c:noMultiLvlLbl val="0"/>
      </c:catAx>
      <c:valAx>
        <c:axId val="18442880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248576"/>
        <c:crosses val="autoZero"/>
        <c:crossBetween val="between"/>
      </c:valAx>
    </c:plotArea>
    <c:legend>
      <c:legendPos val="b"/>
      <c:layout>
        <c:manualLayout>
          <c:xMode val="edge"/>
          <c:yMode val="edge"/>
          <c:x val="0.426340551181102"/>
          <c:y val="0.756835299740887"/>
          <c:w val="0.208429790026247"/>
          <c:h val="0.077030514955598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1675774134791"/>
        </c:manualLayout>
      </c:layout>
      <c:overlay val="0"/>
    </c:title>
    <c:autoTitleDeleted val="0"/>
    <c:plotArea>
      <c:layout>
        <c:manualLayout>
          <c:layoutTarget val="inner"/>
          <c:xMode val="edge"/>
          <c:yMode val="edge"/>
          <c:x val="0.100155074365704"/>
          <c:y val="0.0231156048675734"/>
          <c:w val="0.86928937007874"/>
          <c:h val="0.768818002863279"/>
        </c:manualLayout>
      </c:layout>
      <c:barChart>
        <c:barDir val="col"/>
        <c:grouping val="clustered"/>
        <c:varyColors val="0"/>
        <c:ser>
          <c:idx val="0"/>
          <c:order val="0"/>
          <c:tx>
            <c:strRef>
              <c:f>'[部门决算公开制图模板(1).xlsx]收支与预算对比'!$A$5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'[部门决算公开制图模板(1).xlsx]收支与预算对比'!$B$5:$C$5</c:f>
              <c:numCache>
                <c:formatCode>General</c:formatCode>
                <c:ptCount val="2"/>
                <c:pt idx="0">
                  <c:v>707.33</c:v>
                </c:pt>
                <c:pt idx="1">
                  <c:v>707.33</c:v>
                </c:pt>
              </c:numCache>
            </c:numRef>
          </c:val>
        </c:ser>
        <c:ser>
          <c:idx val="1"/>
          <c:order val="1"/>
          <c:tx>
            <c:strRef>
              <c:f>'[部门决算公开制图模板(1).xlsx]收支与预算对比'!$A$6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'[部门决算公开制图模板(1).xlsx]收支与预算对比'!$B$6:$C$6</c:f>
              <c:numCache>
                <c:formatCode>General</c:formatCode>
                <c:ptCount val="2"/>
                <c:pt idx="0">
                  <c:v>821.61</c:v>
                </c:pt>
                <c:pt idx="1">
                  <c:v>836.98</c:v>
                </c:pt>
              </c:numCache>
            </c:numRef>
          </c:val>
        </c:ser>
        <c:dLbls>
          <c:showLegendKey val="0"/>
          <c:showVal val="1"/>
          <c:showCatName val="0"/>
          <c:showSerName val="0"/>
          <c:showPercent val="0"/>
          <c:showBubbleSize val="0"/>
        </c:dLbls>
        <c:gapWidth val="75"/>
        <c:axId val="188681216"/>
        <c:axId val="188720256"/>
      </c:barChart>
      <c:catAx>
        <c:axId val="18868121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720256"/>
        <c:crosses val="autoZero"/>
        <c:auto val="1"/>
        <c:lblAlgn val="ctr"/>
        <c:lblOffset val="100"/>
        <c:noMultiLvlLbl val="0"/>
      </c:catAx>
      <c:valAx>
        <c:axId val="18872025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681216"/>
        <c:crosses val="autoZero"/>
        <c:crossBetween val="between"/>
      </c:valAx>
    </c:plotArea>
    <c:legend>
      <c:legendPos val="b"/>
      <c:layout>
        <c:manualLayout>
          <c:xMode val="edge"/>
          <c:yMode val="edge"/>
          <c:x val="0.346718285214348"/>
          <c:y val="0.848750340633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一般公共服务支出</a:t>
                    </a:r>
                    <a:r>
                      <a:rPr lang="en-US" altLang="zh-CN"/>
                      <a:t>91.54%</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extLst>
            </c:dLbl>
            <c:dLbl>
              <c:idx val="1"/>
              <c:delete val="1"/>
            </c:dLbl>
            <c:dLbl>
              <c:idx val="2"/>
              <c:delete val="1"/>
            </c:dLbl>
            <c:dLbl>
              <c:idx val="3"/>
              <c:delete val="1"/>
            </c:dLbl>
            <c:dLbl>
              <c:idx val="4"/>
              <c:delete val="1"/>
            </c:dLbl>
            <c:dLbl>
              <c:idx val="5"/>
              <c:layout>
                <c:manualLayout>
                  <c:x val="0.00390578628651805"/>
                  <c:y val="0.151108444777736"/>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社会保障和就业支出</a:t>
                    </a:r>
                    <a:r>
                      <a:rPr lang="en-US" altLang="zh-CN"/>
                      <a:t>7.27%</a:t>
                    </a:r>
                    <a:endParaRPr lang="zh-CN" altLang="en-US"/>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6"/>
              <c:delete val="1"/>
            </c:dLbl>
            <c:dLbl>
              <c:idx val="7"/>
              <c:layout>
                <c:manualLayout>
                  <c:x val="0.0717861486826342"/>
                  <c:y val="0.0349576271186441"/>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节能环保支出</a:t>
                    </a:r>
                    <a:r>
                      <a:rPr lang="en-US" altLang="zh-CN"/>
                      <a:t>, 1.19%</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'[部门决算公开制图模板(1).xlsx]支出决算结构'!$B$5:$B$23</c:f>
              <c:numCache>
                <c:formatCode>General</c:formatCode>
                <c:ptCount val="19"/>
                <c:pt idx="0">
                  <c:v>766.16</c:v>
                </c:pt>
                <c:pt idx="5">
                  <c:v>60.83</c:v>
                </c:pt>
                <c:pt idx="7">
                  <c:v>10</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5"/>
              <c:layout>
                <c:manualLayout>
                  <c:x val="-0.0658109749857361"/>
                  <c:y val="0.0579866753309767"/>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'[部门决算公开制图模板(1).xlsx]支出决算结构'!$B$5:$B$23</c:f>
              <c:numCache>
                <c:formatCode>General</c:formatCode>
                <c:ptCount val="19"/>
                <c:pt idx="0">
                  <c:v>766.16</c:v>
                </c:pt>
                <c:pt idx="5">
                  <c:v>60.83</c:v>
                </c:pt>
                <c:pt idx="7">
                  <c:v>10</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5"/>
              <c:layout>
                <c:manualLayout>
                  <c:x val="-0.0658109749857361"/>
                  <c:y val="0.0579866753309767"/>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'[部门决算公开制图模板(1).xlsx]支出决算结构'!$B$5:$B$23</c:f>
              <c:numCache>
                <c:formatCode>General</c:formatCode>
                <c:ptCount val="19"/>
                <c:pt idx="0">
                  <c:v>766.16</c:v>
                </c:pt>
                <c:pt idx="5">
                  <c:v>60.83</c:v>
                </c:pt>
                <c:pt idx="7">
                  <c:v>10</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1713</Words>
  <Characters>9770</Characters>
  <Lines>81</Lines>
  <Paragraphs>22</Paragraphs>
  <TotalTime>11</TotalTime>
  <ScaleCrop>false</ScaleCrop>
  <LinksUpToDate>false</LinksUpToDate>
  <CharactersWithSpaces>11461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2019-09-10T11:21:00Z</dcterms:created>
  <dc:creator>User</dc:creator>
  <cp:lastModifiedBy>古德纽斯</cp:lastModifiedBy>
  <cp:lastPrinted>2019-12-19T09:11:00Z</cp:lastPrinted>
  <dcterms:modified xsi:type="dcterms:W3CDTF">2024-01-09T03:44:28Z</dcterms:modified>
  <dc:subject>石家庄市xxx部门</dc:subject>
  <dc:title>2017年度部门决算</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252BD4434596927E09AD946536103EA7</vt:lpwstr>
  </property>
</Properties>
</file>