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3" w:name="_GoBack"/>
      <w:bookmarkEnd w:id="3"/>
      <w:r>
        <w:rPr>
          <w:rFonts w:hint="eastAsia" w:hAnsi="宋体" w:asciiTheme="minorEastAsia" w:eastAsiaTheme="minorEastAsia"/>
          <w:color w:val="002060"/>
          <w:sz w:val="72"/>
          <w:szCs w:val="72"/>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10"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无极县文化广电新闻出版局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624"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无极县文化广电新闻出版局</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11"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1、贯彻执行党和国家文化、体育、广播电视、网络视听节目服务管理和旅游工作方针政策和法律法规。研究拟订全县文化、体育、广播电视和旅游政策措施，起草全县文化、体育、广播电视、网络视听节目和旅游政府规章草案。</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拟订全县文化事业、文化产业、广播电视领域、体育领域和旅游业发展规划并组织实施。推进文化、广播电视和旅游融合发展，推进文化、广播电视和旅游体制机制改革。负责研究全县体育发展战略。协调区域性体育服务体系，推动多元化体育服务体系建设，推进体育公共服务和体育体制改革。</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3、管理和组织全县性重大文化和旅游活动，组织实施全县广播电视公共服务重大公益工程和公益活动。监管全县重点文化和旅游设施建设，组织全县文化和旅游整体形象推广，促进文化产业和旅游产业对外合作和国际市场推广；负责组织推进全县旅游工作。</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4、指导、管理全县文艺事业。指导艺术创作生产，推动全县各门类艺术、各艺术品种发展。指导全县电视剧行业发展和电视剧创作生产。</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5、负责全县公共文化和旅游事业发展。推动全县文化、广播电视和旅游公共服务体系建设，深入实施文化惠民工程，统筹推进全县文化、广播电视和旅游服务标准化、均等化。</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6、推进全县文化、广播电视和旅游科技创新发展，推进文化和旅游行业信息化、标准化建设；负责对全县广播电视电视节目传输覆盖、监听、监看、监测的监管，会同有关部门做好对网络视听节目和公共视听载体播放的视听节目的监管工作，指导、监管全县广播电视广告播放。推进全县应急广播体系建设，监管协调调度全县广播电视安全播出。</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7、负责对全县各类广播电视机构进行业务指导和监管，会同有关部门对全县网络视听节目服务机构进行管理，推进广播电视与新媒体新技术新业态融合发展，推进广电网与电信网、互联网三网融合。</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8、负责全县非物质文化遗产保护，推动非物质文化遗产的保护、传承、普及、弘扬和振兴。</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9、统筹规划全县文化产业、广播电视产业和旅游产业。组织实施文化和旅游资源普查、挖掘、保护和开发利用工作，促进文化产业、广播电视产业和旅游业发展。</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10、指导全县文化、广播电视和旅游市场发展。对文化、广播电视和旅游市场经营进行行业监督，推进全县文化、广播电视和旅游行业信用体系建设，依法规范文化、广播电视和旅游市场。</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11、负责文化、体育、文物、新闻出版（版权）、广播电视、电影、旅游等市场综合执法；负责监察督办全县性、跨区域性大案要案，维护市场秩序。</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12、负责文化遗产的管理和保护，指导和管理文物、博物馆事业，组织指导文物的保护抢救、考古发掘和开发利用工作。</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13、承担全县文化、广播电视和旅游行业安全综合协调和监督管理工作，负责全县文化、广播电视和旅游行业突发应急事件的处理工作。</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14、负责统筹规划全县群众体育发展，推动全民健身计划，开展群众性体育活动，实施国家体育锻炼标准，开展国民体质监测，负责公共体育设施建设及监督管理工作。</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15、负责统筹规划全县竞技体育发展，确定全县青少年体育项目的设置和布局，指导全县青少年业余训练机构开展业余训练，建设县级青少年竞赛体系。组织协调由县级承办的重要竞技体育赛事，组织开展青少年反兴奋剂工作。</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16、拟定全县体育产业发展规划，培育扶持体育市场，规范体育服务管理，推动体育标准化建设。</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17、负责体育领域的科技研究及应用。</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18、指导全县体育、旅游社团工作。</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19、指导、管理全县文化、广播电视、体育和旅游对外及对港澳台交流、合作和宣传、推广工作，组织大型文化、广播电视、体育和旅游对外及对港澳台交流活动。</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20、负责全县体育系统安全生产监管工作。</w:t>
      </w:r>
    </w:p>
    <w:p>
      <w:pPr>
        <w:autoSpaceDE w:val="0"/>
        <w:autoSpaceDN w:val="0"/>
        <w:adjustRightInd w:val="0"/>
        <w:spacing w:after="0" w:line="58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21、完成县委、县政府交办的其他任务。</w:t>
      </w:r>
    </w:p>
    <w:p>
      <w:pPr>
        <w:autoSpaceDE w:val="0"/>
        <w:autoSpaceDN w:val="0"/>
        <w:adjustRightInd w:val="0"/>
        <w:spacing w:after="0" w:line="560" w:lineRule="exact"/>
        <w:jc w:val="left"/>
        <w:rPr>
          <w:rFonts w:ascii="仿宋_GB2312" w:eastAsia="仿宋_GB2312" w:cs="ArialUnicodeMS" w:hAnsiTheme="minorHAnsi"/>
          <w:kern w:val="0"/>
          <w:sz w:val="32"/>
          <w:szCs w:val="32"/>
        </w:rPr>
      </w:pP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年度本部门决算汇编范围的独立核算单位（以下简称“单位”）共5个，具体情况如下：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092"/>
        <w:gridCol w:w="2838"/>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092"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838"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092"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无极县文化广电新闻出版局(本级)</w:t>
            </w:r>
          </w:p>
        </w:tc>
        <w:tc>
          <w:tcPr>
            <w:tcW w:w="2838"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092"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无极县图书馆</w:t>
            </w:r>
          </w:p>
        </w:tc>
        <w:tc>
          <w:tcPr>
            <w:tcW w:w="2838"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财政补助事业单位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092"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无极县文化馆</w:t>
            </w:r>
          </w:p>
        </w:tc>
        <w:tc>
          <w:tcPr>
            <w:tcW w:w="2838"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财政补助事业单位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4</w:t>
            </w:r>
          </w:p>
        </w:tc>
        <w:tc>
          <w:tcPr>
            <w:tcW w:w="3092"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无极县文化市场行政执法队</w:t>
            </w:r>
          </w:p>
        </w:tc>
        <w:tc>
          <w:tcPr>
            <w:tcW w:w="2838"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财政补助事业单位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5</w:t>
            </w:r>
          </w:p>
        </w:tc>
        <w:tc>
          <w:tcPr>
            <w:tcW w:w="3092"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无极县美术馆</w:t>
            </w:r>
          </w:p>
        </w:tc>
        <w:tc>
          <w:tcPr>
            <w:tcW w:w="2838"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财政补助事业单位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财政资金基本保障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11"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74.2pt;margin-top:120.3pt;height:159.1pt;width:596.2pt;z-index:2516418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40" w:type="dxa"/>
        <w:jc w:val="center"/>
        <w:tblLayout w:type="fixed"/>
        <w:tblCellMar>
          <w:top w:w="0" w:type="dxa"/>
          <w:left w:w="0" w:type="dxa"/>
          <w:bottom w:w="0" w:type="dxa"/>
          <w:right w:w="0" w:type="dxa"/>
        </w:tblCellMar>
      </w:tblPr>
      <w:tblGrid>
        <w:gridCol w:w="2740"/>
        <w:gridCol w:w="202"/>
        <w:gridCol w:w="365"/>
        <w:gridCol w:w="1336"/>
        <w:gridCol w:w="2700"/>
        <w:gridCol w:w="567"/>
        <w:gridCol w:w="1430"/>
      </w:tblGrid>
      <w:tr>
        <w:tblPrEx>
          <w:tblCellMar>
            <w:top w:w="0" w:type="dxa"/>
            <w:left w:w="0" w:type="dxa"/>
            <w:bottom w:w="0" w:type="dxa"/>
            <w:right w:w="0" w:type="dxa"/>
          </w:tblCellMar>
        </w:tblPrEx>
        <w:trPr>
          <w:trHeight w:val="567" w:hRule="atLeast"/>
          <w:jc w:val="center"/>
        </w:trPr>
        <w:tc>
          <w:tcPr>
            <w:tcW w:w="9340"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94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部门：无极县文化广电新闻出版局</w:t>
            </w:r>
          </w:p>
        </w:tc>
        <w:tc>
          <w:tcPr>
            <w:tcW w:w="36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4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4285.12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68.32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791.62</w:t>
            </w: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7.05</w:t>
            </w: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1000</w:t>
            </w: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243.83</w:t>
            </w: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4353.45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2042.5</w:t>
            </w:r>
          </w:p>
        </w:tc>
      </w:tr>
      <w:tr>
        <w:tblPrEx>
          <w:tblCellMar>
            <w:top w:w="0" w:type="dxa"/>
            <w:left w:w="0" w:type="dxa"/>
            <w:bottom w:w="0" w:type="dxa"/>
            <w:right w:w="0" w:type="dxa"/>
          </w:tblCellMar>
        </w:tblPrEx>
        <w:trPr>
          <w:trHeight w:val="385"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65.15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2376.1</w:t>
            </w:r>
          </w:p>
        </w:tc>
      </w:tr>
      <w:tr>
        <w:tblPrEx>
          <w:tblCellMar>
            <w:top w:w="0" w:type="dxa"/>
            <w:left w:w="0" w:type="dxa"/>
            <w:bottom w:w="0" w:type="dxa"/>
            <w:right w:w="0" w:type="dxa"/>
          </w:tblCellMar>
        </w:tblPrEx>
        <w:trPr>
          <w:trHeight w:val="337" w:hRule="atLeast"/>
          <w:jc w:val="center"/>
        </w:trPr>
        <w:tc>
          <w:tcPr>
            <w:tcW w:w="274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4418.6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4418.6</w:t>
            </w:r>
          </w:p>
        </w:tc>
      </w:tr>
      <w:tr>
        <w:tblPrEx>
          <w:tblCellMar>
            <w:top w:w="0" w:type="dxa"/>
            <w:left w:w="0" w:type="dxa"/>
            <w:bottom w:w="0" w:type="dxa"/>
            <w:right w:w="0" w:type="dxa"/>
          </w:tblCellMar>
        </w:tblPrEx>
        <w:trPr>
          <w:trHeight w:val="417" w:hRule="atLeast"/>
          <w:jc w:val="center"/>
        </w:trPr>
        <w:tc>
          <w:tcPr>
            <w:tcW w:w="9340"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79" w:type="dxa"/>
        <w:jc w:val="center"/>
        <w:tblLayout w:type="fixed"/>
        <w:tblCellMar>
          <w:top w:w="0" w:type="dxa"/>
          <w:left w:w="0" w:type="dxa"/>
          <w:bottom w:w="0" w:type="dxa"/>
          <w:right w:w="0" w:type="dxa"/>
        </w:tblCellMar>
      </w:tblPr>
      <w:tblGrid>
        <w:gridCol w:w="335"/>
        <w:gridCol w:w="179"/>
        <w:gridCol w:w="520"/>
        <w:gridCol w:w="1318"/>
        <w:gridCol w:w="785"/>
        <w:gridCol w:w="87"/>
        <w:gridCol w:w="338"/>
        <w:gridCol w:w="477"/>
        <w:gridCol w:w="374"/>
        <w:gridCol w:w="442"/>
        <w:gridCol w:w="550"/>
        <w:gridCol w:w="265"/>
        <w:gridCol w:w="444"/>
        <w:gridCol w:w="371"/>
        <w:gridCol w:w="196"/>
        <w:gridCol w:w="567"/>
        <w:gridCol w:w="850"/>
        <w:gridCol w:w="781"/>
      </w:tblGrid>
      <w:tr>
        <w:tblPrEx>
          <w:tblCellMar>
            <w:top w:w="0" w:type="dxa"/>
            <w:left w:w="0" w:type="dxa"/>
            <w:bottom w:w="0" w:type="dxa"/>
            <w:right w:w="0" w:type="dxa"/>
          </w:tblCellMar>
        </w:tblPrEx>
        <w:trPr>
          <w:trHeight w:val="551" w:hRule="atLeast"/>
          <w:jc w:val="center"/>
        </w:trPr>
        <w:tc>
          <w:tcPr>
            <w:tcW w:w="8879" w:type="dxa"/>
            <w:gridSpan w:val="18"/>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bookmarkStart w:id="0" w:name="OLE_LINK1"/>
            <w:bookmarkStart w:id="1" w:name="OLE_LINK2"/>
            <w:bookmarkStart w:id="2" w:name="OLE_LINK3"/>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180"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8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313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部门：无极县文化广电新闻出版局</w:t>
            </w:r>
          </w:p>
        </w:tc>
        <w:tc>
          <w:tcPr>
            <w:tcW w:w="8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3562" w:type="dxa"/>
            <w:gridSpan w:val="7"/>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851" w:type="dxa"/>
            <w:gridSpan w:val="2"/>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92"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709"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567"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567"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85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781"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539"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1"/>
                <w:szCs w:val="11"/>
              </w:rPr>
            </w:pPr>
            <w:r>
              <w:rPr>
                <w:rFonts w:hint="eastAsia" w:ascii="宋体" w:hAnsi="宋体" w:cs="宋体"/>
                <w:color w:val="000000"/>
                <w:kern w:val="0"/>
                <w:sz w:val="11"/>
                <w:szCs w:val="11"/>
              </w:rPr>
              <w:t>功能分类科目编码</w:t>
            </w:r>
          </w:p>
        </w:tc>
        <w:tc>
          <w:tcPr>
            <w:tcW w:w="2528" w:type="dxa"/>
            <w:gridSpan w:val="4"/>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851" w:type="dxa"/>
            <w:gridSpan w:val="2"/>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92"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09"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67"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567"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85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781"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cantSplit/>
          <w:trHeight w:val="57" w:hRule="atLeast"/>
          <w:jc w:val="center"/>
        </w:trPr>
        <w:tc>
          <w:tcPr>
            <w:tcW w:w="3562"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85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70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56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5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78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cantSplit/>
          <w:trHeight w:val="57" w:hRule="atLeast"/>
          <w:jc w:val="center"/>
        </w:trPr>
        <w:tc>
          <w:tcPr>
            <w:tcW w:w="3562"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5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4353.45</w:t>
            </w:r>
          </w:p>
        </w:tc>
        <w:tc>
          <w:tcPr>
            <w:tcW w:w="992"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4285.12</w:t>
            </w:r>
          </w:p>
        </w:tc>
        <w:tc>
          <w:tcPr>
            <w:tcW w:w="709"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567"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567"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85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781"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68.33</w:t>
            </w: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文化体育与传媒支出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890.28</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890.28</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20701</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文化</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420.06</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420.06</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2070101</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行政运行</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129.97</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129.97</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2070104</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图书馆</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65.29</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65.29</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2070107</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艺术表演团体</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16.01</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16.01</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2070109</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群众文化</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117.52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117.52</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2070112</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文化市场管理</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67.02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67.02</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2070199</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其他文化支出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24.25</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24.25</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20702</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文物</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160.20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160.20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2070299</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其他文物支出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160.20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160.20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20704</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新闻出版广播影视</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27.44</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27.44</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2070406</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电影</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27.44</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27.44</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20707</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 w:val="8"/>
                <w:szCs w:val="8"/>
              </w:rPr>
            </w:pPr>
            <w:r>
              <w:rPr>
                <w:rFonts w:hint="eastAsia" w:ascii="宋体" w:hAnsi="宋体" w:cs="宋体"/>
                <w:b/>
                <w:color w:val="000000"/>
                <w:sz w:val="8"/>
                <w:szCs w:val="8"/>
              </w:rPr>
              <w:t>国家电影事业发展专项资金及对应专项债务收入安排的支出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2070701</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资助国产影片放映</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20799</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其他文化体育与传媒支出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279.58</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279.58</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2079999</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其他文化体育与传媒支出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279.58</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279.58</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208</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社会保障和就业支出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7.05</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7.05</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20805</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行政事业单位离退休</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2.02</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3"/>
                <w:szCs w:val="13"/>
              </w:rPr>
            </w:pPr>
            <w:r>
              <w:rPr>
                <w:rFonts w:hint="eastAsia" w:ascii="宋体" w:hAnsi="宋体" w:cs="宋体"/>
                <w:color w:val="000000"/>
                <w:szCs w:val="21"/>
              </w:rPr>
              <w:t xml:space="preserve"> </w:t>
            </w:r>
            <w:r>
              <w:rPr>
                <w:rFonts w:hint="eastAsia" w:ascii="宋体" w:hAnsi="宋体" w:cs="宋体"/>
                <w:color w:val="000000"/>
                <w:sz w:val="13"/>
                <w:szCs w:val="13"/>
              </w:rPr>
              <w:t>机关事业单位基本养老保险缴费支出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2.02</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20808</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抚恤</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5.03</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5.03</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死亡抚恤</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5.03</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5.03</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212</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城乡社区支出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3000.00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3000.00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21208</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 w:val="9"/>
                <w:szCs w:val="9"/>
              </w:rPr>
            </w:pPr>
            <w:r>
              <w:rPr>
                <w:rFonts w:hint="eastAsia" w:ascii="宋体" w:hAnsi="宋体" w:cs="宋体"/>
                <w:b/>
                <w:color w:val="000000"/>
                <w:sz w:val="9"/>
                <w:szCs w:val="9"/>
              </w:rPr>
              <w:t>国有土地使用权出让收入对应专项债务收入安排的支出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3000.00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3000.00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2120803</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城市建设支出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3000.00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3000.00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229</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其他支出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456.12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387.79</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68.33</w:t>
            </w: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22960</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 w:val="11"/>
                <w:szCs w:val="11"/>
              </w:rPr>
            </w:pPr>
            <w:r>
              <w:rPr>
                <w:rFonts w:hint="eastAsia" w:ascii="宋体" w:hAnsi="宋体" w:cs="宋体"/>
                <w:b/>
                <w:color w:val="000000"/>
                <w:sz w:val="11"/>
                <w:szCs w:val="11"/>
              </w:rPr>
              <w:t>彩票公益金及对应专项债务收入安排的支出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456.12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387.79</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68.33</w:t>
            </w: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2296003</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Cs w:val="21"/>
              </w:rPr>
              <w:t xml:space="preserve"> </w:t>
            </w:r>
            <w:r>
              <w:rPr>
                <w:rFonts w:hint="eastAsia" w:ascii="宋体" w:hAnsi="宋体" w:cs="宋体"/>
                <w:color w:val="000000"/>
                <w:sz w:val="15"/>
                <w:szCs w:val="15"/>
              </w:rPr>
              <w:t>用于体育事业的彩票公益金支出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430.12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361.79</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68.33</w:t>
            </w:r>
          </w:p>
        </w:tc>
      </w:tr>
      <w:tr>
        <w:tblPrEx>
          <w:tblCellMar>
            <w:top w:w="0" w:type="dxa"/>
            <w:left w:w="0" w:type="dxa"/>
            <w:bottom w:w="0" w:type="dxa"/>
            <w:right w:w="0" w:type="dxa"/>
          </w:tblCellMar>
        </w:tblPrEx>
        <w:trPr>
          <w:cantSplit/>
          <w:trHeight w:val="57"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2296099</w:t>
            </w:r>
          </w:p>
        </w:tc>
        <w:tc>
          <w:tcPr>
            <w:tcW w:w="2528"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3"/>
                <w:szCs w:val="13"/>
              </w:rPr>
            </w:pPr>
            <w:r>
              <w:rPr>
                <w:rFonts w:hint="eastAsia" w:ascii="宋体" w:hAnsi="宋体" w:cs="宋体"/>
                <w:color w:val="000000"/>
                <w:szCs w:val="21"/>
              </w:rPr>
              <w:t xml:space="preserve"> </w:t>
            </w:r>
            <w:r>
              <w:rPr>
                <w:rFonts w:hint="eastAsia" w:ascii="宋体" w:hAnsi="宋体" w:cs="宋体"/>
                <w:color w:val="000000"/>
                <w:sz w:val="13"/>
                <w:szCs w:val="13"/>
              </w:rPr>
              <w:t>用于其他社会公益事业的彩票公益金支出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26.00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79" w:type="dxa"/>
            <w:gridSpan w:val="18"/>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bookmarkEnd w:id="0"/>
      <w:bookmarkEnd w:id="1"/>
      <w:bookmarkEnd w:id="2"/>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27" w:type="dxa"/>
        <w:tblInd w:w="0" w:type="dxa"/>
        <w:tblLayout w:type="fixed"/>
        <w:tblCellMar>
          <w:top w:w="0" w:type="dxa"/>
          <w:left w:w="0" w:type="dxa"/>
          <w:bottom w:w="0" w:type="dxa"/>
          <w:right w:w="0" w:type="dxa"/>
        </w:tblCellMar>
      </w:tblPr>
      <w:tblGrid>
        <w:gridCol w:w="290"/>
        <w:gridCol w:w="289"/>
        <w:gridCol w:w="429"/>
        <w:gridCol w:w="374"/>
        <w:gridCol w:w="1117"/>
        <w:gridCol w:w="647"/>
        <w:gridCol w:w="413"/>
        <w:gridCol w:w="705"/>
        <w:gridCol w:w="146"/>
        <w:gridCol w:w="974"/>
        <w:gridCol w:w="18"/>
        <w:gridCol w:w="850"/>
        <w:gridCol w:w="250"/>
        <w:gridCol w:w="743"/>
        <w:gridCol w:w="377"/>
        <w:gridCol w:w="321"/>
        <w:gridCol w:w="1057"/>
        <w:gridCol w:w="27"/>
      </w:tblGrid>
      <w:tr>
        <w:tblPrEx>
          <w:tblCellMar>
            <w:top w:w="0" w:type="dxa"/>
            <w:left w:w="0" w:type="dxa"/>
            <w:bottom w:w="0" w:type="dxa"/>
            <w:right w:w="0" w:type="dxa"/>
          </w:tblCellMar>
        </w:tblPrEx>
        <w:trPr>
          <w:gridAfter w:val="1"/>
          <w:wAfter w:w="27" w:type="dxa"/>
          <w:trHeight w:val="552" w:hRule="atLeast"/>
        </w:trPr>
        <w:tc>
          <w:tcPr>
            <w:tcW w:w="90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gridAfter w:val="1"/>
          <w:wAfter w:w="27" w:type="dxa"/>
          <w:trHeight w:val="308"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gridAfter w:val="1"/>
          <w:wAfter w:w="27" w:type="dxa"/>
          <w:trHeight w:val="314" w:hRule="atLeast"/>
        </w:trPr>
        <w:tc>
          <w:tcPr>
            <w:tcW w:w="3146" w:type="dxa"/>
            <w:gridSpan w:val="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部门：无极县文化广电新闻出版局</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89" w:hRule="atLeast"/>
        </w:trPr>
        <w:tc>
          <w:tcPr>
            <w:tcW w:w="3559"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851"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992"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850"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  支出</w:t>
            </w:r>
          </w:p>
        </w:tc>
        <w:tc>
          <w:tcPr>
            <w:tcW w:w="99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698"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 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330" w:hRule="atLeast"/>
        </w:trPr>
        <w:tc>
          <w:tcPr>
            <w:tcW w:w="10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1"/>
                <w:szCs w:val="11"/>
              </w:rPr>
            </w:pPr>
            <w:r>
              <w:rPr>
                <w:rFonts w:hint="eastAsia" w:ascii="宋体" w:hAnsi="宋体" w:cs="宋体"/>
                <w:color w:val="000000"/>
                <w:kern w:val="0"/>
                <w:sz w:val="11"/>
                <w:szCs w:val="11"/>
              </w:rPr>
              <w:t>功能分类科目编码</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1"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92"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850"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99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698"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cantSplit/>
          <w:trHeight w:val="265" w:hRule="atLeast"/>
        </w:trPr>
        <w:tc>
          <w:tcPr>
            <w:tcW w:w="3559"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85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99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99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6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cantSplit/>
          <w:trHeight w:val="137" w:hRule="atLeast"/>
        </w:trPr>
        <w:tc>
          <w:tcPr>
            <w:tcW w:w="3559"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2042.50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386.49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1656.01</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文化体育与传媒支出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791.61</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379.44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412.17</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20701</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文化</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464.45</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379.44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85.01</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2070101</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行政运行</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129.53</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119.03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10.50</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2070104</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图书馆</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65.29</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65.29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2070107</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艺术表演团体</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16.01</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16.01</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2070109</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群众文化</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111.72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110.32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1.40</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2070112</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文化市场管理</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67.55</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67.55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2070199</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其他文化支出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74.35</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57.10</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20702</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文物</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147.49</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147.49</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2070299</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其他文物支出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147.49</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147.49</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20704</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新闻出版广播影视</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27.44</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27.44</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2070406</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电影</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27.44</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27.44</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20707</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 w:val="8"/>
                <w:szCs w:val="8"/>
              </w:rPr>
            </w:pPr>
            <w:r>
              <w:rPr>
                <w:rFonts w:hint="eastAsia" w:ascii="宋体" w:hAnsi="宋体" w:cs="宋体"/>
                <w:b/>
                <w:color w:val="000000"/>
                <w:sz w:val="8"/>
                <w:szCs w:val="8"/>
              </w:rPr>
              <w:t>国家电影事业发展专项资金及对应专项债务收入安排的支出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2070701</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资助国产影片放映</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3.00</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20799</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其他文化体育与传媒支出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149.23</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149.23</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2079999</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其他文化体育与传媒支出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149.23</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149.23</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208</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社会保障和就业支出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7.05</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20805</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行政事业单位离退休</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3"/>
                <w:szCs w:val="13"/>
              </w:rPr>
            </w:pPr>
            <w:r>
              <w:rPr>
                <w:rFonts w:hint="eastAsia" w:ascii="宋体" w:hAnsi="宋体" w:cs="宋体"/>
                <w:color w:val="000000"/>
                <w:szCs w:val="21"/>
              </w:rPr>
              <w:t xml:space="preserve"> </w:t>
            </w:r>
            <w:r>
              <w:rPr>
                <w:rFonts w:hint="eastAsia" w:ascii="宋体" w:hAnsi="宋体" w:cs="宋体"/>
                <w:color w:val="000000"/>
                <w:sz w:val="13"/>
                <w:szCs w:val="13"/>
              </w:rPr>
              <w:t>机关事业单位基本养老保险缴费支出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20808</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抚恤</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5.03</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死亡抚恤</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5.03</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212</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城乡社区支出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1000.00</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21208</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 w:val="9"/>
                <w:szCs w:val="9"/>
              </w:rPr>
            </w:pPr>
            <w:r>
              <w:rPr>
                <w:rFonts w:hint="eastAsia" w:ascii="宋体" w:hAnsi="宋体" w:cs="宋体"/>
                <w:b/>
                <w:color w:val="000000"/>
                <w:sz w:val="9"/>
                <w:szCs w:val="9"/>
              </w:rPr>
              <w:t>国有土地使用权出让收入对应专项债务收入安排的支出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1000.00</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2120803</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城市建设支出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1000.00</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229</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其他支出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243.83</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243.83</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22960</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 w:val="11"/>
                <w:szCs w:val="11"/>
              </w:rPr>
            </w:pPr>
            <w:r>
              <w:rPr>
                <w:rFonts w:hint="eastAsia" w:ascii="宋体" w:hAnsi="宋体" w:cs="宋体"/>
                <w:b/>
                <w:color w:val="000000"/>
                <w:sz w:val="11"/>
                <w:szCs w:val="11"/>
              </w:rPr>
              <w:t>彩票公益金及对应专项债务收入安排的支出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243.83</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243.83</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2296003</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Cs w:val="21"/>
              </w:rPr>
              <w:t xml:space="preserve"> </w:t>
            </w:r>
            <w:r>
              <w:rPr>
                <w:rFonts w:hint="eastAsia" w:ascii="宋体" w:hAnsi="宋体" w:cs="宋体"/>
                <w:color w:val="000000"/>
                <w:sz w:val="15"/>
                <w:szCs w:val="15"/>
              </w:rPr>
              <w:t>用于体育事业的彩票公益金支出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217.83</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217.83</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cantSplit/>
          <w:trHeight w:val="57" w:hRule="atLeast"/>
        </w:trPr>
        <w:tc>
          <w:tcPr>
            <w:tcW w:w="10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2296099</w:t>
            </w:r>
          </w:p>
        </w:tc>
        <w:tc>
          <w:tcPr>
            <w:tcW w:w="2551"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3"/>
                <w:szCs w:val="13"/>
              </w:rPr>
            </w:pPr>
            <w:r>
              <w:rPr>
                <w:rFonts w:hint="eastAsia" w:ascii="宋体" w:hAnsi="宋体" w:cs="宋体"/>
                <w:color w:val="000000"/>
                <w:szCs w:val="21"/>
              </w:rPr>
              <w:t xml:space="preserve"> </w:t>
            </w:r>
            <w:r>
              <w:rPr>
                <w:rFonts w:hint="eastAsia" w:ascii="宋体" w:hAnsi="宋体" w:cs="宋体"/>
                <w:color w:val="000000"/>
                <w:sz w:val="13"/>
                <w:szCs w:val="13"/>
              </w:rPr>
              <w:t>用于其他社会公益事业的彩票公益金支出</w:t>
            </w:r>
          </w:p>
        </w:tc>
        <w:tc>
          <w:tcPr>
            <w:tcW w:w="85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26.00</w:t>
            </w:r>
          </w:p>
        </w:tc>
        <w:tc>
          <w:tcPr>
            <w:tcW w:w="99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6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27" w:type="dxa"/>
          <w:trHeight w:val="748" w:hRule="atLeast"/>
        </w:trPr>
        <w:tc>
          <w:tcPr>
            <w:tcW w:w="90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部门：无极县文化广电新闻出版局</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894.32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3390.8</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791.42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788.42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3.00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7.05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7.05</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1000.00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1000.00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168.1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168.1</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4285.12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1966.57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795.47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1171.1</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56.14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2374.69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154.99</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2219.70</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56.14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4341.26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4341.26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950.46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3390.80</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11411" w:type="dxa"/>
        <w:tblInd w:w="0" w:type="dxa"/>
        <w:tblLayout w:type="fixed"/>
        <w:tblCellMar>
          <w:top w:w="0" w:type="dxa"/>
          <w:left w:w="0" w:type="dxa"/>
          <w:bottom w:w="0" w:type="dxa"/>
          <w:right w:w="0" w:type="dxa"/>
        </w:tblCellMar>
      </w:tblPr>
      <w:tblGrid>
        <w:gridCol w:w="317"/>
        <w:gridCol w:w="319"/>
        <w:gridCol w:w="357"/>
        <w:gridCol w:w="2108"/>
        <w:gridCol w:w="745"/>
        <w:gridCol w:w="1558"/>
        <w:gridCol w:w="333"/>
        <w:gridCol w:w="1205"/>
        <w:gridCol w:w="1919"/>
        <w:gridCol w:w="2550"/>
      </w:tblGrid>
      <w:tr>
        <w:tblPrEx>
          <w:tblCellMar>
            <w:top w:w="0" w:type="dxa"/>
            <w:left w:w="0" w:type="dxa"/>
            <w:bottom w:w="0" w:type="dxa"/>
            <w:right w:w="0" w:type="dxa"/>
          </w:tblCellMar>
        </w:tblPrEx>
        <w:trPr>
          <w:gridAfter w:val="1"/>
          <w:wAfter w:w="2550" w:type="dxa"/>
          <w:trHeight w:val="600" w:hRule="atLeast"/>
        </w:trPr>
        <w:tc>
          <w:tcPr>
            <w:tcW w:w="8861"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gridAfter w:val="1"/>
          <w:wAfter w:w="2550" w:type="dxa"/>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gridAfter w:val="1"/>
          <w:wAfter w:w="2550" w:type="dxa"/>
          <w:trHeight w:val="334" w:hRule="atLeast"/>
        </w:trPr>
        <w:tc>
          <w:tcPr>
            <w:tcW w:w="384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部门：无极县文化广电新闻出版局</w:t>
            </w:r>
          </w:p>
        </w:tc>
        <w:tc>
          <w:tcPr>
            <w:tcW w:w="189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2550" w:type="dxa"/>
          <w:trHeight w:val="351" w:hRule="atLeast"/>
        </w:trPr>
        <w:tc>
          <w:tcPr>
            <w:tcW w:w="384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015"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gridAfter w:val="1"/>
          <w:wAfter w:w="2550" w:type="dxa"/>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853"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55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8"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1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gridAfter w:val="1"/>
          <w:wAfter w:w="2550" w:type="dxa"/>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853"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55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538"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2550" w:type="dxa"/>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853"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55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538"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2550" w:type="dxa"/>
          <w:trHeight w:val="368" w:hRule="atLeast"/>
        </w:trPr>
        <w:tc>
          <w:tcPr>
            <w:tcW w:w="3846"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gridAfter w:val="1"/>
          <w:wAfter w:w="2550" w:type="dxa"/>
          <w:trHeight w:val="368" w:hRule="atLeast"/>
        </w:trPr>
        <w:tc>
          <w:tcPr>
            <w:tcW w:w="3846"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795.47</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386.29</w:t>
            </w: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409.18</w:t>
            </w: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文化体育与传媒支出</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788.41</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 xml:space="preserve">379.24 </w:t>
            </w: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409.18</w:t>
            </w: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20701</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文化</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464.25</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379.24</w:t>
            </w: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85.01</w:t>
            </w: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2070101</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行政运行</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129.33</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118.83</w:t>
            </w: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10.50</w:t>
            </w: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2070104</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图书馆</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65.29</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65.29</w:t>
            </w: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2070107</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艺术表演团体</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16.01</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16.01</w:t>
            </w: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2070109</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群众文化</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111.72</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110.32</w:t>
            </w: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1.40</w:t>
            </w: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2070112</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文化市场管理</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67.55</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67.55</w:t>
            </w: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2070199</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其他文化支出</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74.35</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17.25</w:t>
            </w: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57.10</w:t>
            </w: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20702</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文物</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147.49</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147.49</w:t>
            </w: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2070299</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105" w:firstLineChars="50"/>
              <w:jc w:val="left"/>
              <w:rPr>
                <w:rFonts w:ascii="宋体" w:hAnsi="宋体" w:cs="宋体"/>
                <w:color w:val="000000"/>
                <w:szCs w:val="21"/>
              </w:rPr>
            </w:pPr>
            <w:r>
              <w:rPr>
                <w:rFonts w:hint="eastAsia" w:ascii="宋体" w:hAnsi="宋体" w:cs="宋体"/>
                <w:color w:val="000000"/>
                <w:szCs w:val="21"/>
              </w:rPr>
              <w:t>其他文物支出</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147.49</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147.49</w:t>
            </w: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20704</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新闻出版广播影视</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27.44</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27.44</w:t>
            </w: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2070406</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电影</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27.44</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27.44</w:t>
            </w: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20799</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其他文化体育与传媒支出</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149.23</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149.23</w:t>
            </w: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2079999</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其他文化体育与传媒支出</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149.23</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149.23</w:t>
            </w: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208</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社会保障和就业支出</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7.05</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7.05</w:t>
            </w: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20805</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行政事业单位离退休</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2.02</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2.02</w:t>
            </w: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6"/>
                <w:szCs w:val="16"/>
              </w:rPr>
            </w:pPr>
            <w:r>
              <w:rPr>
                <w:rFonts w:hint="eastAsia" w:ascii="宋体" w:hAnsi="宋体" w:cs="宋体"/>
                <w:color w:val="000000"/>
                <w:szCs w:val="21"/>
              </w:rPr>
              <w:t xml:space="preserve"> </w:t>
            </w:r>
            <w:r>
              <w:rPr>
                <w:rFonts w:hint="eastAsia" w:ascii="宋体" w:hAnsi="宋体" w:cs="宋体"/>
                <w:color w:val="000000"/>
                <w:sz w:val="16"/>
                <w:szCs w:val="16"/>
              </w:rPr>
              <w:t>机关事业单位基本养老保险缴费支出</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2.02</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2.02</w:t>
            </w: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20808</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抚恤</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5.03</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5.03</w:t>
            </w: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gridAfter w:val="1"/>
          <w:wAfter w:w="2550" w:type="dxa"/>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85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死亡抚恤</w:t>
            </w:r>
          </w:p>
        </w:tc>
        <w:tc>
          <w:tcPr>
            <w:tcW w:w="155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5.03</w:t>
            </w:r>
          </w:p>
        </w:tc>
        <w:tc>
          <w:tcPr>
            <w:tcW w:w="153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5.03</w:t>
            </w:r>
          </w:p>
        </w:tc>
        <w:tc>
          <w:tcPr>
            <w:tcW w:w="191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1"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p>
        </w:tc>
        <w:tc>
          <w:tcPr>
            <w:tcW w:w="2550" w:type="dxa"/>
            <w:vAlign w:val="center"/>
          </w:tcPr>
          <w:p>
            <w:pPr>
              <w:widowControl/>
              <w:spacing w:after="0" w:line="240" w:lineRule="atLeast"/>
              <w:jc w:val="left"/>
              <w:rPr>
                <w:rFonts w:ascii="宋体" w:hAnsi="宋体" w:cs="宋体"/>
                <w:b/>
                <w:color w:val="000000"/>
                <w:szCs w:val="21"/>
              </w:rPr>
            </w:pPr>
          </w:p>
        </w:tc>
      </w:tr>
      <w:tr>
        <w:tblPrEx>
          <w:tblCellMar>
            <w:top w:w="0" w:type="dxa"/>
            <w:left w:w="0" w:type="dxa"/>
            <w:bottom w:w="0" w:type="dxa"/>
            <w:right w:w="0" w:type="dxa"/>
          </w:tblCellMar>
        </w:tblPrEx>
        <w:trPr>
          <w:trHeight w:val="368" w:hRule="atLeast"/>
        </w:trPr>
        <w:tc>
          <w:tcPr>
            <w:tcW w:w="8861"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550" w:type="dxa"/>
            <w:vAlign w:val="center"/>
          </w:tcPr>
          <w:p>
            <w:pPr>
              <w:widowControl/>
              <w:spacing w:after="0" w:line="240" w:lineRule="atLeast"/>
              <w:jc w:val="left"/>
              <w:rPr>
                <w:rFonts w:ascii="宋体" w:hAnsi="宋体" w:cs="宋体"/>
                <w:color w:val="000000"/>
                <w:szCs w:val="21"/>
              </w:rPr>
            </w:pP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部门：无极县文化广电新闻出版局</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289.16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20.08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165.17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4.17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29.68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38.18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10.25</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54.10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0.27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4.58</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5.67</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0.50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0.75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1.65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66.80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9.63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52.01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5.03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0.60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0.13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5.91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355.96</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30.33</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部门：无极县文化广电新闻出版局</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kern w:val="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本部门本年度无相关支出情况，按要求以空表列式。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04" w:type="dxa"/>
        <w:tblInd w:w="0" w:type="dxa"/>
        <w:tblLayout w:type="fixed"/>
        <w:tblCellMar>
          <w:top w:w="0" w:type="dxa"/>
          <w:left w:w="0" w:type="dxa"/>
          <w:bottom w:w="0" w:type="dxa"/>
          <w:right w:w="0" w:type="dxa"/>
        </w:tblCellMar>
      </w:tblPr>
      <w:tblGrid>
        <w:gridCol w:w="296"/>
        <w:gridCol w:w="191"/>
        <w:gridCol w:w="479"/>
        <w:gridCol w:w="669"/>
        <w:gridCol w:w="2066"/>
        <w:gridCol w:w="850"/>
        <w:gridCol w:w="851"/>
        <w:gridCol w:w="50"/>
        <w:gridCol w:w="942"/>
        <w:gridCol w:w="250"/>
        <w:gridCol w:w="459"/>
        <w:gridCol w:w="733"/>
        <w:gridCol w:w="117"/>
        <w:gridCol w:w="907"/>
        <w:gridCol w:w="244"/>
      </w:tblGrid>
      <w:tr>
        <w:tblPrEx>
          <w:tblCellMar>
            <w:top w:w="0" w:type="dxa"/>
            <w:left w:w="0" w:type="dxa"/>
            <w:bottom w:w="0" w:type="dxa"/>
            <w:right w:w="0" w:type="dxa"/>
          </w:tblCellMar>
        </w:tblPrEx>
        <w:trPr>
          <w:gridAfter w:val="1"/>
          <w:wAfter w:w="244" w:type="dxa"/>
          <w:trHeight w:val="707" w:hRule="atLeast"/>
        </w:trPr>
        <w:tc>
          <w:tcPr>
            <w:tcW w:w="8860" w:type="dxa"/>
            <w:gridSpan w:val="14"/>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916"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5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5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4551"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部门：无极县文化广电新闻出版局</w:t>
            </w:r>
          </w:p>
        </w:tc>
        <w:tc>
          <w:tcPr>
            <w:tcW w:w="85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5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244" w:type="dxa"/>
          <w:trHeight w:val="324" w:hRule="atLeast"/>
        </w:trPr>
        <w:tc>
          <w:tcPr>
            <w:tcW w:w="370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8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5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  收入</w:t>
            </w:r>
          </w:p>
        </w:tc>
        <w:tc>
          <w:tcPr>
            <w:tcW w:w="2551"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90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gridAfter w:val="1"/>
          <w:wAfter w:w="244" w:type="dxa"/>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73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92"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70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 支出</w:t>
            </w:r>
          </w:p>
        </w:tc>
        <w:tc>
          <w:tcPr>
            <w:tcW w:w="85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  支出</w:t>
            </w:r>
          </w:p>
        </w:tc>
        <w:tc>
          <w:tcPr>
            <w:tcW w:w="90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gridAfter w:val="1"/>
          <w:wAfter w:w="244" w:type="dxa"/>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273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9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0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gridAfter w:val="1"/>
          <w:wAfter w:w="244" w:type="dxa"/>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273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9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70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5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90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gridAfter w:val="1"/>
          <w:wAfter w:w="244" w:type="dxa"/>
          <w:trHeight w:val="324" w:hRule="atLeast"/>
        </w:trPr>
        <w:tc>
          <w:tcPr>
            <w:tcW w:w="370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9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gridAfter w:val="1"/>
          <w:wAfter w:w="244" w:type="dxa"/>
          <w:trHeight w:val="324" w:hRule="atLeast"/>
        </w:trPr>
        <w:tc>
          <w:tcPr>
            <w:tcW w:w="370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3390.8</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1171.10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1171.10</w:t>
            </w:r>
          </w:p>
        </w:tc>
        <w:tc>
          <w:tcPr>
            <w:tcW w:w="9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2219.70</w:t>
            </w:r>
          </w:p>
        </w:tc>
      </w:tr>
      <w:tr>
        <w:tblPrEx>
          <w:tblCellMar>
            <w:top w:w="0" w:type="dxa"/>
            <w:left w:w="0" w:type="dxa"/>
            <w:bottom w:w="0" w:type="dxa"/>
            <w:right w:w="0" w:type="dxa"/>
          </w:tblCellMar>
        </w:tblPrEx>
        <w:trPr>
          <w:gridAfter w:val="1"/>
          <w:wAfter w:w="244"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w:t>
            </w:r>
          </w:p>
        </w:tc>
        <w:tc>
          <w:tcPr>
            <w:tcW w:w="2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文化体育与传媒支出</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9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244"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20707</w:t>
            </w:r>
          </w:p>
        </w:tc>
        <w:tc>
          <w:tcPr>
            <w:tcW w:w="2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 w:val="8"/>
                <w:szCs w:val="8"/>
              </w:rPr>
            </w:pPr>
            <w:r>
              <w:rPr>
                <w:rFonts w:hint="eastAsia" w:ascii="宋体" w:hAnsi="宋体" w:cs="宋体"/>
                <w:b/>
                <w:color w:val="000000"/>
                <w:sz w:val="8"/>
                <w:szCs w:val="8"/>
              </w:rPr>
              <w:t>国家电影事业发展专项资金及对应专项债务收入安排的支出</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9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244"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2070701</w:t>
            </w:r>
          </w:p>
        </w:tc>
        <w:tc>
          <w:tcPr>
            <w:tcW w:w="2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资助国产影片放映</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9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244"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212</w:t>
            </w:r>
          </w:p>
        </w:tc>
        <w:tc>
          <w:tcPr>
            <w:tcW w:w="2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城乡社区支出</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3000.00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1000.00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1000.00</w:t>
            </w:r>
          </w:p>
        </w:tc>
        <w:tc>
          <w:tcPr>
            <w:tcW w:w="9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2000.00</w:t>
            </w:r>
          </w:p>
        </w:tc>
      </w:tr>
      <w:tr>
        <w:tblPrEx>
          <w:tblCellMar>
            <w:top w:w="0" w:type="dxa"/>
            <w:left w:w="0" w:type="dxa"/>
            <w:bottom w:w="0" w:type="dxa"/>
            <w:right w:w="0" w:type="dxa"/>
          </w:tblCellMar>
        </w:tblPrEx>
        <w:trPr>
          <w:gridAfter w:val="1"/>
          <w:wAfter w:w="244"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21208</w:t>
            </w:r>
          </w:p>
        </w:tc>
        <w:tc>
          <w:tcPr>
            <w:tcW w:w="2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 w:val="9"/>
                <w:szCs w:val="9"/>
              </w:rPr>
            </w:pPr>
            <w:r>
              <w:rPr>
                <w:rFonts w:hint="eastAsia" w:ascii="宋体" w:hAnsi="宋体" w:cs="宋体"/>
                <w:b/>
                <w:color w:val="000000"/>
                <w:sz w:val="9"/>
                <w:szCs w:val="9"/>
              </w:rPr>
              <w:t>国有土地使用权出让收入对应专项债务收入安排的支出</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3000.00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1000.00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1000.00</w:t>
            </w:r>
          </w:p>
        </w:tc>
        <w:tc>
          <w:tcPr>
            <w:tcW w:w="9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2000.00</w:t>
            </w:r>
          </w:p>
        </w:tc>
      </w:tr>
      <w:tr>
        <w:tblPrEx>
          <w:tblCellMar>
            <w:top w:w="0" w:type="dxa"/>
            <w:left w:w="0" w:type="dxa"/>
            <w:bottom w:w="0" w:type="dxa"/>
            <w:right w:w="0" w:type="dxa"/>
          </w:tblCellMar>
        </w:tblPrEx>
        <w:trPr>
          <w:gridAfter w:val="1"/>
          <w:wAfter w:w="244"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2120803</w:t>
            </w:r>
          </w:p>
        </w:tc>
        <w:tc>
          <w:tcPr>
            <w:tcW w:w="2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城市建设支出</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3000.00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1000.00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1000.00</w:t>
            </w:r>
          </w:p>
        </w:tc>
        <w:tc>
          <w:tcPr>
            <w:tcW w:w="9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2000.00</w:t>
            </w:r>
          </w:p>
        </w:tc>
      </w:tr>
      <w:tr>
        <w:tblPrEx>
          <w:tblCellMar>
            <w:top w:w="0" w:type="dxa"/>
            <w:left w:w="0" w:type="dxa"/>
            <w:bottom w:w="0" w:type="dxa"/>
            <w:right w:w="0" w:type="dxa"/>
          </w:tblCellMar>
        </w:tblPrEx>
        <w:trPr>
          <w:gridAfter w:val="1"/>
          <w:wAfter w:w="244"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229</w:t>
            </w:r>
          </w:p>
        </w:tc>
        <w:tc>
          <w:tcPr>
            <w:tcW w:w="2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其他支出</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387.80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168.10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168.10</w:t>
            </w:r>
          </w:p>
        </w:tc>
        <w:tc>
          <w:tcPr>
            <w:tcW w:w="9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219.70</w:t>
            </w:r>
          </w:p>
        </w:tc>
      </w:tr>
      <w:tr>
        <w:tblPrEx>
          <w:tblCellMar>
            <w:top w:w="0" w:type="dxa"/>
            <w:left w:w="0" w:type="dxa"/>
            <w:bottom w:w="0" w:type="dxa"/>
            <w:right w:w="0" w:type="dxa"/>
          </w:tblCellMar>
        </w:tblPrEx>
        <w:trPr>
          <w:gridAfter w:val="1"/>
          <w:wAfter w:w="244"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Cs w:val="21"/>
              </w:rPr>
            </w:pPr>
            <w:r>
              <w:rPr>
                <w:rFonts w:hint="eastAsia" w:ascii="宋体" w:hAnsi="宋体" w:cs="宋体"/>
                <w:b/>
                <w:color w:val="000000"/>
                <w:szCs w:val="21"/>
              </w:rPr>
              <w:t>22960</w:t>
            </w:r>
          </w:p>
        </w:tc>
        <w:tc>
          <w:tcPr>
            <w:tcW w:w="2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b/>
                <w:color w:val="000000"/>
                <w:sz w:val="11"/>
                <w:szCs w:val="11"/>
              </w:rPr>
            </w:pPr>
            <w:r>
              <w:rPr>
                <w:rFonts w:hint="eastAsia" w:ascii="宋体" w:hAnsi="宋体" w:cs="宋体"/>
                <w:b/>
                <w:color w:val="000000"/>
                <w:sz w:val="11"/>
                <w:szCs w:val="11"/>
              </w:rPr>
              <w:t>彩票公益金及对应专项债务收入安排的支出</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387.80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168.10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168.10</w:t>
            </w:r>
          </w:p>
        </w:tc>
        <w:tc>
          <w:tcPr>
            <w:tcW w:w="9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219.70</w:t>
            </w:r>
          </w:p>
        </w:tc>
      </w:tr>
      <w:tr>
        <w:tblPrEx>
          <w:tblCellMar>
            <w:top w:w="0" w:type="dxa"/>
            <w:left w:w="0" w:type="dxa"/>
            <w:bottom w:w="0" w:type="dxa"/>
            <w:right w:w="0" w:type="dxa"/>
          </w:tblCellMar>
        </w:tblPrEx>
        <w:trPr>
          <w:gridAfter w:val="1"/>
          <w:wAfter w:w="244"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2296003</w:t>
            </w:r>
          </w:p>
        </w:tc>
        <w:tc>
          <w:tcPr>
            <w:tcW w:w="2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5"/>
                <w:szCs w:val="15"/>
              </w:rPr>
            </w:pPr>
            <w:r>
              <w:rPr>
                <w:rFonts w:hint="eastAsia" w:ascii="宋体" w:hAnsi="宋体" w:cs="宋体"/>
                <w:color w:val="000000"/>
                <w:szCs w:val="21"/>
              </w:rPr>
              <w:t xml:space="preserve"> </w:t>
            </w:r>
            <w:r>
              <w:rPr>
                <w:rFonts w:hint="eastAsia" w:ascii="宋体" w:hAnsi="宋体" w:cs="宋体"/>
                <w:color w:val="000000"/>
                <w:sz w:val="15"/>
                <w:szCs w:val="15"/>
              </w:rPr>
              <w:t>用于体育事业的彩票公益金支出</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361.80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142.10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142.10</w:t>
            </w:r>
          </w:p>
        </w:tc>
        <w:tc>
          <w:tcPr>
            <w:tcW w:w="9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219.70</w:t>
            </w:r>
          </w:p>
        </w:tc>
      </w:tr>
      <w:tr>
        <w:tblPrEx>
          <w:tblCellMar>
            <w:top w:w="0" w:type="dxa"/>
            <w:left w:w="0" w:type="dxa"/>
            <w:bottom w:w="0" w:type="dxa"/>
            <w:right w:w="0" w:type="dxa"/>
          </w:tblCellMar>
        </w:tblPrEx>
        <w:trPr>
          <w:gridAfter w:val="1"/>
          <w:wAfter w:w="244" w:type="dxa"/>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2296099</w:t>
            </w:r>
          </w:p>
        </w:tc>
        <w:tc>
          <w:tcPr>
            <w:tcW w:w="273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3"/>
                <w:szCs w:val="13"/>
              </w:rPr>
            </w:pPr>
            <w:r>
              <w:rPr>
                <w:rFonts w:hint="eastAsia" w:ascii="宋体" w:hAnsi="宋体" w:cs="宋体"/>
                <w:color w:val="000000"/>
                <w:szCs w:val="21"/>
              </w:rPr>
              <w:t xml:space="preserve"> </w:t>
            </w:r>
            <w:r>
              <w:rPr>
                <w:rFonts w:hint="eastAsia" w:ascii="宋体" w:hAnsi="宋体" w:cs="宋体"/>
                <w:color w:val="000000"/>
                <w:sz w:val="13"/>
                <w:szCs w:val="13"/>
              </w:rPr>
              <w:t>用于其他社会公益事业的彩票公益金支出</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26.00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26.00</w:t>
            </w:r>
          </w:p>
        </w:tc>
        <w:tc>
          <w:tcPr>
            <w:tcW w:w="70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5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26.00</w:t>
            </w:r>
          </w:p>
        </w:tc>
        <w:tc>
          <w:tcPr>
            <w:tcW w:w="9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gridAfter w:val="1"/>
          <w:wAfter w:w="244" w:type="dxa"/>
          <w:trHeight w:val="324" w:hRule="atLeast"/>
        </w:trPr>
        <w:tc>
          <w:tcPr>
            <w:tcW w:w="8860" w:type="dxa"/>
            <w:gridSpan w:val="14"/>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1163"/>
        <w:gridCol w:w="735"/>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94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9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4268"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编制单位：无极县文化广电新闻出版局</w:t>
            </w:r>
          </w:p>
        </w:tc>
        <w:tc>
          <w:tcPr>
            <w:tcW w:w="109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r>
              <w:rPr>
                <w:rFonts w:hint="eastAsia" w:ascii="Arial" w:hAnsi="Arial" w:cs="Arial"/>
                <w:color w:val="000000"/>
                <w:sz w:val="22"/>
                <w:szCs w:val="22"/>
              </w:rPr>
              <w:t xml:space="preserve">     </w:t>
            </w: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r>
              <w:rPr>
                <w:rFonts w:hint="eastAsia" w:ascii="宋体" w:hAnsi="宋体" w:cs="宋体"/>
                <w:color w:val="000000"/>
                <w:kern w:val="0"/>
                <w:szCs w:val="21"/>
              </w:rPr>
              <w:t>本部门本年度无相关支出情况，按要求以空表列式。</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编制单位：无极县文化广电新闻出版局</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280.37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280.37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280.37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142.07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142.07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142.07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138.30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138.30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138.30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277.34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277.34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277.34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139.34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139.34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139.34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138.00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138.00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138.00</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11"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本部门2018年度收支总计（含结转和结余）4418.6万元。与2017年度决算相比，收支各增加3218.91万元，增长268.31%，主要原因是今年新增综合文化展馆债券资金3000万元。</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本部门2018年度本年收入合计4353.45万元，其中：财政拨款收入4285.12万元，占98.43%；事业收入0万元，占0%；经营收入0万元，占0%；其他收入68.33万元，占1.57%。如图所示：</w:t>
      </w:r>
    </w:p>
    <w:p>
      <w:pPr>
        <w:adjustRightInd w:val="0"/>
        <w:snapToGrid w:val="0"/>
        <w:spacing w:after="0" w:line="580" w:lineRule="exact"/>
        <w:ind w:firstLine="1920" w:firstLineChars="600"/>
        <w:rPr>
          <w:rFonts w:ascii="仿宋_GB2312" w:eastAsia="仿宋_GB2312" w:cs="DengXian-Regular"/>
          <w:sz w:val="32"/>
          <w:szCs w:val="32"/>
        </w:rPr>
      </w:pPr>
      <w:r>
        <w:rPr>
          <w:rFonts w:ascii="仿宋_GB2312" w:eastAsia="仿宋_GB2312" w:cs="DengXian-Regular"/>
          <w:sz w:val="32"/>
          <w:szCs w:val="32"/>
        </w:rPr>
        <w:drawing>
          <wp:anchor distT="0" distB="0" distL="114300" distR="114300" simplePos="0" relativeHeight="251683840" behindDoc="1" locked="0" layoutInCell="1" allowOverlap="1">
            <wp:simplePos x="0" y="0"/>
            <wp:positionH relativeFrom="column">
              <wp:posOffset>820420</wp:posOffset>
            </wp:positionH>
            <wp:positionV relativeFrom="paragraph">
              <wp:posOffset>77470</wp:posOffset>
            </wp:positionV>
            <wp:extent cx="3676650" cy="2400300"/>
            <wp:effectExtent l="38100" t="0" r="19050" b="0"/>
            <wp:wrapNone/>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560" w:firstLineChars="200"/>
        <w:jc w:val="center"/>
        <w:rPr>
          <w:rFonts w:ascii="仿宋_GB2312" w:eastAsia="仿宋_GB2312"/>
          <w:b w:val="0"/>
          <w:bCs w:val="0"/>
          <w:sz w:val="28"/>
          <w:szCs w:val="28"/>
        </w:rPr>
      </w:pPr>
      <w:r>
        <w:rPr>
          <w:rFonts w:hint="eastAsia" w:ascii="仿宋_GB2312" w:eastAsia="仿宋_GB2312"/>
          <w:b w:val="0"/>
          <w:bCs w:val="0"/>
          <w:sz w:val="28"/>
          <w:szCs w:val="28"/>
        </w:rPr>
        <w:t>图1：收入构成情况</w: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本部门2018年度本年支出合计2042.5万元，其中：基本支出386.49万元，占18.92%；项目支出1656.01万元，占81.08%；经营支出0万元，占0%。如图所示：</w:t>
      </w:r>
    </w:p>
    <w:p>
      <w:pPr>
        <w:adjustRightInd w:val="0"/>
        <w:snapToGrid w:val="0"/>
        <w:spacing w:after="0" w:line="580" w:lineRule="exact"/>
        <w:ind w:firstLine="1260" w:firstLineChars="600"/>
        <w:rPr>
          <w:rFonts w:ascii="仿宋_GB2312" w:eastAsia="仿宋_GB2312" w:cs="DengXian-Regular"/>
          <w:sz w:val="32"/>
          <w:szCs w:val="32"/>
        </w:rPr>
      </w:pPr>
      <w:r>
        <w:pict>
          <v:group id="_x0000_s1073" o:spid="_x0000_s1073" o:spt="203" style="position:absolute;left:0pt;margin-left:59.55pt;margin-top:6.75pt;height:230.55pt;width:274.45pt;z-index:-251667456;mso-width-relative:page;mso-height-relative:page;" coordorigin="70,1907" coordsize="46,36072"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5" o:spid="_x0000_s1075" o:spt="75" type="#_x0000_t75" style="position:absolute;left:70;top:1907;height:29;width:46;"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13" cropleft="2131f" croptop="1490f" cropright="1218f" cropbottom="5217f" o:title=""/>
              <o:lock v:ext="edit" aspectratio="t"/>
            </v:shape>
            <v:shape id="_x0000_s1074" o:spid="_x0000_s1074" o:spt="202" type="#_x0000_t202" style="position:absolute;left:72;top:1936;height:7;width:42;"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on="t"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p>
    <w:p>
      <w:pPr>
        <w:adjustRightInd w:val="0"/>
        <w:snapToGrid w:val="0"/>
        <w:spacing w:after="0" w:line="580" w:lineRule="exact"/>
        <w:rPr>
          <w:rFonts w:ascii="仿宋_GB2312" w:eastAsia="仿宋_GB2312" w:cs="DengXian-Regular"/>
          <w:sz w:val="32"/>
          <w:szCs w:val="32"/>
        </w:rPr>
      </w:pPr>
      <w:r>
        <w:rPr>
          <w:rFonts w:ascii="仿宋_GB2312" w:eastAsia="仿宋_GB2312" w:cs="DengXian-Regular"/>
          <w:sz w:val="32"/>
          <w:szCs w:val="32"/>
        </w:rPr>
        <w:drawing>
          <wp:anchor distT="0" distB="0" distL="114300" distR="114300" simplePos="0" relativeHeight="251684864" behindDoc="1" locked="0" layoutInCell="1" allowOverlap="1">
            <wp:simplePos x="0" y="0"/>
            <wp:positionH relativeFrom="column">
              <wp:posOffset>772795</wp:posOffset>
            </wp:positionH>
            <wp:positionV relativeFrom="paragraph">
              <wp:posOffset>-17780</wp:posOffset>
            </wp:positionV>
            <wp:extent cx="4276725" cy="2486025"/>
            <wp:effectExtent l="19050" t="0" r="9525" b="0"/>
            <wp:wrapNone/>
            <wp:docPr id="6"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adjustRightInd w:val="0"/>
        <w:snapToGrid w:val="0"/>
        <w:spacing w:after="0" w:line="580" w:lineRule="exact"/>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560" w:firstLineChars="200"/>
        <w:jc w:val="center"/>
        <w:rPr>
          <w:rFonts w:ascii="仿宋_GB2312" w:eastAsia="仿宋_GB2312"/>
          <w:b w:val="0"/>
          <w:bCs w:val="0"/>
          <w:sz w:val="28"/>
          <w:szCs w:val="28"/>
        </w:rPr>
      </w:pPr>
      <w:r>
        <w:rPr>
          <w:rFonts w:hint="eastAsia" w:ascii="仿宋_GB2312" w:eastAsia="仿宋_GB2312"/>
          <w:b w:val="0"/>
          <w:bCs w:val="0"/>
          <w:sz w:val="28"/>
          <w:szCs w:val="28"/>
        </w:rPr>
        <w:t>图2：支出构成情况</w:t>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4285.12万元,比2017年度增加3331.68万元，增长349.44%，主要是今年新增综合文化展馆债券资金3000万元；本年支出1966.57万元，增加1037.38万元，增长111.64%，主要是今年综合文化展馆债券资金支出1000万元。</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86912" behindDoc="0" locked="0" layoutInCell="1" allowOverlap="1">
            <wp:simplePos x="0" y="0"/>
            <wp:positionH relativeFrom="column">
              <wp:posOffset>477520</wp:posOffset>
            </wp:positionH>
            <wp:positionV relativeFrom="paragraph">
              <wp:posOffset>102870</wp:posOffset>
            </wp:positionV>
            <wp:extent cx="4572000" cy="2162175"/>
            <wp:effectExtent l="0" t="0" r="0" b="0"/>
            <wp:wrapNone/>
            <wp:docPr id="2"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560" w:firstLineChars="200"/>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87936" behindDoc="0" locked="0" layoutInCell="1" allowOverlap="1">
            <wp:simplePos x="0" y="0"/>
            <wp:positionH relativeFrom="column">
              <wp:posOffset>258445</wp:posOffset>
            </wp:positionH>
            <wp:positionV relativeFrom="paragraph">
              <wp:posOffset>3192145</wp:posOffset>
            </wp:positionV>
            <wp:extent cx="5486400" cy="2647950"/>
            <wp:effectExtent l="0" t="0" r="0" b="0"/>
            <wp:wrapTopAndBottom/>
            <wp:docPr id="5"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Pr>
          <w:rFonts w:hint="eastAsia" w:ascii="仿宋_GB2312" w:eastAsia="仿宋_GB2312" w:cs="DengXian-Regular"/>
          <w:sz w:val="32"/>
          <w:szCs w:val="32"/>
        </w:rPr>
        <w:t>其中：一般公共预算财政拨款本年收入894.32万元，比上年增加3.88万元；主要是工资及社保费增长；本年支出795.47万元，比上年减少70.72万元，降低8.3%，主要是今年财政拨款结转结余资金较多。政府性基金预算财政拨款本年收入3390.8万元，比上年增加3327.8万元，增长5282.22%，主要原因是今年新增综合文化展馆债券资金3000万元；本年支出1171.1万元，比上年增加1108.1万元，增长1758.89%，主要是今年综合文化展馆债券资金支出1000万元，同时体育彩票公益金支出增多。</w:t>
      </w:r>
    </w:p>
    <w:p>
      <w:pPr>
        <w:adjustRightInd w:val="0"/>
        <w:snapToGrid w:val="0"/>
        <w:spacing w:after="0" w:line="580" w:lineRule="exact"/>
        <w:ind w:firstLine="480" w:firstLineChars="200"/>
        <w:jc w:val="center"/>
        <w:rPr>
          <w:rFonts w:ascii="仿宋_GB2312" w:eastAsia="仿宋_GB2312" w:cs="DengXian-Regular"/>
          <w:sz w:val="24"/>
        </w:rPr>
      </w:pPr>
      <w:r>
        <w:rPr>
          <w:rFonts w:hint="eastAsia" w:ascii="仿宋_GB2312" w:eastAsia="仿宋_GB2312" w:cs="DengXian-Regular"/>
          <w:sz w:val="24"/>
        </w:rPr>
        <w:t>图4：2017-2018年一般公共预算收支和政府性基金收支对比情况</w: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4285.12万元，完成年初预算的3956.68%,比年初预算增加3202.11万元，决算数大于预算数主要原因是上级综合文化展馆债券资金3000万元及彩票公益金增长较多；本年支出1966.57万元，完成年初预算的181.58%,比年初预算增加883.56万元，决算数大于预算数主要原因是主要是本部门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精神和厉行节约要求，从严控制“三公”经费开支，全年实际支出比预算有所节约，但是综合文化展馆债券资金支出1000万元，导致支出</w:t>
      </w:r>
      <w:r>
        <w:rPr>
          <w:rFonts w:hint="eastAsia" w:ascii="仿宋_GB2312" w:eastAsia="仿宋_GB2312" w:cs="DengXian-Regular"/>
          <w:sz w:val="32"/>
          <w:szCs w:val="32"/>
        </w:rPr>
        <w:drawing>
          <wp:anchor distT="0" distB="0" distL="114300" distR="114300" simplePos="0" relativeHeight="251689984" behindDoc="0" locked="0" layoutInCell="1" allowOverlap="1">
            <wp:simplePos x="0" y="0"/>
            <wp:positionH relativeFrom="column">
              <wp:posOffset>363220</wp:posOffset>
            </wp:positionH>
            <wp:positionV relativeFrom="paragraph">
              <wp:posOffset>2106295</wp:posOffset>
            </wp:positionV>
            <wp:extent cx="4943475" cy="2743200"/>
            <wp:effectExtent l="0" t="0" r="0" b="0"/>
            <wp:wrapTopAndBottom/>
            <wp:docPr id="8"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Pr>
          <w:rFonts w:hint="eastAsia" w:ascii="仿宋_GB2312" w:eastAsia="仿宋_GB2312" w:cs="DengXian-Regular"/>
          <w:sz w:val="32"/>
          <w:szCs w:val="32"/>
        </w:rPr>
        <w:t>大于年初预算。</w:t>
      </w:r>
    </w:p>
    <w:p>
      <w:pPr>
        <w:adjustRightInd w:val="0"/>
        <w:snapToGrid w:val="0"/>
        <w:spacing w:after="0" w:line="580" w:lineRule="exact"/>
        <w:ind w:firstLine="560" w:firstLineChars="200"/>
        <w:jc w:val="center"/>
        <w:rPr>
          <w:rFonts w:ascii="仿宋_GB2312" w:eastAsia="仿宋_GB2312" w:cs="DengXian-Regular"/>
          <w:sz w:val="28"/>
          <w:szCs w:val="28"/>
        </w:rPr>
      </w:pPr>
      <w:r>
        <w:rPr>
          <w:rFonts w:hint="eastAsia" w:ascii="仿宋_GB2312" w:eastAsia="仿宋_GB2312" w:cs="DengXian-Regular"/>
          <w:sz w:val="28"/>
          <w:szCs w:val="28"/>
        </w:rPr>
        <w:t>图5：财政拨款收支预决算对比情况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其中，一般公共预算财政拨款本年收入894.32万元，完成年初预算86.32%，比年初预算减少141.69万元，主要是项目资金减少；支出795.47万元，完成年初预算795.47%，比年初预算减少240.54万元，主要是认真贯彻落实中央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政府性基金预算财政拨款本年收入3390.8万元，完成年初预算7214.47%，比年初预算增加3343.8万元，主要是综合文化展馆债券资金3000万元及彩票公益金增加；支出1171.1万元，完成年初预算2491.7%，比年初预算增加1124.1万元，主要是综合文化展馆债券资金支出1000万元及彩票公益</w:t>
      </w:r>
      <w:r>
        <w:rPr>
          <w:rFonts w:hint="eastAsia" w:ascii="仿宋_GB2312" w:eastAsia="仿宋_GB2312" w:cs="DengXian-Regular"/>
          <w:sz w:val="32"/>
          <w:szCs w:val="32"/>
        </w:rPr>
        <w:drawing>
          <wp:anchor distT="0" distB="0" distL="114300" distR="114300" simplePos="0" relativeHeight="251688960" behindDoc="0" locked="0" layoutInCell="1" allowOverlap="1">
            <wp:simplePos x="0" y="0"/>
            <wp:positionH relativeFrom="column">
              <wp:posOffset>134620</wp:posOffset>
            </wp:positionH>
            <wp:positionV relativeFrom="paragraph">
              <wp:posOffset>1601470</wp:posOffset>
            </wp:positionV>
            <wp:extent cx="5486400" cy="2609850"/>
            <wp:effectExtent l="0" t="0" r="0" b="0"/>
            <wp:wrapTopAndBottom/>
            <wp:docPr id="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Pr>
          <w:rFonts w:hint="eastAsia" w:ascii="仿宋_GB2312" w:eastAsia="仿宋_GB2312" w:cs="DengXian-Regular"/>
          <w:sz w:val="32"/>
          <w:szCs w:val="32"/>
        </w:rPr>
        <w:t>金支出较多。</w:t>
      </w:r>
    </w:p>
    <w:p>
      <w:pPr>
        <w:adjustRightInd w:val="0"/>
        <w:snapToGrid w:val="0"/>
        <w:spacing w:after="0" w:line="580" w:lineRule="exact"/>
        <w:ind w:firstLine="560" w:firstLineChars="200"/>
        <w:jc w:val="center"/>
        <w:rPr>
          <w:rFonts w:ascii="仿宋_GB2312" w:eastAsia="仿宋_GB2312" w:cs="DengXian-Regular"/>
          <w:sz w:val="28"/>
          <w:szCs w:val="28"/>
        </w:rPr>
      </w:pPr>
      <w:r>
        <w:rPr>
          <w:rFonts w:hint="eastAsia" w:ascii="仿宋_GB2312" w:eastAsia="仿宋_GB2312" w:cs="DengXian-Regular"/>
          <w:sz w:val="28"/>
          <w:szCs w:val="28"/>
        </w:rPr>
        <w:t>图6：一般公共预算和政府性基金收支预决算对比情况</w: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anchor distT="0" distB="0" distL="114300" distR="114300" simplePos="0" relativeHeight="251692032" behindDoc="1" locked="0" layoutInCell="1" allowOverlap="1">
            <wp:simplePos x="0" y="0"/>
            <wp:positionH relativeFrom="column">
              <wp:posOffset>77470</wp:posOffset>
            </wp:positionH>
            <wp:positionV relativeFrom="paragraph">
              <wp:posOffset>25400</wp:posOffset>
            </wp:positionV>
            <wp:extent cx="3619500" cy="2438400"/>
            <wp:effectExtent l="0" t="0" r="0" b="0"/>
            <wp:wrapSquare wrapText="bothSides"/>
            <wp:docPr id="14"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r>
        <w:rPr>
          <w:rFonts w:hint="eastAsia" w:ascii="仿宋_GB2312" w:eastAsia="仿宋_GB2312" w:cs="DengXian-Regular"/>
          <w:sz w:val="32"/>
          <w:szCs w:val="32"/>
        </w:rPr>
        <w:t>2018 年度财政拨款支出1966.57万元，主要用于以下方面：文化体育与传媒支出791.42万元，占40.24%；社会保障和就业支出7.05万</w:t>
      </w:r>
      <w:r>
        <w:rPr>
          <w:rFonts w:hint="eastAsia" w:ascii="仿宋_GB2312" w:eastAsia="仿宋_GB2312" w:cs="DengXian-Regular"/>
          <w:sz w:val="28"/>
          <w:szCs w:val="28"/>
        </w:rPr>
        <w:t xml:space="preserve">图7：财政拨款支出决算结构（按功能分类）  </w:t>
      </w:r>
      <w:r>
        <w:rPr>
          <w:rFonts w:hint="eastAsia" w:ascii="仿宋_GB2312" w:eastAsia="仿宋_GB2312" w:cs="DengXian-Regular"/>
          <w:sz w:val="32"/>
          <w:szCs w:val="32"/>
        </w:rPr>
        <w:t>元，占 0.36%；城乡社区支出1000万元，占50.85%;其他支出168.1万元，占8.55%。</w:t>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386.29万元，其中：人员经费355.96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30.33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“三公”经费支出共计0万元，</w:t>
      </w:r>
      <w:r>
        <w:rPr>
          <w:rFonts w:hint="eastAsia" w:ascii="仿宋_GB2312" w:eastAsia="仿宋_GB2312" w:cs="DengXian-Regular"/>
          <w:bCs/>
          <w:sz w:val="32"/>
          <w:szCs w:val="32"/>
        </w:rPr>
        <w:t>较年初预算减少3万元，降低100%，</w:t>
      </w:r>
      <w:r>
        <w:rPr>
          <w:rFonts w:hint="eastAsia" w:ascii="仿宋_GB2312" w:eastAsia="仿宋_GB2312" w:cs="DengXian-Regular"/>
          <w:sz w:val="32"/>
          <w:szCs w:val="32"/>
        </w:rPr>
        <w:t>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本部门2018年度因公出国（境）团组0个、共0人。因公出国（境）费支出0万元，与年初预算持平，无增减变化。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（二）公务用车购置及运行维护费支出0万元。</w:t>
      </w:r>
      <w:r>
        <w:rPr>
          <w:rFonts w:hint="eastAsia" w:ascii="仿宋_GB2312" w:eastAsia="仿宋_GB2312" w:cs="DengXian-Regular"/>
          <w:sz w:val="32"/>
          <w:szCs w:val="32"/>
        </w:rPr>
        <w:t>本部门2018年度公务用车购置及运行维护费0万元，与年初预算持平，无增减变化。</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本部门2018年度公务用车购置量0辆，发生“公务用车购置”经费支出0万元，与年初预算持平，无增减变化。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本部门2018年度单位公务用车保有量0辆。公车运行维护费支出0万元，较年初预算减少3万元，降低100%,主要是认真贯彻落实中央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精神和厉行节约要求，从严控制“三公”经费开支，未发生公务用车运行维护费。</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本部门2018年度公务接待共0批次、0人次。公务接待费支出0万元，与年初预算持平，无增减变化。</w:t>
      </w:r>
    </w:p>
    <w:p>
      <w:pPr>
        <w:pStyle w:val="3"/>
        <w:spacing w:before="0" w:after="0" w:line="50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color w:val="000000" w:themeColor="text1"/>
          <w:sz w:val="32"/>
          <w:szCs w:val="32"/>
        </w:rPr>
        <w:t>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项目支出全面开展绩效自评，涉及三馆一站免费开放经费、文物保护安防工程、电影放映补贴、公共文化服务体系建设、彩票公益金、综合文化展馆建设等6个项目，涉及资金2757万元。从评价情况看，评价结果为优秀的项目有1个，良好的项目有4个，一般的项目有1个。</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本部门项目支出符合单位职责和相关管理规定，绩效目标合理，项目较好完成了目标任务，产生了较好地经济效益和社会效益，达到了预期绩效目标。</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文物保护安防工程项目绩效自评：根据年初设定的绩效目标，文物保护安防工程项目绩效自评结果为良好。项目全年预算数为160万元，执行数为147.3万元，完成预算的92.1%。主要产出和效果是甄氏墓群安装了安全防护设备，从而更好的保护了国家相关文物。</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中央补助地方公共文化服务体系建设专项资金项目绩效自评：根据年初设定的绩效目标，中央补助地方公共文化服务体系建设专项资金项目绩效自评结果为良好。项目全年预算数为127.4万元，执行数为103.8万元，完成预算的81.5%。主要产出和效果是用于体育器材文化设备的购置，文化活动的开展，使得我县人民群众业余文化活动得到很好的改善，极大的提高了我县人民群众健身的热情。</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电影放映专项补贴资金项目绩效自评：根据年初设定的绩效目标，电影放映专项补贴资金项目绩效自评结果为优秀。项目全年预算数为51.1万元，执行数为51.1万元，完成预算的100%。主要产出和效果是全县213个村，每村每月放映一场电影，全年放映2556场次，推动我县电影事业健康发展，丰富人民群众业余文化生活。</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综合文化展馆建设资金项目绩效自评：根据年初设定的绩效目标，综合文化展馆建设资金项目绩效自评结果为一般。项目全年预算数为3000万元，执行数为1000万元，完成预算的33.3%。主要产出和效果是建设公益文化服务单位，创造良好的环境及配套设施，从而更好的服务广大群众。</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发现的问题及原因：一是资金使用率较低，部分资金支出与目标不符；二是实施程序不很到位；三是监督检查不很到位。</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下一步改进措施：一是提高资金的使用效率；二是完善项目实施程序；三是加强日常监督；四是科学合理制定产出目标；五是重视并加强满意度调查工作。</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本部门2018年度机关运行经费支出10.4万元，比年初预算数减少0.1万元，降低1%。主要原因是办公费减少。</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本部门2018年度政府采购支出总额277.34万元，从采购类型来看，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139.34</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138</w:t>
      </w:r>
      <w:r>
        <w:rPr>
          <w:rFonts w:ascii="仿宋_GB2312" w:hAnsi="仿宋_GB2312" w:eastAsia="仿宋_GB2312" w:cs="仿宋_GB2312"/>
          <w:color w:val="000000"/>
          <w:kern w:val="0"/>
          <w:sz w:val="32"/>
          <w:szCs w:val="32"/>
        </w:rPr>
        <w:t>万元</w:t>
      </w:r>
      <w:r>
        <w:rPr>
          <w:rFonts w:hint="eastAsia" w:ascii="仿宋_GB2312" w:hAnsi="仿宋_GB2312" w:eastAsia="仿宋_GB2312" w:cs="仿宋_GB2312"/>
          <w:color w:val="000000"/>
          <w:kern w:val="0"/>
          <w:sz w:val="32"/>
          <w:szCs w:val="32"/>
        </w:rPr>
        <w:t>，政府采购服务支出0万元</w:t>
      </w:r>
      <w:r>
        <w:rPr>
          <w:rFonts w:ascii="仿宋_GB2312" w:hAnsi="仿宋_GB2312" w:eastAsia="仿宋_GB2312" w:cs="仿宋_GB2312"/>
          <w:color w:val="000000"/>
          <w:kern w:val="0"/>
          <w:sz w:val="32"/>
          <w:szCs w:val="32"/>
        </w:rPr>
        <w:t>。授予中小企业合同金</w:t>
      </w:r>
      <w:r>
        <w:rPr>
          <w:rFonts w:hint="eastAsia" w:ascii="仿宋_GB2312" w:hAnsi="仿宋_GB2312" w:eastAsia="仿宋_GB2312" w:cs="仿宋_GB2312"/>
          <w:color w:val="000000"/>
          <w:kern w:val="0"/>
          <w:sz w:val="32"/>
          <w:szCs w:val="32"/>
        </w:rPr>
        <w:t>额267.48</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96.4%，</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112.89</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40.7</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2辆，比上年持平，无增减变化。其中，副部（省）级及以上领导用车0辆，主要领导干部用车0辆，机要通信用车0辆，应急保障用车0辆，执法执勤用车1辆，特种专业技术用车0辆，离退休干部用车0辆，其他用车1辆，其他用车主要是图书馆图书下乡流动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万元以上通用设备0台（套），与上年持平，无增减变化，单位价值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万元以上专用设备0台（套），与上年持平,无增减变化。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财政拨款无收支及结转结余情况，无一般公共预算财政拨款“三公”经费支出，故国有资本经营预算财政拨款支出决算表和一般公共预算财政拨款“三公”经费支出决算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11"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1D1958B-1775-41F5-9136-5E18B2D7DB5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2" w:fontKey="{8EF0F81C-1B27-4764-A5C5-BCC8C132F758}"/>
  </w:font>
  <w:font w:name="楷体">
    <w:panose1 w:val="02010609060101010101"/>
    <w:charset w:val="86"/>
    <w:family w:val="modern"/>
    <w:pitch w:val="default"/>
    <w:sig w:usb0="800002BF" w:usb1="38CF7CFA" w:usb2="00000016" w:usb3="00000000" w:csb0="00040001" w:csb1="00000000"/>
    <w:embedRegular r:id="rId3" w:fontKey="{DCDE04C8-1834-4030-9EDB-C4748F348EF3}"/>
  </w:font>
  <w:font w:name="楷体_GB2312">
    <w:panose1 w:val="02010609030101010101"/>
    <w:charset w:val="86"/>
    <w:family w:val="modern"/>
    <w:pitch w:val="default"/>
    <w:sig w:usb0="00000001" w:usb1="080E0000" w:usb2="00000000" w:usb3="00000000" w:csb0="00040000" w:csb1="00000000"/>
    <w:embedRegular r:id="rId4" w:fontKey="{BB82539A-9439-4A1F-9D78-22FFF6567E95}"/>
  </w:font>
  <w:font w:name="仿宋_GB2312">
    <w:panose1 w:val="02010609030101010101"/>
    <w:charset w:val="86"/>
    <w:family w:val="modern"/>
    <w:pitch w:val="default"/>
    <w:sig w:usb0="00000001" w:usb1="080E0000" w:usb2="00000000" w:usb3="00000000" w:csb0="00040000" w:csb1="00000000"/>
    <w:embedRegular r:id="rId5" w:fontKey="{F47D07B1-A074-4E7B-A326-28E7F94E7A1E}"/>
  </w:font>
  <w:font w:name="ArialUnicodeMS">
    <w:altName w:val="Malgun Gothic"/>
    <w:panose1 w:val="00000000000000000000"/>
    <w:charset w:val="81"/>
    <w:family w:val="auto"/>
    <w:pitch w:val="default"/>
    <w:sig w:usb0="00000000" w:usb1="00000000" w:usb2="00000010" w:usb3="00000000" w:csb0="00080001" w:csb1="00000000"/>
    <w:embedRegular r:id="rId6" w:fontKey="{09A8AED9-38C0-495A-AE74-7DBEFCCFB5B2}"/>
  </w:font>
  <w:font w:name="MS-UIGothic,Bold">
    <w:altName w:val="Malgun Gothic"/>
    <w:panose1 w:val="00000000000000000000"/>
    <w:charset w:val="81"/>
    <w:family w:val="auto"/>
    <w:pitch w:val="default"/>
    <w:sig w:usb0="00000000" w:usb1="00000000" w:usb2="00000010" w:usb3="00000000" w:csb0="00080000" w:csb1="00000000"/>
    <w:embedRegular r:id="rId7" w:fontKey="{9A92A0B2-6171-47E3-9AE6-019553CE3725}"/>
  </w:font>
  <w:font w:name="Arial">
    <w:panose1 w:val="020B0604020202020204"/>
    <w:charset w:val="00"/>
    <w:family w:val="swiss"/>
    <w:pitch w:val="default"/>
    <w:sig w:usb0="E0002AFF" w:usb1="C0007843" w:usb2="00000009" w:usb3="00000000" w:csb0="400001FF" w:csb1="FFFF0000"/>
    <w:embedRegular r:id="rId8" w:fontKey="{E1B10DB9-B467-46B8-BDF1-03D3503E2EB7}"/>
  </w:font>
  <w:font w:name="DengXian-Regular">
    <w:altName w:val="宋体"/>
    <w:panose1 w:val="00000000000000000000"/>
    <w:charset w:val="86"/>
    <w:family w:val="auto"/>
    <w:pitch w:val="default"/>
    <w:sig w:usb0="00000000" w:usb1="00000000" w:usb2="00000010" w:usb3="00000000" w:csb0="00040001" w:csb1="00000000"/>
    <w:embedRegular r:id="rId9" w:fontKey="{270E8549-A9E4-471B-B3ED-6F4E68AF03A6}"/>
  </w:font>
  <w:font w:name="DengXian-Bold">
    <w:altName w:val="宋体"/>
    <w:panose1 w:val="00000000000000000000"/>
    <w:charset w:val="86"/>
    <w:family w:val="auto"/>
    <w:pitch w:val="default"/>
    <w:sig w:usb0="00000000" w:usb1="00000000" w:usb2="00000010" w:usb3="00000000" w:csb0="00040001" w:csb1="00000000"/>
    <w:embedRegular r:id="rId10" w:fontKey="{02C8F46B-57AC-40A6-8247-2A11EC9A9A88}"/>
  </w:font>
  <w:font w:name="TimesNewRomanPSMT">
    <w:altName w:val="Arial"/>
    <w:panose1 w:val="00000000000000000000"/>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3536F"/>
    <w:rsid w:val="00042F5F"/>
    <w:rsid w:val="000475A0"/>
    <w:rsid w:val="00072D58"/>
    <w:rsid w:val="00076272"/>
    <w:rsid w:val="000838C3"/>
    <w:rsid w:val="000B2446"/>
    <w:rsid w:val="000D7C65"/>
    <w:rsid w:val="000E2F81"/>
    <w:rsid w:val="000F4605"/>
    <w:rsid w:val="00117946"/>
    <w:rsid w:val="00117E2C"/>
    <w:rsid w:val="00136874"/>
    <w:rsid w:val="00146C47"/>
    <w:rsid w:val="00152FB8"/>
    <w:rsid w:val="00155297"/>
    <w:rsid w:val="001574E9"/>
    <w:rsid w:val="00162927"/>
    <w:rsid w:val="0017590E"/>
    <w:rsid w:val="00176658"/>
    <w:rsid w:val="0018239E"/>
    <w:rsid w:val="001B3410"/>
    <w:rsid w:val="001C030D"/>
    <w:rsid w:val="001C4A84"/>
    <w:rsid w:val="001E5902"/>
    <w:rsid w:val="00226262"/>
    <w:rsid w:val="00233705"/>
    <w:rsid w:val="002507F7"/>
    <w:rsid w:val="00275CA2"/>
    <w:rsid w:val="00286720"/>
    <w:rsid w:val="002A3679"/>
    <w:rsid w:val="002A65A5"/>
    <w:rsid w:val="002A778F"/>
    <w:rsid w:val="002C04C4"/>
    <w:rsid w:val="002D08B0"/>
    <w:rsid w:val="002D1AE3"/>
    <w:rsid w:val="002E340C"/>
    <w:rsid w:val="002F18B0"/>
    <w:rsid w:val="002F2ECE"/>
    <w:rsid w:val="0033731F"/>
    <w:rsid w:val="00341C8F"/>
    <w:rsid w:val="0035463A"/>
    <w:rsid w:val="00362060"/>
    <w:rsid w:val="00391D9D"/>
    <w:rsid w:val="00391E1D"/>
    <w:rsid w:val="003B6C51"/>
    <w:rsid w:val="003B762B"/>
    <w:rsid w:val="003C1413"/>
    <w:rsid w:val="003C549F"/>
    <w:rsid w:val="003D5A16"/>
    <w:rsid w:val="003E2652"/>
    <w:rsid w:val="003E7DB3"/>
    <w:rsid w:val="003F4A64"/>
    <w:rsid w:val="003F5876"/>
    <w:rsid w:val="003F7B9E"/>
    <w:rsid w:val="003F7EC9"/>
    <w:rsid w:val="004254B3"/>
    <w:rsid w:val="00431175"/>
    <w:rsid w:val="00432976"/>
    <w:rsid w:val="00473037"/>
    <w:rsid w:val="0048197C"/>
    <w:rsid w:val="00492CFB"/>
    <w:rsid w:val="004B6E37"/>
    <w:rsid w:val="004C24A6"/>
    <w:rsid w:val="004C32BA"/>
    <w:rsid w:val="004D073A"/>
    <w:rsid w:val="004F5440"/>
    <w:rsid w:val="005517A8"/>
    <w:rsid w:val="005729DF"/>
    <w:rsid w:val="00575922"/>
    <w:rsid w:val="005A1E82"/>
    <w:rsid w:val="005A2EFF"/>
    <w:rsid w:val="005A6C90"/>
    <w:rsid w:val="005B4C09"/>
    <w:rsid w:val="005E3FB0"/>
    <w:rsid w:val="005F4B66"/>
    <w:rsid w:val="005F5208"/>
    <w:rsid w:val="006271FD"/>
    <w:rsid w:val="00641318"/>
    <w:rsid w:val="0064405D"/>
    <w:rsid w:val="0065107A"/>
    <w:rsid w:val="00685302"/>
    <w:rsid w:val="00695557"/>
    <w:rsid w:val="006970D1"/>
    <w:rsid w:val="006A1CB6"/>
    <w:rsid w:val="006B640C"/>
    <w:rsid w:val="006D4EA7"/>
    <w:rsid w:val="006E5166"/>
    <w:rsid w:val="006F0A76"/>
    <w:rsid w:val="0070012A"/>
    <w:rsid w:val="0070664B"/>
    <w:rsid w:val="007071B8"/>
    <w:rsid w:val="0072601A"/>
    <w:rsid w:val="007413B4"/>
    <w:rsid w:val="007414DE"/>
    <w:rsid w:val="0078489F"/>
    <w:rsid w:val="0078530E"/>
    <w:rsid w:val="007905A9"/>
    <w:rsid w:val="007A458C"/>
    <w:rsid w:val="007B4498"/>
    <w:rsid w:val="007E3988"/>
    <w:rsid w:val="007E5500"/>
    <w:rsid w:val="007F055B"/>
    <w:rsid w:val="00800EA2"/>
    <w:rsid w:val="0080644C"/>
    <w:rsid w:val="00807471"/>
    <w:rsid w:val="00811C2F"/>
    <w:rsid w:val="00815881"/>
    <w:rsid w:val="00827557"/>
    <w:rsid w:val="00833D46"/>
    <w:rsid w:val="00840A97"/>
    <w:rsid w:val="008428C8"/>
    <w:rsid w:val="008440AF"/>
    <w:rsid w:val="0089405C"/>
    <w:rsid w:val="008C0149"/>
    <w:rsid w:val="008D5DED"/>
    <w:rsid w:val="008E25CA"/>
    <w:rsid w:val="008E2F53"/>
    <w:rsid w:val="008E706A"/>
    <w:rsid w:val="008F34FC"/>
    <w:rsid w:val="00925B37"/>
    <w:rsid w:val="00944B48"/>
    <w:rsid w:val="00944CD7"/>
    <w:rsid w:val="00966E5D"/>
    <w:rsid w:val="009831B2"/>
    <w:rsid w:val="009A1ABE"/>
    <w:rsid w:val="009C1FB7"/>
    <w:rsid w:val="009C7CCC"/>
    <w:rsid w:val="009D065E"/>
    <w:rsid w:val="009E21A4"/>
    <w:rsid w:val="009E5518"/>
    <w:rsid w:val="009F22C6"/>
    <w:rsid w:val="00A07E50"/>
    <w:rsid w:val="00A15397"/>
    <w:rsid w:val="00A226F5"/>
    <w:rsid w:val="00A22AFF"/>
    <w:rsid w:val="00A277D6"/>
    <w:rsid w:val="00A35CE0"/>
    <w:rsid w:val="00A4462E"/>
    <w:rsid w:val="00A44AA4"/>
    <w:rsid w:val="00A571EA"/>
    <w:rsid w:val="00A61623"/>
    <w:rsid w:val="00A84687"/>
    <w:rsid w:val="00AB0A0E"/>
    <w:rsid w:val="00AB5AA6"/>
    <w:rsid w:val="00AD3B6E"/>
    <w:rsid w:val="00AE092A"/>
    <w:rsid w:val="00AF482C"/>
    <w:rsid w:val="00B03FCC"/>
    <w:rsid w:val="00B1751F"/>
    <w:rsid w:val="00B4392E"/>
    <w:rsid w:val="00B5625A"/>
    <w:rsid w:val="00B56722"/>
    <w:rsid w:val="00B74D39"/>
    <w:rsid w:val="00B91DA4"/>
    <w:rsid w:val="00BB6B7E"/>
    <w:rsid w:val="00C05B08"/>
    <w:rsid w:val="00C12630"/>
    <w:rsid w:val="00C27F44"/>
    <w:rsid w:val="00C34562"/>
    <w:rsid w:val="00C3774E"/>
    <w:rsid w:val="00C57456"/>
    <w:rsid w:val="00C65387"/>
    <w:rsid w:val="00C67FBA"/>
    <w:rsid w:val="00C8524F"/>
    <w:rsid w:val="00C87FAB"/>
    <w:rsid w:val="00C91FF7"/>
    <w:rsid w:val="00C94E53"/>
    <w:rsid w:val="00CB2626"/>
    <w:rsid w:val="00CF599D"/>
    <w:rsid w:val="00D0048E"/>
    <w:rsid w:val="00D10630"/>
    <w:rsid w:val="00D23E7A"/>
    <w:rsid w:val="00D25B74"/>
    <w:rsid w:val="00D30983"/>
    <w:rsid w:val="00D61063"/>
    <w:rsid w:val="00D876D3"/>
    <w:rsid w:val="00DB35AF"/>
    <w:rsid w:val="00DB6317"/>
    <w:rsid w:val="00DD72D7"/>
    <w:rsid w:val="00DF5B88"/>
    <w:rsid w:val="00E034B0"/>
    <w:rsid w:val="00E0589E"/>
    <w:rsid w:val="00E241FA"/>
    <w:rsid w:val="00E2595E"/>
    <w:rsid w:val="00E35374"/>
    <w:rsid w:val="00E50C19"/>
    <w:rsid w:val="00E51CCF"/>
    <w:rsid w:val="00E64655"/>
    <w:rsid w:val="00E73081"/>
    <w:rsid w:val="00E84BA5"/>
    <w:rsid w:val="00E856C9"/>
    <w:rsid w:val="00E93FC6"/>
    <w:rsid w:val="00EB6A8B"/>
    <w:rsid w:val="00EF38C6"/>
    <w:rsid w:val="00EF5558"/>
    <w:rsid w:val="00F06AEF"/>
    <w:rsid w:val="00F139A6"/>
    <w:rsid w:val="00F366D1"/>
    <w:rsid w:val="00F679C7"/>
    <w:rsid w:val="00F7711A"/>
    <w:rsid w:val="00F975E3"/>
    <w:rsid w:val="00FA0D58"/>
    <w:rsid w:val="00FA56F4"/>
    <w:rsid w:val="00FB4EDA"/>
    <w:rsid w:val="00FD3BD5"/>
    <w:rsid w:val="00FE3DC8"/>
    <w:rsid w:val="04073F84"/>
    <w:rsid w:val="0B60750A"/>
    <w:rsid w:val="10686488"/>
    <w:rsid w:val="10DF728A"/>
    <w:rsid w:val="1264200E"/>
    <w:rsid w:val="141C5B77"/>
    <w:rsid w:val="18D8339D"/>
    <w:rsid w:val="1A21388F"/>
    <w:rsid w:val="1A570D2F"/>
    <w:rsid w:val="21040FE6"/>
    <w:rsid w:val="28FB0B8D"/>
    <w:rsid w:val="2A9870FC"/>
    <w:rsid w:val="2D2B7942"/>
    <w:rsid w:val="2D46481D"/>
    <w:rsid w:val="2E733B28"/>
    <w:rsid w:val="31852B5A"/>
    <w:rsid w:val="32D01238"/>
    <w:rsid w:val="3DFC59A8"/>
    <w:rsid w:val="3ECF245E"/>
    <w:rsid w:val="3FB96314"/>
    <w:rsid w:val="53A44FAF"/>
    <w:rsid w:val="594329EC"/>
    <w:rsid w:val="5BEE1540"/>
    <w:rsid w:val="5DE61A5D"/>
    <w:rsid w:val="63C04243"/>
    <w:rsid w:val="649C01C7"/>
    <w:rsid w:val="699A3F60"/>
    <w:rsid w:val="72902E62"/>
    <w:rsid w:val="73C61104"/>
    <w:rsid w:val="776452EA"/>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9"/>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30"/>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2"/>
    <w:semiHidden/>
    <w:unhideWhenUsed/>
    <w:qFormat/>
    <w:uiPriority w:val="99"/>
    <w:pPr>
      <w:ind w:left="100" w:leftChars="2500"/>
    </w:pPr>
  </w:style>
  <w:style w:type="paragraph" w:styleId="7">
    <w:name w:val="Balloon Text"/>
    <w:basedOn w:val="1"/>
    <w:link w:val="20"/>
    <w:semiHidden/>
    <w:unhideWhenUsed/>
    <w:qFormat/>
    <w:uiPriority w:val="99"/>
    <w:rPr>
      <w:sz w:val="18"/>
      <w:szCs w:val="18"/>
    </w:rPr>
  </w:style>
  <w:style w:type="paragraph" w:styleId="8">
    <w:name w:val="footer"/>
    <w:basedOn w:val="1"/>
    <w:link w:val="1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6"/>
    <w:unhideWhenUsed/>
    <w:qFormat/>
    <w:uiPriority w:val="99"/>
    <w:pPr>
      <w:pBdr>
        <w:bottom w:val="single" w:color="auto" w:sz="6" w:space="1"/>
      </w:pBdr>
      <w:tabs>
        <w:tab w:val="left" w:pos="2558"/>
      </w:tabs>
      <w:snapToGrid w:val="0"/>
      <w:jc w:val="left"/>
    </w:pPr>
    <w:rPr>
      <w:rFonts w:asciiTheme="minorHAnsi" w:hAnsiTheme="minorHAnsi" w:eastAsiaTheme="minorEastAsia" w:cstheme="minorBidi"/>
      <w:sz w:val="18"/>
      <w:szCs w:val="18"/>
    </w:rPr>
  </w:style>
  <w:style w:type="paragraph" w:styleId="10">
    <w:name w:val="Subtitle"/>
    <w:basedOn w:val="1"/>
    <w:next w:val="1"/>
    <w:link w:val="22"/>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1"/>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15">
    <w:name w:val="Hyperlink"/>
    <w:basedOn w:val="14"/>
    <w:unhideWhenUsed/>
    <w:qFormat/>
    <w:uiPriority w:val="99"/>
    <w:rPr>
      <w:color w:val="AD1F1F" w:themeColor="hyperlink"/>
      <w:u w:val="single"/>
    </w:rPr>
  </w:style>
  <w:style w:type="character" w:customStyle="1" w:styleId="16">
    <w:name w:val="页眉 Char"/>
    <w:basedOn w:val="14"/>
    <w:link w:val="9"/>
    <w:qFormat/>
    <w:uiPriority w:val="99"/>
    <w:rPr>
      <w:kern w:val="2"/>
      <w:sz w:val="18"/>
      <w:szCs w:val="18"/>
    </w:rPr>
  </w:style>
  <w:style w:type="character" w:customStyle="1" w:styleId="17">
    <w:name w:val="页脚 Char"/>
    <w:basedOn w:val="14"/>
    <w:link w:val="8"/>
    <w:qFormat/>
    <w:uiPriority w:val="99"/>
    <w:rPr>
      <w:sz w:val="18"/>
      <w:szCs w:val="18"/>
    </w:rPr>
  </w:style>
  <w:style w:type="paragraph" w:styleId="18">
    <w:name w:val="No Spacing"/>
    <w:link w:val="19"/>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9">
    <w:name w:val="无间隔 Char"/>
    <w:basedOn w:val="14"/>
    <w:link w:val="18"/>
    <w:qFormat/>
    <w:uiPriority w:val="1"/>
    <w:rPr>
      <w:kern w:val="0"/>
      <w:sz w:val="22"/>
    </w:rPr>
  </w:style>
  <w:style w:type="character" w:customStyle="1" w:styleId="20">
    <w:name w:val="批注框文本 Char"/>
    <w:basedOn w:val="14"/>
    <w:link w:val="7"/>
    <w:semiHidden/>
    <w:qFormat/>
    <w:uiPriority w:val="99"/>
    <w:rPr>
      <w:rFonts w:ascii="Times New Roman" w:hAnsi="Times New Roman" w:eastAsia="宋体" w:cs="Times New Roman"/>
      <w:sz w:val="18"/>
      <w:szCs w:val="18"/>
    </w:rPr>
  </w:style>
  <w:style w:type="character" w:customStyle="1" w:styleId="21">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2">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3">
    <w:name w:val="Style1"/>
    <w:basedOn w:val="14"/>
    <w:qFormat/>
    <w:uiPriority w:val="1"/>
    <w:rPr>
      <w:rFonts w:asciiTheme="minorHAnsi" w:hAnsiTheme="minorEastAsia" w:eastAsiaTheme="minorEastAsia" w:cstheme="minorBidi"/>
      <w:sz w:val="22"/>
      <w:szCs w:val="22"/>
      <w:lang w:eastAsia="zh-CN"/>
    </w:rPr>
  </w:style>
  <w:style w:type="character" w:customStyle="1" w:styleId="24">
    <w:name w:val="Style2"/>
    <w:basedOn w:val="14"/>
    <w:qFormat/>
    <w:uiPriority w:val="1"/>
    <w:rPr>
      <w:rFonts w:asciiTheme="minorHAnsi" w:hAnsiTheme="minorEastAsia" w:eastAsiaTheme="minorEastAsia" w:cstheme="minorBidi"/>
      <w:sz w:val="22"/>
      <w:szCs w:val="22"/>
      <w:lang w:eastAsia="zh-CN"/>
    </w:rPr>
  </w:style>
  <w:style w:type="character" w:customStyle="1" w:styleId="25">
    <w:name w:val="Style3"/>
    <w:basedOn w:val="14"/>
    <w:qFormat/>
    <w:uiPriority w:val="1"/>
    <w:rPr>
      <w:rFonts w:asciiTheme="minorHAnsi" w:hAnsiTheme="minorEastAsia" w:eastAsiaTheme="minorEastAsia" w:cstheme="minorBidi"/>
      <w:szCs w:val="22"/>
      <w:lang w:eastAsia="zh-CN"/>
    </w:rPr>
  </w:style>
  <w:style w:type="character" w:customStyle="1" w:styleId="26">
    <w:name w:val="Style4"/>
    <w:basedOn w:val="14"/>
    <w:qFormat/>
    <w:uiPriority w:val="1"/>
    <w:rPr>
      <w:rFonts w:asciiTheme="minorHAnsi" w:hAnsiTheme="minorEastAsia" w:eastAsiaTheme="minorEastAsia" w:cstheme="minorBidi"/>
      <w:szCs w:val="22"/>
      <w:lang w:eastAsia="zh-CN"/>
    </w:rPr>
  </w:style>
  <w:style w:type="character" w:customStyle="1" w:styleId="27">
    <w:name w:val="Style5"/>
    <w:basedOn w:val="14"/>
    <w:qFormat/>
    <w:uiPriority w:val="1"/>
    <w:rPr>
      <w:rFonts w:asciiTheme="minorHAnsi" w:hAnsiTheme="minorEastAsia" w:eastAsiaTheme="minorEastAsia" w:cstheme="minorBidi"/>
      <w:sz w:val="22"/>
      <w:szCs w:val="22"/>
      <w:lang w:eastAsia="zh-CN"/>
    </w:rPr>
  </w:style>
  <w:style w:type="character" w:customStyle="1" w:styleId="28">
    <w:name w:val="标题 1 Char"/>
    <w:basedOn w:val="14"/>
    <w:link w:val="2"/>
    <w:qFormat/>
    <w:uiPriority w:val="9"/>
    <w:rPr>
      <w:rFonts w:ascii="Times New Roman" w:hAnsi="Times New Roman" w:eastAsia="宋体" w:cs="Times New Roman"/>
      <w:b/>
      <w:bCs/>
      <w:kern w:val="44"/>
      <w:sz w:val="44"/>
      <w:szCs w:val="44"/>
    </w:rPr>
  </w:style>
  <w:style w:type="character" w:customStyle="1" w:styleId="29">
    <w:name w:val="标题 2 Char"/>
    <w:basedOn w:val="14"/>
    <w:link w:val="3"/>
    <w:qFormat/>
    <w:uiPriority w:val="9"/>
    <w:rPr>
      <w:rFonts w:asciiTheme="majorHAnsi" w:hAnsiTheme="majorHAnsi" w:eastAsiaTheme="majorEastAsia" w:cstheme="majorBidi"/>
      <w:b/>
      <w:bCs/>
      <w:sz w:val="32"/>
      <w:szCs w:val="32"/>
    </w:rPr>
  </w:style>
  <w:style w:type="character" w:customStyle="1" w:styleId="30">
    <w:name w:val="标题 3 Char"/>
    <w:basedOn w:val="14"/>
    <w:link w:val="4"/>
    <w:qFormat/>
    <w:uiPriority w:val="9"/>
    <w:rPr>
      <w:rFonts w:ascii="Times New Roman" w:hAnsi="Times New Roman" w:eastAsia="宋体" w:cs="Times New Roman"/>
      <w:b/>
      <w:bCs/>
      <w:sz w:val="32"/>
      <w:szCs w:val="32"/>
    </w:rPr>
  </w:style>
  <w:style w:type="character" w:customStyle="1" w:styleId="31">
    <w:name w:val="标题 4 Char"/>
    <w:basedOn w:val="14"/>
    <w:link w:val="5"/>
    <w:qFormat/>
    <w:uiPriority w:val="9"/>
    <w:rPr>
      <w:rFonts w:asciiTheme="majorHAnsi" w:hAnsiTheme="majorHAnsi" w:eastAsiaTheme="majorEastAsia" w:cstheme="majorBidi"/>
      <w:b/>
      <w:bCs/>
      <w:sz w:val="28"/>
      <w:szCs w:val="28"/>
    </w:rPr>
  </w:style>
  <w:style w:type="character" w:customStyle="1" w:styleId="32">
    <w:name w:val="日期 Char"/>
    <w:basedOn w:val="14"/>
    <w:link w:val="6"/>
    <w:semiHidden/>
    <w:qFormat/>
    <w:uiPriority w:val="99"/>
    <w:rPr>
      <w:rFonts w:ascii="Times New Roman" w:hAnsi="Times New Roman" w:eastAsia="宋体" w:cs="Times New Roman"/>
      <w:szCs w:val="24"/>
    </w:rPr>
  </w:style>
  <w:style w:type="paragraph" w:styleId="33">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customXml" Target="../customXml/item3.xml"/><Relationship Id="rId22" Type="http://schemas.openxmlformats.org/officeDocument/2006/relationships/customXml" Target="../customXml/item2.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7.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image" Target="media/image3.png"/><Relationship Id="rId12" Type="http://schemas.openxmlformats.org/officeDocument/2006/relationships/chart" Target="charts/chart1.xml"/><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Book10"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0"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0"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Administrator\&#26700;&#38754;\Book1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Administrator\&#26700;&#38754;\Book1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Administrator\&#26700;&#38754;\Book1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Administrator\&#26700;&#38754;\Book1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spPr>
            <a:ln>
              <a:solidFill>
                <a:schemeClr val="bg1"/>
              </a:solidFill>
            </a:ln>
          </c:spPr>
          <c:explosion val="0"/>
          <c:dPt>
            <c:idx val="0"/>
            <c:bubble3D val="0"/>
            <c:spPr>
              <a:solidFill>
                <a:srgbClr val="0070C0"/>
              </a:solidFill>
              <a:ln>
                <a:solidFill>
                  <a:schemeClr val="bg1"/>
                </a:solidFill>
              </a:ln>
            </c:spPr>
          </c:dPt>
          <c:dPt>
            <c:idx val="1"/>
            <c:bubble3D val="0"/>
            <c:spPr>
              <a:ln>
                <a:solidFill>
                  <a:schemeClr val="bg1"/>
                </a:solidFill>
              </a:ln>
            </c:spPr>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Sheet1!$C$9:$C$10</c:f>
              <c:strCache>
                <c:ptCount val="2"/>
                <c:pt idx="0">
                  <c:v>财政拨款收入</c:v>
                </c:pt>
                <c:pt idx="1">
                  <c:v>其他收入</c:v>
                </c:pt>
              </c:strCache>
            </c:strRef>
          </c:cat>
          <c:val>
            <c:numRef>
              <c:f>Sheet1!$D$9:$D$10</c:f>
              <c:numCache>
                <c:formatCode>General</c:formatCode>
                <c:ptCount val="2"/>
                <c:pt idx="0">
                  <c:v>4285.12</c:v>
                </c:pt>
                <c:pt idx="1">
                  <c:v>68.32</c:v>
                </c:pt>
              </c:numCache>
            </c:numRef>
          </c:val>
        </c:ser>
        <c:dLbls>
          <c:showLegendKey val="0"/>
          <c:showVal val="0"/>
          <c:showCatName val="1"/>
          <c:showSerName val="0"/>
          <c:showPercent val="1"/>
          <c:showBubbleSize val="0"/>
        </c:dLbls>
      </c:pie3DChart>
    </c:plotArea>
    <c:plotVisOnly val="1"/>
    <c:dispBlanksAs val="gap"/>
    <c:showDLblsOverMax val="0"/>
  </c:chart>
  <c:spPr>
    <a:ln w="0" cap="flat" cmpd="sng" algn="ctr">
      <a:solidFill>
        <a:sysClr val="window" lastClr="FFFFFF">
          <a:alpha val="0"/>
        </a:sysClr>
      </a:solidFill>
      <a:prstDash val="solid"/>
      <a:round/>
    </a:ln>
    <a:effectLst>
      <a:outerShdw blurRad="50800" dist="50800" dir="5400000" algn="ctr" rotWithShape="0">
        <a:schemeClr val="bg1">
          <a:alpha val="0"/>
        </a:schemeClr>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spPr>
            <a:ln w="0">
              <a:solidFill>
                <a:schemeClr val="bg1"/>
              </a:solidFill>
            </a:ln>
            <a:effectLst>
              <a:outerShdw blurRad="50800" dist="50800" dir="5400000" algn="ctr" rotWithShape="0">
                <a:schemeClr val="bg1"/>
              </a:outerShdw>
            </a:effectLst>
          </c:spPr>
          <c:explosion val="0"/>
          <c:dPt>
            <c:idx val="0"/>
            <c:bubble3D val="0"/>
            <c:spPr>
              <a:ln w="0">
                <a:solidFill>
                  <a:schemeClr val="bg1"/>
                </a:solidFill>
              </a:ln>
              <a:effectLst>
                <a:outerShdw blurRad="50800" dist="50800" dir="5400000" algn="ctr" rotWithShape="0">
                  <a:schemeClr val="bg1"/>
                </a:outerShdw>
              </a:effectLst>
            </c:spPr>
          </c:dPt>
          <c:dPt>
            <c:idx val="1"/>
            <c:bubble3D val="0"/>
            <c:spPr>
              <a:solidFill>
                <a:srgbClr val="0070C0"/>
              </a:solidFill>
              <a:ln w="0">
                <a:solidFill>
                  <a:schemeClr val="bg1"/>
                </a:solidFill>
              </a:ln>
              <a:effectLst>
                <a:outerShdw blurRad="50800" dist="50800" dir="5400000" algn="ctr" rotWithShape="0">
                  <a:schemeClr val="bg1"/>
                </a:outerShdw>
              </a:effectLst>
            </c:spPr>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Sheet1!$C$19:$C$20</c:f>
              <c:strCache>
                <c:ptCount val="2"/>
                <c:pt idx="0">
                  <c:v>基本支出</c:v>
                </c:pt>
                <c:pt idx="1">
                  <c:v>项目支出</c:v>
                </c:pt>
              </c:strCache>
            </c:strRef>
          </c:cat>
          <c:val>
            <c:numRef>
              <c:f>Sheet1!$D$19:$D$20</c:f>
              <c:numCache>
                <c:formatCode>General</c:formatCode>
                <c:ptCount val="2"/>
                <c:pt idx="0">
                  <c:v>386.49</c:v>
                </c:pt>
                <c:pt idx="1">
                  <c:v>1656.01</c:v>
                </c:pt>
              </c:numCache>
            </c:numRef>
          </c:val>
        </c:ser>
        <c:dLbls>
          <c:showLegendKey val="0"/>
          <c:showVal val="0"/>
          <c:showCatName val="1"/>
          <c:showSerName val="0"/>
          <c:showPercent val="1"/>
          <c:showBubbleSize val="0"/>
        </c:dLbls>
      </c:pie3DChart>
    </c:plotArea>
    <c:plotVisOnly val="1"/>
    <c:dispBlanksAs val="gap"/>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4629483814523"/>
          <c:y val="0.0509259259259259"/>
          <c:w val="0.864814960629921"/>
          <c:h val="0.720204141149023"/>
        </c:manualLayout>
      </c:layout>
      <c:barChart>
        <c:barDir val="col"/>
        <c:grouping val="clustered"/>
        <c:varyColors val="0"/>
        <c:ser>
          <c:idx val="0"/>
          <c:order val="0"/>
          <c:tx>
            <c:strRef>
              <c:f>Sheet1!$C$25</c:f>
              <c:strCache>
                <c:ptCount val="1"/>
                <c:pt idx="0">
                  <c:v>2018</c:v>
                </c:pt>
              </c:strCache>
            </c:strRef>
          </c:tx>
          <c:spPr>
            <a:ln>
              <a:solidFill>
                <a:prstClr val="white">
                  <a:alpha val="0"/>
                </a:prstClr>
              </a:solidFill>
            </a:ln>
          </c:spPr>
          <c:invertIfNegative val="0"/>
          <c:dPt>
            <c:idx val="0"/>
            <c:invertIfNegative val="0"/>
            <c:bubble3D val="0"/>
            <c:spPr>
              <a:solidFill>
                <a:srgbClr val="0070C0"/>
              </a:solidFill>
              <a:ln>
                <a:solidFill>
                  <a:prstClr val="white">
                    <a:alpha val="0"/>
                  </a:prstClr>
                </a:solidFill>
              </a:ln>
            </c:spPr>
          </c:dPt>
          <c:dPt>
            <c:idx val="1"/>
            <c:invertIfNegative val="0"/>
            <c:bubble3D val="0"/>
            <c:spPr>
              <a:solidFill>
                <a:srgbClr val="0070C0"/>
              </a:solidFill>
              <a:ln>
                <a:solidFill>
                  <a:prstClr val="white">
                    <a:alpha val="0"/>
                  </a:prstClr>
                </a:solidFill>
              </a:ln>
            </c:spPr>
          </c:dPt>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Sheet1!$D$24:$E$24</c:f>
              <c:strCache>
                <c:ptCount val="2"/>
                <c:pt idx="0">
                  <c:v>财政拨款收入</c:v>
                </c:pt>
                <c:pt idx="1">
                  <c:v>财政拨款支出</c:v>
                </c:pt>
              </c:strCache>
            </c:strRef>
          </c:cat>
          <c:val>
            <c:numRef>
              <c:f>Sheet1!$D$25:$E$25</c:f>
              <c:numCache>
                <c:formatCode>General</c:formatCode>
                <c:ptCount val="2"/>
                <c:pt idx="0">
                  <c:v>4285.12</c:v>
                </c:pt>
                <c:pt idx="1">
                  <c:v>1966.57</c:v>
                </c:pt>
              </c:numCache>
            </c:numRef>
          </c:val>
        </c:ser>
        <c:ser>
          <c:idx val="1"/>
          <c:order val="1"/>
          <c:tx>
            <c:strRef>
              <c:f>Sheet1!$C$26</c:f>
              <c:strCache>
                <c:ptCount val="1"/>
                <c:pt idx="0">
                  <c:v>2017</c:v>
                </c:pt>
              </c:strCache>
            </c:strRef>
          </c:tx>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Sheet1!$D$24:$E$24</c:f>
              <c:strCache>
                <c:ptCount val="2"/>
                <c:pt idx="0">
                  <c:v>财政拨款收入</c:v>
                </c:pt>
                <c:pt idx="1">
                  <c:v>财政拨款支出</c:v>
                </c:pt>
              </c:strCache>
            </c:strRef>
          </c:cat>
          <c:val>
            <c:numRef>
              <c:f>Sheet1!$D$26:$E$26</c:f>
              <c:numCache>
                <c:formatCode>General</c:formatCode>
                <c:ptCount val="2"/>
                <c:pt idx="0">
                  <c:v>953.439999999999</c:v>
                </c:pt>
                <c:pt idx="1">
                  <c:v>929.19</c:v>
                </c:pt>
              </c:numCache>
            </c:numRef>
          </c:val>
        </c:ser>
        <c:dLbls>
          <c:showLegendKey val="0"/>
          <c:showVal val="1"/>
          <c:showCatName val="0"/>
          <c:showSerName val="0"/>
          <c:showPercent val="0"/>
          <c:showBubbleSize val="0"/>
        </c:dLbls>
        <c:gapWidth val="75"/>
        <c:axId val="160774784"/>
        <c:axId val="160789248"/>
      </c:barChart>
      <c:catAx>
        <c:axId val="160774784"/>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0789248"/>
        <c:crosses val="autoZero"/>
        <c:auto val="1"/>
        <c:lblAlgn val="ctr"/>
        <c:lblOffset val="100"/>
        <c:noMultiLvlLbl val="0"/>
      </c:catAx>
      <c:valAx>
        <c:axId val="16078924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0774784"/>
        <c:crosses val="autoZero"/>
        <c:crossBetween val="between"/>
      </c:valAx>
    </c:plotArea>
    <c:legend>
      <c:legendPos val="b"/>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chemeClr val="bg1">
          <a:alpha val="0"/>
        </a:schemeClr>
      </a:solidFill>
      <a:prstDash val="solid"/>
      <a:round/>
    </a:ln>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Sheet1!$C$34</c:f>
              <c:strCache>
                <c:ptCount val="1"/>
                <c:pt idx="0">
                  <c:v>2018</c:v>
                </c:pt>
              </c:strCache>
            </c:strRef>
          </c:tx>
          <c:spPr>
            <a:solidFill>
              <a:srgbClr val="0070C0"/>
            </a:solidFill>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Sheet1!$D$33:$G$33</c:f>
              <c:strCache>
                <c:ptCount val="4"/>
                <c:pt idx="0">
                  <c:v>一般公共预算收入</c:v>
                </c:pt>
                <c:pt idx="1">
                  <c:v>一般公共预算支出</c:v>
                </c:pt>
                <c:pt idx="2">
                  <c:v>政府性基金收入</c:v>
                </c:pt>
                <c:pt idx="3">
                  <c:v>政府性基金支出</c:v>
                </c:pt>
              </c:strCache>
            </c:strRef>
          </c:cat>
          <c:val>
            <c:numRef>
              <c:f>Sheet1!$D$34:$G$34</c:f>
              <c:numCache>
                <c:formatCode>General</c:formatCode>
                <c:ptCount val="4"/>
                <c:pt idx="0">
                  <c:v>894.32</c:v>
                </c:pt>
                <c:pt idx="1">
                  <c:v>795.47</c:v>
                </c:pt>
                <c:pt idx="2">
                  <c:v>3390.8</c:v>
                </c:pt>
                <c:pt idx="3">
                  <c:v>1171.1</c:v>
                </c:pt>
              </c:numCache>
            </c:numRef>
          </c:val>
        </c:ser>
        <c:ser>
          <c:idx val="1"/>
          <c:order val="1"/>
          <c:tx>
            <c:strRef>
              <c:f>Sheet1!$C$35</c:f>
              <c:strCache>
                <c:ptCount val="1"/>
                <c:pt idx="0">
                  <c:v>2017</c:v>
                </c:pt>
              </c:strCache>
            </c:strRef>
          </c:tx>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Sheet1!$D$33:$G$33</c:f>
              <c:strCache>
                <c:ptCount val="4"/>
                <c:pt idx="0">
                  <c:v>一般公共预算收入</c:v>
                </c:pt>
                <c:pt idx="1">
                  <c:v>一般公共预算支出</c:v>
                </c:pt>
                <c:pt idx="2">
                  <c:v>政府性基金收入</c:v>
                </c:pt>
                <c:pt idx="3">
                  <c:v>政府性基金支出</c:v>
                </c:pt>
              </c:strCache>
            </c:strRef>
          </c:cat>
          <c:val>
            <c:numRef>
              <c:f>Sheet1!$D$35:$G$35</c:f>
              <c:numCache>
                <c:formatCode>General</c:formatCode>
                <c:ptCount val="4"/>
                <c:pt idx="0">
                  <c:v>890.44</c:v>
                </c:pt>
                <c:pt idx="1">
                  <c:v>866.19</c:v>
                </c:pt>
                <c:pt idx="2">
                  <c:v>63</c:v>
                </c:pt>
                <c:pt idx="3">
                  <c:v>63</c:v>
                </c:pt>
              </c:numCache>
            </c:numRef>
          </c:val>
        </c:ser>
        <c:dLbls>
          <c:showLegendKey val="0"/>
          <c:showVal val="1"/>
          <c:showCatName val="0"/>
          <c:showSerName val="0"/>
          <c:showPercent val="0"/>
          <c:showBubbleSize val="0"/>
        </c:dLbls>
        <c:gapWidth val="75"/>
        <c:axId val="176966272"/>
        <c:axId val="184738176"/>
      </c:barChart>
      <c:catAx>
        <c:axId val="17696627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4738176"/>
        <c:crosses val="autoZero"/>
        <c:auto val="1"/>
        <c:lblAlgn val="ctr"/>
        <c:lblOffset val="100"/>
        <c:noMultiLvlLbl val="0"/>
      </c:catAx>
      <c:valAx>
        <c:axId val="18473817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76966272"/>
        <c:crosses val="autoZero"/>
        <c:crossBetween val="between"/>
      </c:valAx>
    </c:plotArea>
    <c:legend>
      <c:legendPos val="b"/>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chemeClr val="bg1">
          <a:alpha val="0"/>
        </a:schemeClr>
      </a:solidFill>
      <a:prstDash val="solid"/>
      <a:round/>
    </a:ln>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Sheet1!$C$37</c:f>
              <c:strCache>
                <c:ptCount val="1"/>
                <c:pt idx="0">
                  <c:v>年初预算数</c:v>
                </c:pt>
              </c:strCache>
            </c:strRef>
          </c:tx>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Sheet1!$D$36:$E$36</c:f>
              <c:strCache>
                <c:ptCount val="2"/>
                <c:pt idx="0">
                  <c:v>财政拨款收入</c:v>
                </c:pt>
                <c:pt idx="1">
                  <c:v>财政拨款支出</c:v>
                </c:pt>
              </c:strCache>
            </c:strRef>
          </c:cat>
          <c:val>
            <c:numRef>
              <c:f>Sheet1!$D$37:$E$37</c:f>
              <c:numCache>
                <c:formatCode>General</c:formatCode>
                <c:ptCount val="2"/>
                <c:pt idx="0">
                  <c:v>1083.01</c:v>
                </c:pt>
                <c:pt idx="1">
                  <c:v>1083.01</c:v>
                </c:pt>
              </c:numCache>
            </c:numRef>
          </c:val>
        </c:ser>
        <c:ser>
          <c:idx val="1"/>
          <c:order val="1"/>
          <c:tx>
            <c:strRef>
              <c:f>Sheet1!$C$38</c:f>
              <c:strCache>
                <c:ptCount val="1"/>
                <c:pt idx="0">
                  <c:v>决算数</c:v>
                </c:pt>
              </c:strCache>
            </c:strRef>
          </c:tx>
          <c:spPr>
            <a:solidFill>
              <a:srgbClr val="0070C0"/>
            </a:solidFill>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Sheet1!$D$36:$E$36</c:f>
              <c:strCache>
                <c:ptCount val="2"/>
                <c:pt idx="0">
                  <c:v>财政拨款收入</c:v>
                </c:pt>
                <c:pt idx="1">
                  <c:v>财政拨款支出</c:v>
                </c:pt>
              </c:strCache>
            </c:strRef>
          </c:cat>
          <c:val>
            <c:numRef>
              <c:f>Sheet1!$D$38:$E$38</c:f>
              <c:numCache>
                <c:formatCode>General</c:formatCode>
                <c:ptCount val="2"/>
                <c:pt idx="0">
                  <c:v>4285.12</c:v>
                </c:pt>
                <c:pt idx="1">
                  <c:v>1966.57</c:v>
                </c:pt>
              </c:numCache>
            </c:numRef>
          </c:val>
        </c:ser>
        <c:dLbls>
          <c:showLegendKey val="0"/>
          <c:showVal val="1"/>
          <c:showCatName val="0"/>
          <c:showSerName val="0"/>
          <c:showPercent val="0"/>
          <c:showBubbleSize val="0"/>
        </c:dLbls>
        <c:gapWidth val="75"/>
        <c:axId val="160770688"/>
        <c:axId val="160776576"/>
      </c:barChart>
      <c:catAx>
        <c:axId val="16077068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0776576"/>
        <c:crosses val="autoZero"/>
        <c:auto val="1"/>
        <c:lblAlgn val="ctr"/>
        <c:lblOffset val="100"/>
        <c:noMultiLvlLbl val="0"/>
      </c:catAx>
      <c:valAx>
        <c:axId val="16077657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0770688"/>
        <c:crosses val="autoZero"/>
        <c:crossBetween val="between"/>
      </c:valAx>
    </c:plotArea>
    <c:legend>
      <c:legendPos val="b"/>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Sheet1!$C$29</c:f>
              <c:strCache>
                <c:ptCount val="1"/>
                <c:pt idx="0">
                  <c:v>年初预算数</c:v>
                </c:pt>
              </c:strCache>
            </c:strRef>
          </c:tx>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Sheet1!$D$28:$G$28</c:f>
              <c:strCache>
                <c:ptCount val="4"/>
                <c:pt idx="0">
                  <c:v>一般公共预算收入</c:v>
                </c:pt>
                <c:pt idx="1">
                  <c:v>一般公共预算支出</c:v>
                </c:pt>
                <c:pt idx="2">
                  <c:v>政府性基金收入</c:v>
                </c:pt>
                <c:pt idx="3">
                  <c:v>政府性基金支出</c:v>
                </c:pt>
              </c:strCache>
            </c:strRef>
          </c:cat>
          <c:val>
            <c:numRef>
              <c:f>Sheet1!$D$29:$G$29</c:f>
              <c:numCache>
                <c:formatCode>General</c:formatCode>
                <c:ptCount val="4"/>
                <c:pt idx="0">
                  <c:v>1036.01</c:v>
                </c:pt>
                <c:pt idx="1">
                  <c:v>1036.01</c:v>
                </c:pt>
                <c:pt idx="2">
                  <c:v>47</c:v>
                </c:pt>
                <c:pt idx="3">
                  <c:v>47</c:v>
                </c:pt>
              </c:numCache>
            </c:numRef>
          </c:val>
        </c:ser>
        <c:ser>
          <c:idx val="1"/>
          <c:order val="1"/>
          <c:tx>
            <c:strRef>
              <c:f>Sheet1!$C$30</c:f>
              <c:strCache>
                <c:ptCount val="1"/>
                <c:pt idx="0">
                  <c:v>决算数</c:v>
                </c:pt>
              </c:strCache>
            </c:strRef>
          </c:tx>
          <c:spPr>
            <a:solidFill>
              <a:srgbClr val="0070C0"/>
            </a:solidFill>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Sheet1!$D$28:$G$28</c:f>
              <c:strCache>
                <c:ptCount val="4"/>
                <c:pt idx="0">
                  <c:v>一般公共预算收入</c:v>
                </c:pt>
                <c:pt idx="1">
                  <c:v>一般公共预算支出</c:v>
                </c:pt>
                <c:pt idx="2">
                  <c:v>政府性基金收入</c:v>
                </c:pt>
                <c:pt idx="3">
                  <c:v>政府性基金支出</c:v>
                </c:pt>
              </c:strCache>
            </c:strRef>
          </c:cat>
          <c:val>
            <c:numRef>
              <c:f>Sheet1!$D$30:$G$30</c:f>
              <c:numCache>
                <c:formatCode>General</c:formatCode>
                <c:ptCount val="4"/>
                <c:pt idx="0">
                  <c:v>894.32</c:v>
                </c:pt>
                <c:pt idx="1">
                  <c:v>795.47</c:v>
                </c:pt>
                <c:pt idx="2">
                  <c:v>3390.8</c:v>
                </c:pt>
                <c:pt idx="3">
                  <c:v>1171.1</c:v>
                </c:pt>
              </c:numCache>
            </c:numRef>
          </c:val>
        </c:ser>
        <c:dLbls>
          <c:showLegendKey val="0"/>
          <c:showVal val="1"/>
          <c:showCatName val="0"/>
          <c:showSerName val="0"/>
          <c:showPercent val="0"/>
          <c:showBubbleSize val="0"/>
        </c:dLbls>
        <c:gapWidth val="75"/>
        <c:axId val="160798592"/>
        <c:axId val="160800128"/>
      </c:barChart>
      <c:catAx>
        <c:axId val="16079859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0800128"/>
        <c:crosses val="autoZero"/>
        <c:auto val="1"/>
        <c:lblAlgn val="ctr"/>
        <c:lblOffset val="100"/>
        <c:noMultiLvlLbl val="0"/>
      </c:catAx>
      <c:valAx>
        <c:axId val="16080012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60798592"/>
        <c:crosses val="autoZero"/>
        <c:crossBetween val="between"/>
      </c:valAx>
    </c:plotArea>
    <c:legend>
      <c:legendPos val="b"/>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dPt>
          <c:dPt>
            <c:idx val="1"/>
            <c:bubble3D val="0"/>
          </c:dPt>
          <c:dPt>
            <c:idx val="2"/>
            <c:bubble3D val="0"/>
            <c:spPr>
              <a:solidFill>
                <a:srgbClr val="0070C0"/>
              </a:solidFill>
            </c:spPr>
          </c:dPt>
          <c:dPt>
            <c:idx val="3"/>
            <c:bubble3D val="0"/>
            <c:spPr>
              <a:solidFill>
                <a:srgbClr val="C00000"/>
              </a:solidFill>
            </c:spPr>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Sheet1!$E$42:$E$45</c:f>
              <c:strCache>
                <c:ptCount val="4"/>
                <c:pt idx="0">
                  <c:v>文化体育与传媒支出</c:v>
                </c:pt>
                <c:pt idx="1">
                  <c:v>社会保障和就业支出</c:v>
                </c:pt>
                <c:pt idx="2">
                  <c:v>医疗卫生与计划生育支出</c:v>
                </c:pt>
                <c:pt idx="3">
                  <c:v>其他支出</c:v>
                </c:pt>
              </c:strCache>
            </c:strRef>
          </c:cat>
          <c:val>
            <c:numRef>
              <c:f>Sheet1!$F$42:$F$45</c:f>
              <c:numCache>
                <c:formatCode>General</c:formatCode>
                <c:ptCount val="4"/>
                <c:pt idx="0">
                  <c:v>791.42</c:v>
                </c:pt>
                <c:pt idx="1">
                  <c:v>7.05</c:v>
                </c:pt>
                <c:pt idx="2">
                  <c:v>1000</c:v>
                </c:pt>
                <c:pt idx="3">
                  <c:v>168.1</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117"/>
    <customShpInfo spid="_x0000_s1113"/>
    <customShpInfo spid="_x0000_s1082"/>
    <customShpInfo spid="_x0000_s1075"/>
    <customShpInfo spid="_x0000_s1074"/>
    <customShpInfo spid="_x0000_s1073"/>
    <customShpInfo spid="_x0000_s103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FB98169-FB65-41E4-98BB-C43151B19964}">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35</Pages>
  <Words>2361</Words>
  <Characters>13462</Characters>
  <Lines>112</Lines>
  <Paragraphs>31</Paragraphs>
  <TotalTime>2990</TotalTime>
  <ScaleCrop>false</ScaleCrop>
  <LinksUpToDate>false</LinksUpToDate>
  <CharactersWithSpaces>15792</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2019-09-04T03:39:00Z</dcterms:created>
  <dc:creator>User</dc:creator>
  <cp:lastModifiedBy>Administrator</cp:lastModifiedBy>
  <cp:lastPrinted>2019-08-02T01:01:00Z</cp:lastPrinted>
  <dcterms:modified xsi:type="dcterms:W3CDTF">2024-01-03T07:50:18Z</dcterms:modified>
  <dc:subject>石家庄市xxx部门</dc:subject>
  <dc:title>2017年度部门决算</dc:title>
  <cp:revision>60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