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g">
            <w:drawing>
              <wp:anchor distT="0" distB="0" distL="114300" distR="114300" simplePos="0" relativeHeight="251702272" behindDoc="1" locked="0" layoutInCell="1" allowOverlap="1">
                <wp:simplePos x="0" y="0"/>
                <wp:positionH relativeFrom="column">
                  <wp:posOffset>4986655</wp:posOffset>
                </wp:positionH>
                <wp:positionV relativeFrom="paragraph">
                  <wp:posOffset>-27305</wp:posOffset>
                </wp:positionV>
                <wp:extent cx="7623175" cy="3765550"/>
                <wp:effectExtent l="0" t="0" r="15875" b="6350"/>
                <wp:wrapNone/>
                <wp:docPr id="20" name="组合 4"/>
                <wp:cNvGraphicFramePr/>
                <a:graphic xmlns:a="http://schemas.openxmlformats.org/drawingml/2006/main">
                  <a:graphicData uri="http://schemas.microsoft.com/office/word/2010/wordprocessingGroup">
                    <wpg:wgp>
                      <wpg:cNvGrpSpPr/>
                      <wpg:grpSpPr>
                        <a:xfrm>
                          <a:off x="-31750" y="0"/>
                          <a:ext cx="7623175" cy="3765295"/>
                          <a:chOff x="13622" y="283"/>
                          <a:chExt cx="12005" cy="6191"/>
                        </a:xfrm>
                        <a:effectLst/>
                      </wpg:grpSpPr>
                      <wps:wsp>
                        <wps:cNvPr id="21"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22" name="文本框 10"/>
                        <wps:cNvSpPr txBox="1"/>
                        <wps:spPr>
                          <a:xfrm>
                            <a:off x="17229" y="5021"/>
                            <a:ext cx="8083" cy="1453"/>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4" o:spid="_x0000_s1026" o:spt="203" style="position:absolute;left:0pt;margin-left:392.65pt;margin-top:-2.15pt;height:296.5pt;width:600.25pt;z-index:-251614208;mso-width-relative:page;mso-height-relative:page;" coordorigin="13622,283" coordsize="12005,6191" o:gfxdata="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tYVsQ9sAAAALAQAA&#10;DwAAAAAAAAABACAAAAAiAAAAZHJzL2Rvd25yZXYueG1sUEsBAhQAFAAAAAgAh07iQCg3XBHBAgAA&#10;hgYAAA4AAAAAAAAAAQAgAAAAKgEAAGRycy9lMm9Eb2MueG1sUEsFBgAAAAAGAAYAWQEAAF0GAAAA&#10;AA==&#10;">
                <o:lock v:ext="edit" aspectratio="f"/>
                <v:rect id="矩形 5" o:spid="_x0000_s1026" o:spt="1" style="position:absolute;left:13622;top:283;height:6170;width:12005;v-text-anchor:middle;" fillcolor="#FDBC11" filled="t" stroked="f" coordsize="21600,21600" o:gfxdata="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KN1W74A&#10;AADb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文本框 10" o:spid="_x0000_s1026" o:spt="202" type="#_x0000_t202" style="position:absolute;left:17229;top:5021;height:1453;width:8083;" filled="f" stroked="f" coordsize="21600,21600" o:gfxdata="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ELFZr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KL2WSzZAAAA&#10;DgEAAA8AAAAAAAAAAQAgAAAAIgAAAGRycy9kb3ducmV2LnhtbFBLAQIUABQAAAAIAIdO4kDj9+V7&#10;qgEAADcDAAAOAAAAAAAAAAEAIAAAACgBAABkcnMvZTJvRG9jLnhtbFBLBQYAAAAABgAGAFkBAABE&#10;BQ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bJc57ZAAAACwEA&#10;AA8AAAAAAAAAAQAgAAAAIgAAAGRycy9kb3ducmV2LnhtbFBLAQIUABQAAAAIAIdO4kDEc0xJ4AEA&#10;AKMDAAAOAAAAAAAAAAEAIAAAACgBAABkcnMvZTJvRG9jLnhtbFBLBQYAAAAABgAGAFkBAAB6BQAA&#10;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GpVqbnZAAAA&#10;CgEAAA8AAAAAAAAAAQAgAAAAIgAAAGRycy9kb3ducmV2LnhtbFBLAQIUABQAAAAIAIdO4kA98hta&#10;qgEAACoDAAAOAAAAAAAAAAEAIAAAACgBAABkcnMvZTJvRG9jLnhtbFBLBQYAAAAABgAGAFkBAABE&#10;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DQKGC7YAAAACwEAAA8AAAAAAAAAAQAgAAAAIgAAAGRycy9kb3ducmV2LnhtbFBLAQIUABQA&#10;AAAIAIdO4kAMKIs+8AEAAK8DAAAOAAAAAAAAAAEAIAAAACcBAABkcnMvZTJvRG9jLnhtbFBLBQYA&#10;AAAABgAGAFkBAACJ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4"/>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4"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NNcnyXaAAAADAEAAA8AAAAA&#10;AAAAAQAgAAAAIgAAAGRycy9kb3ducmV2LnhtbFBLAQIUABQAAAAIAIdO4kBciVNphAIAANwGAAAO&#10;AAAAAAAAAAEAIAAAACkBAABkcnMvZTJvRG9jLnhtbFBLBQYAAAAABgAGAFkBAAAf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137160</wp:posOffset>
                </wp:positionV>
                <wp:extent cx="7623175" cy="1534160"/>
                <wp:effectExtent l="0" t="0" r="15875" b="0"/>
                <wp:wrapNone/>
                <wp:docPr id="4" name="组合 11"/>
                <wp:cNvGraphicFramePr/>
                <a:graphic xmlns:a="http://schemas.openxmlformats.org/drawingml/2006/main">
                  <a:graphicData uri="http://schemas.microsoft.com/office/word/2010/wordprocessingGroup">
                    <wpg:wgp>
                      <wpg:cNvGrpSpPr/>
                      <wpg:grpSpPr>
                        <a:xfrm>
                          <a:off x="0" y="0"/>
                          <a:ext cx="7623175" cy="1534031"/>
                          <a:chOff x="13622" y="283"/>
                          <a:chExt cx="12005" cy="11180"/>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1" o:spid="_x0000_s1026" o:spt="203" style="position:absolute;left:0pt;margin-left:389.45pt;margin-top:10.8pt;height:120.8pt;width:600.25pt;z-index:-251649024;mso-width-relative:page;mso-height-relative:page;" coordorigin="13622,283" coordsize="12005,11180" o:gfxdata="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cYlBUNwAAAAL&#10;AQAADwAAAAAAAAABACAAAAAiAAAAZHJzL2Rvd25yZXYueG1sUEsBAhQAFAAAAAgAh07iQGhoULDD&#10;AgAAgQYAAA4AAAAAAAAAAQAgAAAAKwEAAGRycy9lMm9Eb2MueG1sUEsFBgAAAAAGAAYAWQEAAGAG&#10;A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CWZBfR2wAAAAwBAAAPAAAAAAAAAAEAIAAA&#10;ACIAAABkcnMvZG93bnJldi54bWxQSwECFAAUAAAACACHTuJAcMDgn5cBAAAdAwAADgAAAAAAAAAB&#10;ACAAAAAqAQAAZHJzL2Uyb0RvYy54bWxQSwUGAAAAAAYABgBZAQAAM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无极县市场监督管理局</w:t>
      </w:r>
    </w:p>
    <w:p>
      <w:pPr>
        <w:snapToGrid w:val="0"/>
        <w:jc w:val="center"/>
        <w:rPr>
          <w:rFonts w:ascii="黑体" w:hAnsi="Times New Roman" w:eastAsia="黑体" w:cs="Times New Roman"/>
          <w:sz w:val="48"/>
          <w:szCs w:val="48"/>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9"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H&#10;YTMp3AAAAA0BAAAPAAAAAAAAAAEAIAAAACIAAABkcnMvZG93bnJldi54bWxQSwECFAAUAAAACACH&#10;TuJAbN5oYCACAABOBAAADgAAAAAAAAABACAAAAArAQAAZHJzL2Uyb0RvYy54bWxQSwUGAAAAAAYA&#10;BgBZAQAAvQUAAAAA&#10;">
                <v:fill type="pattern" on="t" color2="#FFFFFF" focussize="0,0" r:id="rId28"/>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部门职责</w:t>
      </w:r>
    </w:p>
    <w:p>
      <w:pPr>
        <w:ind w:firstLine="660"/>
        <w:rPr>
          <w:rFonts w:ascii="楷体" w:hAnsi="楷体" w:eastAsia="楷体"/>
          <w:sz w:val="32"/>
          <w:szCs w:val="32"/>
        </w:rPr>
      </w:pPr>
      <w:r>
        <w:rPr>
          <w:rFonts w:hint="eastAsia" w:ascii="楷体" w:hAnsi="楷体" w:eastAsia="楷体"/>
          <w:sz w:val="32"/>
          <w:szCs w:val="32"/>
        </w:rPr>
        <w:t>（一）部门职责</w:t>
      </w:r>
    </w:p>
    <w:p>
      <w:pPr>
        <w:ind w:firstLine="660"/>
        <w:rPr>
          <w:rFonts w:ascii="仿宋" w:hAnsi="仿宋" w:eastAsia="仿宋"/>
          <w:sz w:val="32"/>
          <w:szCs w:val="32"/>
        </w:rPr>
      </w:pPr>
      <w:r>
        <w:rPr>
          <w:rFonts w:hint="eastAsia" w:ascii="仿宋" w:hAnsi="仿宋" w:eastAsia="仿宋"/>
          <w:sz w:val="32"/>
          <w:szCs w:val="32"/>
        </w:rPr>
        <w:t>1、依法负责全县各类市场监督管理和行政执法工作。贯彻执行国家和省关于工商行政管理的方针政策和法律法规;落实省、市工商行政管理局工作部署;拟定全县工商行政管理措施办法。</w:t>
      </w:r>
    </w:p>
    <w:p>
      <w:pPr>
        <w:ind w:firstLine="660"/>
        <w:rPr>
          <w:rFonts w:ascii="仿宋" w:hAnsi="仿宋" w:eastAsia="仿宋"/>
          <w:sz w:val="32"/>
          <w:szCs w:val="32"/>
        </w:rPr>
      </w:pPr>
      <w:r>
        <w:rPr>
          <w:rFonts w:hint="eastAsia" w:ascii="仿宋" w:hAnsi="仿宋" w:eastAsia="仿宋"/>
          <w:sz w:val="32"/>
          <w:szCs w:val="32"/>
        </w:rPr>
        <w:t>2、按照业务权限负责全县各类企业、农民专业合作社和从事经营活动的单位、个人以及外国（地区）企业驻辖区代表机构等市场主体的事中事后监督管理。在县政府领导下，按照职责分工依法查处取缔无照经营。负责工商行政管理业务信息库建设。</w:t>
      </w:r>
    </w:p>
    <w:p>
      <w:pPr>
        <w:ind w:firstLine="660"/>
        <w:rPr>
          <w:rFonts w:ascii="仿宋" w:hAnsi="仿宋" w:eastAsia="仿宋"/>
          <w:sz w:val="32"/>
          <w:szCs w:val="32"/>
        </w:rPr>
      </w:pPr>
      <w:r>
        <w:rPr>
          <w:rFonts w:hint="eastAsia" w:ascii="仿宋" w:hAnsi="仿宋" w:eastAsia="仿宋"/>
          <w:sz w:val="32"/>
          <w:szCs w:val="32"/>
        </w:rPr>
        <w:t>3、负责依法规范和维护辖区各类市场经营秩序，监督管理市场交易行为和网络商品交易及有关服务的行为。</w:t>
      </w:r>
    </w:p>
    <w:p>
      <w:pPr>
        <w:ind w:firstLine="660"/>
        <w:rPr>
          <w:rFonts w:ascii="仿宋" w:hAnsi="仿宋" w:eastAsia="仿宋"/>
          <w:sz w:val="32"/>
          <w:szCs w:val="32"/>
        </w:rPr>
      </w:pPr>
      <w:r>
        <w:rPr>
          <w:rFonts w:hint="eastAsia" w:ascii="仿宋" w:hAnsi="仿宋" w:eastAsia="仿宋"/>
          <w:sz w:val="32"/>
          <w:szCs w:val="32"/>
        </w:rPr>
        <w:t>4、在县政府的领导下，监督管理流通领域商品质量，组织开展有关服务领域消费维权工作，按分工查处假冒伪劣等违法行为，指导消费者咨询、申诉、举报受理、处理和网络体系建设等工作，保护消费者、经营者合法权益。</w:t>
      </w:r>
    </w:p>
    <w:p>
      <w:pPr>
        <w:ind w:firstLine="660"/>
        <w:rPr>
          <w:rFonts w:ascii="仿宋" w:hAnsi="仿宋" w:eastAsia="仿宋"/>
          <w:sz w:val="32"/>
          <w:szCs w:val="32"/>
        </w:rPr>
      </w:pPr>
      <w:r>
        <w:rPr>
          <w:rFonts w:hint="eastAsia" w:ascii="仿宋" w:hAnsi="仿宋" w:eastAsia="仿宋"/>
          <w:sz w:val="32"/>
          <w:szCs w:val="32"/>
        </w:rPr>
        <w:t>5、在县政府领导下，按照职责分工依法查处违法直销和传销行为，依法监督管理直销企业和直销员及其直销活动。</w:t>
      </w:r>
    </w:p>
    <w:p>
      <w:pPr>
        <w:ind w:firstLine="660"/>
        <w:rPr>
          <w:rFonts w:ascii="仿宋" w:hAnsi="仿宋" w:eastAsia="仿宋"/>
          <w:sz w:val="32"/>
          <w:szCs w:val="32"/>
        </w:rPr>
      </w:pPr>
      <w:r>
        <w:rPr>
          <w:rFonts w:hint="eastAsia" w:ascii="仿宋" w:hAnsi="仿宋" w:eastAsia="仿宋"/>
          <w:sz w:val="32"/>
          <w:szCs w:val="32"/>
        </w:rPr>
        <w:t>6、根据授权依法负责垄断协议、滥用市场支配地位、滥用行政权力排除限制竞争方面的反垄断执法工作（价格垄断行为除外）。依法查处不正当竞争、商业贿赂、走私贩私等经济违法行为。</w:t>
      </w:r>
    </w:p>
    <w:p>
      <w:pPr>
        <w:ind w:firstLine="660"/>
        <w:rPr>
          <w:rFonts w:ascii="仿宋" w:hAnsi="仿宋" w:eastAsia="仿宋"/>
          <w:sz w:val="32"/>
          <w:szCs w:val="32"/>
        </w:rPr>
      </w:pPr>
      <w:r>
        <w:rPr>
          <w:rFonts w:hint="eastAsia" w:ascii="仿宋" w:hAnsi="仿宋" w:eastAsia="仿宋"/>
          <w:sz w:val="32"/>
          <w:szCs w:val="32"/>
        </w:rPr>
        <w:t>7、依法监督管理经纪人、经纪机构及经纪活动。</w:t>
      </w:r>
    </w:p>
    <w:p>
      <w:pPr>
        <w:ind w:firstLine="660"/>
        <w:rPr>
          <w:rFonts w:ascii="仿宋" w:hAnsi="仿宋" w:eastAsia="仿宋"/>
          <w:sz w:val="32"/>
          <w:szCs w:val="32"/>
        </w:rPr>
      </w:pPr>
      <w:r>
        <w:rPr>
          <w:rFonts w:hint="eastAsia" w:ascii="仿宋" w:hAnsi="仿宋" w:eastAsia="仿宋"/>
          <w:sz w:val="32"/>
          <w:szCs w:val="32"/>
        </w:rPr>
        <w:t>8、依法实施合同行政监督管理，负责管理动产抵押物登记，组织监督管理拍卖行为，依法查处合同欺诈等违法行为。</w:t>
      </w:r>
    </w:p>
    <w:p>
      <w:pPr>
        <w:ind w:firstLine="660"/>
        <w:rPr>
          <w:rFonts w:ascii="仿宋" w:hAnsi="仿宋" w:eastAsia="仿宋"/>
          <w:sz w:val="32"/>
          <w:szCs w:val="32"/>
        </w:rPr>
      </w:pPr>
      <w:r>
        <w:rPr>
          <w:rFonts w:hint="eastAsia" w:ascii="仿宋" w:hAnsi="仿宋" w:eastAsia="仿宋"/>
          <w:sz w:val="32"/>
          <w:szCs w:val="32"/>
        </w:rPr>
        <w:t>9、指导广告业发展，负责广告活动的监督管理工作。</w:t>
      </w:r>
    </w:p>
    <w:p>
      <w:pPr>
        <w:ind w:firstLine="660"/>
        <w:rPr>
          <w:rFonts w:ascii="仿宋" w:hAnsi="仿宋" w:eastAsia="仿宋"/>
          <w:sz w:val="32"/>
          <w:szCs w:val="32"/>
        </w:rPr>
      </w:pPr>
      <w:r>
        <w:rPr>
          <w:rFonts w:hint="eastAsia" w:ascii="仿宋" w:hAnsi="仿宋" w:eastAsia="仿宋"/>
          <w:sz w:val="32"/>
          <w:szCs w:val="32"/>
        </w:rPr>
        <w:t>10、组织指导商标管理工作，依法保护商标专用权和查处商标侵权行为，负责驰名商标、著名商标的培堉推荐保护工作。负责特殊标志、官方标志的保护。</w:t>
      </w:r>
    </w:p>
    <w:p>
      <w:pPr>
        <w:ind w:firstLine="660"/>
        <w:rPr>
          <w:rFonts w:ascii="仿宋" w:hAnsi="仿宋" w:eastAsia="仿宋"/>
          <w:sz w:val="32"/>
          <w:szCs w:val="32"/>
        </w:rPr>
      </w:pPr>
      <w:r>
        <w:rPr>
          <w:rFonts w:hint="eastAsia" w:ascii="仿宋" w:hAnsi="仿宋" w:eastAsia="仿宋"/>
          <w:sz w:val="32"/>
          <w:szCs w:val="32"/>
        </w:rPr>
        <w:t>11、组织指导企业、个体工商户、商品交易市场信用分类管理，研究分析并依法发布市场主体登记注册基础信息等相关信息，为政府决策和社会公众提供信息服务。</w:t>
      </w:r>
    </w:p>
    <w:p>
      <w:pPr>
        <w:ind w:firstLine="660"/>
        <w:rPr>
          <w:rFonts w:ascii="仿宋" w:hAnsi="仿宋" w:eastAsia="仿宋"/>
          <w:sz w:val="32"/>
          <w:szCs w:val="32"/>
        </w:rPr>
      </w:pPr>
      <w:r>
        <w:rPr>
          <w:rFonts w:hint="eastAsia" w:ascii="仿宋" w:hAnsi="仿宋" w:eastAsia="仿宋"/>
          <w:sz w:val="32"/>
          <w:szCs w:val="32"/>
        </w:rPr>
        <w:t>12、负责个体工商户、私营企业经营行为的服务和监督管理。</w:t>
      </w:r>
    </w:p>
    <w:p>
      <w:pPr>
        <w:ind w:firstLine="660"/>
        <w:rPr>
          <w:rFonts w:ascii="仿宋" w:hAnsi="仿宋" w:eastAsia="仿宋"/>
          <w:sz w:val="32"/>
          <w:szCs w:val="32"/>
        </w:rPr>
      </w:pPr>
      <w:r>
        <w:rPr>
          <w:rFonts w:hint="eastAsia" w:ascii="仿宋" w:hAnsi="仿宋" w:eastAsia="仿宋"/>
          <w:sz w:val="32"/>
          <w:szCs w:val="32"/>
        </w:rPr>
        <w:t>13、按照规定管理所辖机关及直属单位的人事、财务、审计、监察、离退休干部、基层队伍建设、培训工作。</w:t>
      </w:r>
    </w:p>
    <w:p>
      <w:pPr>
        <w:ind w:firstLine="660"/>
        <w:rPr>
          <w:rFonts w:ascii="仿宋" w:hAnsi="仿宋" w:eastAsia="仿宋"/>
          <w:sz w:val="32"/>
          <w:szCs w:val="32"/>
        </w:rPr>
      </w:pPr>
      <w:r>
        <w:rPr>
          <w:rFonts w:hint="eastAsia" w:ascii="仿宋" w:hAnsi="仿宋" w:eastAsia="仿宋"/>
          <w:sz w:val="32"/>
          <w:szCs w:val="32"/>
        </w:rPr>
        <w:t>14组织指导县消费者协会、私营企业协会、个体劳动者协会、无极县维修行业服务中心等直属社团的工作。</w:t>
      </w:r>
    </w:p>
    <w:p>
      <w:pPr>
        <w:ind w:firstLine="660"/>
        <w:rPr>
          <w:rFonts w:ascii="仿宋" w:hAnsi="仿宋" w:eastAsia="仿宋"/>
          <w:sz w:val="32"/>
          <w:szCs w:val="32"/>
        </w:rPr>
      </w:pPr>
      <w:r>
        <w:rPr>
          <w:rFonts w:hint="eastAsia" w:ascii="仿宋" w:hAnsi="仿宋" w:eastAsia="仿宋"/>
          <w:sz w:val="32"/>
          <w:szCs w:val="32"/>
        </w:rPr>
        <w:t>15、承办上级交办的其他事项。</w:t>
      </w:r>
    </w:p>
    <w:p>
      <w:pPr>
        <w:ind w:firstLine="640" w:firstLineChars="200"/>
        <w:rPr>
          <w:rFonts w:ascii="仿宋_GB2312" w:hAnsi="仿宋" w:eastAsia="仿宋_GB2312"/>
          <w:sz w:val="32"/>
          <w:szCs w:val="32"/>
        </w:rPr>
      </w:pPr>
      <w:r>
        <w:rPr>
          <w:rFonts w:hint="eastAsia" w:ascii="仿宋_GB2312" w:hAnsi="仿宋" w:eastAsia="仿宋_GB2312"/>
          <w:sz w:val="32"/>
          <w:szCs w:val="32"/>
        </w:rPr>
        <w:t>16、贯彻执行国家、省、市食品（含食品添加剂、保健食品、酒类、调味品，下同）安全、药品（含中药、民族药，下同）、医疗器械、化妆品监督管理的法律法规和方针政策。参与起草相关地方性法规和规章草案，推动建立落实食品药品安全企业主体责任、地方人民政府负总责的机制，并组织实施和监督检查，着力防范区域性、系统性食品药品安全风险。</w:t>
      </w:r>
    </w:p>
    <w:p>
      <w:pPr>
        <w:ind w:firstLine="640" w:firstLineChars="200"/>
        <w:rPr>
          <w:rFonts w:ascii="仿宋_GB2312" w:hAnsi="仿宋" w:eastAsia="仿宋_GB2312"/>
          <w:sz w:val="32"/>
          <w:szCs w:val="32"/>
        </w:rPr>
      </w:pPr>
      <w:r>
        <w:rPr>
          <w:rFonts w:hint="eastAsia" w:ascii="仿宋_GB2312" w:hAnsi="仿宋" w:eastAsia="仿宋_GB2312"/>
          <w:sz w:val="32"/>
          <w:szCs w:val="32"/>
        </w:rPr>
        <w:t>17、承担食品生产、流通、消费环节行政许可、监督管理工作，负责制定食品行政许可的实施办法并监督实施。建立完善食品安全隐患排查治理机制，制定食品安全检查年度计划、重大整顿治理方案并组织落实。</w:t>
      </w:r>
    </w:p>
    <w:p>
      <w:pPr>
        <w:ind w:firstLine="640" w:firstLineChars="200"/>
        <w:rPr>
          <w:rFonts w:ascii="仿宋_GB2312" w:hAnsi="仿宋" w:eastAsia="仿宋_GB2312"/>
          <w:sz w:val="32"/>
          <w:szCs w:val="32"/>
        </w:rPr>
      </w:pPr>
      <w:r>
        <w:rPr>
          <w:rFonts w:hint="eastAsia" w:ascii="仿宋_GB2312" w:hAnsi="仿宋" w:eastAsia="仿宋_GB2312"/>
          <w:sz w:val="32"/>
          <w:szCs w:val="32"/>
        </w:rPr>
        <w:t>18、负责药品、医疗器械行政许可、监督管理，监督实施药品和医疗器械的研制、生产、流通、使用方面的质量管理规范。组织开展药品不良反应、药物滥用监测、医疗器械不良事件工作。配合有关部门实施国家基本药物制度。</w:t>
      </w:r>
    </w:p>
    <w:p>
      <w:pPr>
        <w:ind w:firstLine="640" w:firstLineChars="200"/>
        <w:rPr>
          <w:rFonts w:ascii="仿宋_GB2312" w:hAnsi="仿宋" w:eastAsia="仿宋_GB2312"/>
          <w:sz w:val="32"/>
          <w:szCs w:val="32"/>
        </w:rPr>
      </w:pPr>
      <w:r>
        <w:rPr>
          <w:rFonts w:hint="eastAsia" w:ascii="仿宋_GB2312" w:hAnsi="仿宋" w:eastAsia="仿宋_GB2312"/>
          <w:sz w:val="32"/>
          <w:szCs w:val="32"/>
        </w:rPr>
        <w:t>19、监督实施化妆品安全管理规范，负责化妆品的监督管理和不良反应监测工作。</w:t>
      </w:r>
    </w:p>
    <w:p>
      <w:pPr>
        <w:ind w:firstLine="640" w:firstLineChars="200"/>
        <w:rPr>
          <w:rFonts w:ascii="仿宋_GB2312" w:hAnsi="仿宋" w:eastAsia="仿宋_GB2312"/>
          <w:sz w:val="32"/>
          <w:szCs w:val="32"/>
        </w:rPr>
      </w:pPr>
      <w:r>
        <w:rPr>
          <w:rFonts w:hint="eastAsia" w:ascii="仿宋_GB2312" w:hAnsi="仿宋" w:eastAsia="仿宋_GB2312"/>
          <w:sz w:val="32"/>
          <w:szCs w:val="32"/>
        </w:rPr>
        <w:t>20、监督实施中药材生产质量管理规范、中药饮片炮制规范。依法实施重要品种保护制度。</w:t>
      </w:r>
    </w:p>
    <w:p>
      <w:pPr>
        <w:ind w:firstLine="640" w:firstLineChars="200"/>
        <w:rPr>
          <w:rFonts w:ascii="仿宋_GB2312" w:hAnsi="仿宋" w:eastAsia="仿宋_GB2312"/>
          <w:sz w:val="32"/>
          <w:szCs w:val="32"/>
        </w:rPr>
      </w:pPr>
      <w:r>
        <w:rPr>
          <w:rFonts w:hint="eastAsia" w:ascii="仿宋_GB2312" w:hAnsi="仿宋" w:eastAsia="仿宋_GB2312"/>
          <w:sz w:val="32"/>
          <w:szCs w:val="32"/>
        </w:rPr>
        <w:t>21、负责制定食品、药品、医疗器械、化妆品监督管理的稽查制度并组织实施，组织查处违法行为。监督实施问题产品召回和处置制度。</w:t>
      </w:r>
    </w:p>
    <w:p>
      <w:pPr>
        <w:ind w:firstLine="640" w:firstLineChars="200"/>
        <w:rPr>
          <w:rFonts w:ascii="仿宋_GB2312" w:hAnsi="仿宋" w:eastAsia="仿宋_GB2312"/>
          <w:sz w:val="32"/>
          <w:szCs w:val="32"/>
        </w:rPr>
      </w:pPr>
      <w:r>
        <w:rPr>
          <w:rFonts w:hint="eastAsia" w:ascii="仿宋_GB2312" w:hAnsi="仿宋" w:eastAsia="仿宋_GB2312"/>
          <w:sz w:val="32"/>
          <w:szCs w:val="32"/>
        </w:rPr>
        <w:t>22、负责品药品安全事故应急体系建设，组织、指导食品药品安全事故应急处置和调查处理工作，监督事故查处落实情况。指导、监督全县食品药品监督管理工作，规范行政执法行为，推动完善行政执法与刑事司法衔接机制。</w:t>
      </w:r>
    </w:p>
    <w:p>
      <w:pPr>
        <w:ind w:firstLine="640" w:firstLineChars="200"/>
        <w:rPr>
          <w:rFonts w:ascii="仿宋_GB2312" w:hAnsi="仿宋" w:eastAsia="仿宋_GB2312"/>
          <w:sz w:val="32"/>
          <w:szCs w:val="32"/>
        </w:rPr>
      </w:pPr>
      <w:r>
        <w:rPr>
          <w:rFonts w:hint="eastAsia" w:ascii="仿宋_GB2312" w:hAnsi="仿宋" w:eastAsia="仿宋_GB2312"/>
          <w:sz w:val="32"/>
          <w:szCs w:val="32"/>
        </w:rPr>
        <w:t>23、负责建立食品、药品、医疗器械、化妆品安全信息公布制度和重大信息直报制度，发布食品、药品安全信息。</w:t>
      </w:r>
    </w:p>
    <w:p>
      <w:pPr>
        <w:ind w:firstLine="640" w:firstLineChars="200"/>
        <w:rPr>
          <w:rFonts w:ascii="仿宋_GB2312" w:hAnsi="仿宋" w:eastAsia="仿宋_GB2312"/>
          <w:sz w:val="32"/>
          <w:szCs w:val="32"/>
        </w:rPr>
      </w:pPr>
      <w:r>
        <w:rPr>
          <w:rFonts w:hint="eastAsia" w:ascii="仿宋_GB2312" w:hAnsi="仿宋" w:eastAsia="仿宋_GB2312"/>
          <w:sz w:val="32"/>
          <w:szCs w:val="32"/>
        </w:rPr>
        <w:t>24、负责制定食品药品安全科技发展规划并组织实施，推动食品药品检验检测体系、电子监管追溯体系、诚信体系和信息化建设。</w:t>
      </w:r>
    </w:p>
    <w:p>
      <w:pPr>
        <w:ind w:firstLine="640" w:firstLineChars="200"/>
        <w:rPr>
          <w:rFonts w:ascii="仿宋_GB2312" w:hAnsi="仿宋" w:eastAsia="仿宋_GB2312"/>
          <w:sz w:val="32"/>
          <w:szCs w:val="32"/>
        </w:rPr>
      </w:pPr>
      <w:r>
        <w:rPr>
          <w:rFonts w:hint="eastAsia" w:ascii="仿宋_GB2312" w:hAnsi="仿宋" w:eastAsia="仿宋_GB2312"/>
          <w:sz w:val="32"/>
          <w:szCs w:val="32"/>
        </w:rPr>
        <w:t>25、负责开展食品药品安全宣传、教育培训、交流与合作，按规定组织实施执业药师资格认定制度、食品药品等相关专业技术职务评审和从业人员职业资格准入制度。</w:t>
      </w:r>
    </w:p>
    <w:p>
      <w:pPr>
        <w:ind w:firstLine="640" w:firstLineChars="200"/>
        <w:rPr>
          <w:rFonts w:ascii="仿宋_GB2312" w:hAnsi="仿宋" w:eastAsia="仿宋_GB2312"/>
          <w:sz w:val="32"/>
          <w:szCs w:val="32"/>
        </w:rPr>
      </w:pPr>
      <w:r>
        <w:rPr>
          <w:rFonts w:hint="eastAsia" w:ascii="仿宋_GB2312" w:hAnsi="仿宋" w:eastAsia="仿宋_GB2312"/>
          <w:sz w:val="32"/>
          <w:szCs w:val="32"/>
        </w:rPr>
        <w:t>26、负责医疗器械一类产品注册证的核发工作，对医疗用毒性药品、麻醉药品、精神药品、药品类易制毒化学品和药源性兴奋剂时行监督管理;监督实施国家药品、直接接触药品的包装材料和容器、医疗机构制剂的法定标准。</w:t>
      </w:r>
    </w:p>
    <w:p>
      <w:pPr>
        <w:ind w:firstLine="640" w:firstLineChars="200"/>
        <w:rPr>
          <w:rFonts w:ascii="仿宋_GB2312" w:hAnsi="仿宋" w:eastAsia="仿宋_GB2312"/>
          <w:sz w:val="32"/>
          <w:szCs w:val="32"/>
        </w:rPr>
      </w:pPr>
      <w:r>
        <w:rPr>
          <w:rFonts w:hint="eastAsia" w:ascii="仿宋_GB2312" w:hAnsi="仿宋" w:eastAsia="仿宋_GB2312"/>
          <w:sz w:val="32"/>
          <w:szCs w:val="32"/>
        </w:rPr>
        <w:t>27、负责对药品、医疗器械、保健食品的广告进行监测。</w:t>
      </w:r>
    </w:p>
    <w:p>
      <w:pPr>
        <w:ind w:firstLine="640" w:firstLineChars="200"/>
        <w:rPr>
          <w:rFonts w:ascii="仿宋_GB2312" w:hAnsi="仿宋" w:eastAsia="仿宋_GB2312"/>
          <w:sz w:val="32"/>
          <w:szCs w:val="32"/>
        </w:rPr>
      </w:pPr>
      <w:r>
        <w:rPr>
          <w:rFonts w:hint="eastAsia" w:ascii="仿宋_GB2312" w:hAnsi="仿宋" w:eastAsia="仿宋_GB2312"/>
          <w:sz w:val="32"/>
          <w:szCs w:val="32"/>
        </w:rPr>
        <w:t>28、承担县人民政府食品安全委员会的日常工作。负责食品安全监督管理综合协调，推动健全协调联动机制。督促检查县政府和县直有关部门履行食品药品安全监督管理职责，并负责考核评价。</w:t>
      </w:r>
    </w:p>
    <w:p>
      <w:pPr>
        <w:ind w:firstLine="640" w:firstLineChars="200"/>
        <w:rPr>
          <w:rFonts w:ascii="仿宋_GB2312" w:hAnsi="仿宋" w:eastAsia="仿宋_GB2312"/>
          <w:sz w:val="32"/>
          <w:szCs w:val="32"/>
        </w:rPr>
      </w:pPr>
      <w:r>
        <w:rPr>
          <w:rFonts w:hint="eastAsia" w:ascii="仿宋_GB2312" w:hAnsi="仿宋" w:eastAsia="仿宋_GB2312"/>
          <w:sz w:val="32"/>
          <w:szCs w:val="32"/>
        </w:rPr>
        <w:t>29、承办县政府及县政府食品安全委员会交办的其他事项。</w:t>
      </w:r>
    </w:p>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无极县市场监督管理局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rro+T3gAAAA0BAAAPAAAAAAAAAAEAIAAAACIAAABkcnMvZG93bnJldi54bWxQSwEC&#10;FAAUAAAACACHTuJA1ZVcsScCAAArBAAADgAAAAAAAAABACAAAAAtAQAAZHJzL2Uyb0RvYy54bWxQ&#10;SwUGAAAAAAYABgBZAQAAxg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7"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9QfPi&#10;2gAAAAsBAAAPAAAAAAAAAAEAIAAAACIAAABkcnMvZG93bnJldi54bWxQSwECFAAUAAAACACHTuJA&#10;J4JrZh8CAABNBAAADgAAAAAAAAABACAAAAApAQAAZHJzL2Uyb0RvYy54bWxQSwUGAAAAAAYABgBZ&#10;AQAAugUAAAAA&#10;">
                <v:fill type="pattern" on="t" color2="#FFFFFF" focussize="0,0" r:id="rId28"/>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本部门2019年度收支总计（含结转和结余）2226.99万元。与2018年度决算相比，收支各增加375.17万元，增长16.84%，主要原因是单位合并人员增加。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本部门2019年度本年收入合计2226.99万元，其中：财政拨款收入2218.03万元，占99.59%，其他收入8.96万元，占0.41%；如图所示</w:t>
      </w:r>
    </w:p>
    <w:p>
      <w:pPr>
        <w:adjustRightInd w:val="0"/>
        <w:snapToGrid w:val="0"/>
        <w:spacing w:line="580" w:lineRule="exact"/>
        <w:ind w:firstLine="1920" w:firstLineChars="600"/>
        <w:rPr>
          <w:rFonts w:ascii="仿宋_GB2312" w:hAnsi="Times New Roman" w:eastAsia="仿宋_GB2312" w:cs="DengXian-Regular"/>
          <w:b/>
          <w:bCs/>
          <w:sz w:val="32"/>
          <w:szCs w:val="32"/>
        </w:rPr>
      </w:pPr>
      <w:r>
        <w:rPr>
          <w:sz w:val="32"/>
        </w:rPr>
        <mc:AlternateContent>
          <mc:Choice Requires="wps">
            <w:drawing>
              <wp:anchor distT="0" distB="0" distL="114300" distR="114300" simplePos="0" relativeHeight="251699200" behindDoc="0" locked="0" layoutInCell="1" allowOverlap="1">
                <wp:simplePos x="0" y="0"/>
                <wp:positionH relativeFrom="column">
                  <wp:posOffset>2788285</wp:posOffset>
                </wp:positionH>
                <wp:positionV relativeFrom="paragraph">
                  <wp:posOffset>149860</wp:posOffset>
                </wp:positionV>
                <wp:extent cx="783590" cy="338455"/>
                <wp:effectExtent l="0" t="0" r="0" b="0"/>
                <wp:wrapNone/>
                <wp:docPr id="17" name="文本框 24"/>
                <wp:cNvGraphicFramePr/>
                <a:graphic xmlns:a="http://schemas.openxmlformats.org/drawingml/2006/main">
                  <a:graphicData uri="http://schemas.microsoft.com/office/word/2010/wordprocessingShape">
                    <wps:wsp>
                      <wps:cNvSpPr txBox="1"/>
                      <wps:spPr>
                        <a:xfrm>
                          <a:off x="0" y="0"/>
                          <a:ext cx="783590" cy="338455"/>
                        </a:xfrm>
                        <a:prstGeom prst="rect">
                          <a:avLst/>
                        </a:prstGeom>
                        <a:noFill/>
                        <a:ln>
                          <a:noFill/>
                        </a:ln>
                      </wps:spPr>
                      <wps:txbx>
                        <w:txbxContent>
                          <w:p>
                            <w:r>
                              <w:rPr>
                                <w:rFonts w:hint="eastAsia"/>
                              </w:rPr>
                              <w:t>其他收入</w:t>
                            </w:r>
                          </w:p>
                        </w:txbxContent>
                      </wps:txbx>
                      <wps:bodyPr upright="1"/>
                    </wps:wsp>
                  </a:graphicData>
                </a:graphic>
              </wp:anchor>
            </w:drawing>
          </mc:Choice>
          <mc:Fallback>
            <w:pict>
              <v:shape id="文本框 24" o:spid="_x0000_s1026" o:spt="202" type="#_x0000_t202" style="position:absolute;left:0pt;margin-left:219.55pt;margin-top:11.8pt;height:26.65pt;width:61.7pt;z-index:251699200;mso-width-relative:page;mso-height-relative:page;" filled="f" stroked="f" coordsize="21600,21600" o:gfxdata="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Ffd6vvXAAAACQEAAA8AAAAAAAAAAQAgAAAAIgAAAGRycy9kb3du&#10;cmV2LnhtbFBLAQIUABQAAAAIAIdO4kAyU+PojgEAAAEDAAAOAAAAAAAAAAEAIAAAACYBAABkcnMv&#10;ZTJvRG9jLnhtbFBLBQYAAAAABgAGAFkBAAAmBQAAAAA=&#10;">
                <v:fill on="f" focussize="0,0"/>
                <v:stroke on="f"/>
                <v:imagedata o:title=""/>
                <o:lock v:ext="edit" aspectratio="f"/>
                <v:textbox>
                  <w:txbxContent>
                    <w:p>
                      <w:r>
                        <w:rPr>
                          <w:rFonts w:hint="eastAsia"/>
                        </w:rPr>
                        <w:t>其他收入</w:t>
                      </w:r>
                    </w:p>
                  </w:txbxContent>
                </v:textbox>
              </v:shape>
            </w:pict>
          </mc:Fallback>
        </mc:AlternateContent>
      </w:r>
      <w:r>
        <w:rPr>
          <w:rFonts w:hint="eastAsia" w:ascii="仿宋_GB2312" w:hAnsi="Times New Roman" w:eastAsia="仿宋_GB2312" w:cs="DengXian-Regular"/>
          <w:b/>
          <w:bCs/>
          <w:sz w:val="32"/>
          <w:szCs w:val="32"/>
        </w:rPr>
        <w:drawing>
          <wp:anchor distT="0" distB="0" distL="114300" distR="114300" simplePos="0" relativeHeight="251693056" behindDoc="0" locked="0" layoutInCell="1" allowOverlap="1">
            <wp:simplePos x="0" y="0"/>
            <wp:positionH relativeFrom="column">
              <wp:posOffset>403860</wp:posOffset>
            </wp:positionH>
            <wp:positionV relativeFrom="paragraph">
              <wp:posOffset>89535</wp:posOffset>
            </wp:positionV>
            <wp:extent cx="5556250" cy="4636135"/>
            <wp:effectExtent l="5080" t="4445" r="20320" b="762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8" w:firstLineChars="600"/>
        <w:rPr>
          <w:rFonts w:ascii="仿宋_GB2312" w:hAnsi="Times New Roman" w:eastAsia="仿宋_GB2312" w:cs="DengXian-Regular"/>
          <w:b/>
          <w:bCs/>
          <w:sz w:val="32"/>
          <w:szCs w:val="32"/>
        </w:rPr>
      </w:pPr>
    </w:p>
    <w:p>
      <w:pPr>
        <w:adjustRightInd w:val="0"/>
        <w:snapToGrid w:val="0"/>
        <w:spacing w:line="580" w:lineRule="exact"/>
        <w:ind w:firstLine="1920" w:firstLineChars="600"/>
        <w:rPr>
          <w:rFonts w:ascii="黑体" w:hAnsi="Calibri" w:eastAsia="黑体" w:cs="Times New Roman"/>
          <w:sz w:val="32"/>
          <w:szCs w:val="32"/>
        </w:rPr>
      </w:pPr>
      <w:r>
        <w:rPr>
          <w:sz w:val="32"/>
        </w:rPr>
        <mc:AlternateContent>
          <mc:Choice Requires="wps">
            <w:drawing>
              <wp:anchor distT="0" distB="0" distL="114300" distR="114300" simplePos="0" relativeHeight="251700224" behindDoc="0" locked="0" layoutInCell="1" allowOverlap="1">
                <wp:simplePos x="0" y="0"/>
                <wp:positionH relativeFrom="column">
                  <wp:posOffset>2565400</wp:posOffset>
                </wp:positionH>
                <wp:positionV relativeFrom="paragraph">
                  <wp:posOffset>2971165</wp:posOffset>
                </wp:positionV>
                <wp:extent cx="1555750" cy="359410"/>
                <wp:effectExtent l="0" t="0" r="0" b="0"/>
                <wp:wrapNone/>
                <wp:docPr id="18" name="文本框 26"/>
                <wp:cNvGraphicFramePr/>
                <a:graphic xmlns:a="http://schemas.openxmlformats.org/drawingml/2006/main">
                  <a:graphicData uri="http://schemas.microsoft.com/office/word/2010/wordprocessingShape">
                    <wps:wsp>
                      <wps:cNvSpPr txBox="1"/>
                      <wps:spPr>
                        <a:xfrm>
                          <a:off x="0" y="0"/>
                          <a:ext cx="1555750" cy="359410"/>
                        </a:xfrm>
                        <a:prstGeom prst="rect">
                          <a:avLst/>
                        </a:prstGeom>
                        <a:noFill/>
                        <a:ln>
                          <a:noFill/>
                        </a:ln>
                      </wps:spPr>
                      <wps:txbx>
                        <w:txbxContent>
                          <w:p>
                            <w:r>
                              <w:rPr>
                                <w:rFonts w:hint="eastAsia"/>
                              </w:rPr>
                              <w:t>财政拨款收入</w:t>
                            </w:r>
                          </w:p>
                        </w:txbxContent>
                      </wps:txbx>
                      <wps:bodyPr upright="1"/>
                    </wps:wsp>
                  </a:graphicData>
                </a:graphic>
              </wp:anchor>
            </w:drawing>
          </mc:Choice>
          <mc:Fallback>
            <w:pict>
              <v:shape id="文本框 26" o:spid="_x0000_s1026" o:spt="202" type="#_x0000_t202" style="position:absolute;left:0pt;margin-left:202pt;margin-top:233.95pt;height:28.3pt;width:122.5pt;z-index:251700224;mso-width-relative:page;mso-height-relative:page;" filled="f" stroked="f" coordsize="21600,21600" o:gfxdata="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AXCCs62AAAAAsBAAAPAAAAAAAAAAEAIAAAACIAAABkcnMvZG93&#10;bnJldi54bWxQSwECFAAUAAAACACHTuJALfKdro4BAAACAwAADgAAAAAAAAABACAAAAAnAQAAZHJz&#10;L2Uyb0RvYy54bWxQSwUGAAAAAAYABgBZAQAAJwUAAAAA&#10;">
                <v:fill on="f" focussize="0,0"/>
                <v:stroke on="f"/>
                <v:imagedata o:title=""/>
                <o:lock v:ext="edit" aspectratio="f"/>
                <v:textbox>
                  <w:txbxContent>
                    <w:p>
                      <w:r>
                        <w:rPr>
                          <w:rFonts w:hint="eastAsia"/>
                        </w:rPr>
                        <w:t>财政拨款收入</w:t>
                      </w:r>
                    </w:p>
                  </w:txbxContent>
                </v:textbox>
              </v:shape>
            </w:pict>
          </mc:Fallback>
        </mc:AlternateContent>
      </w:r>
      <w:r>
        <w:rPr>
          <w:sz w:val="32"/>
        </w:rPr>
        <mc:AlternateContent>
          <mc:Choice Requires="wps">
            <w:drawing>
              <wp:anchor distT="0" distB="0" distL="114300" distR="114300" simplePos="0" relativeHeight="251698176" behindDoc="0" locked="0" layoutInCell="1" allowOverlap="1">
                <wp:simplePos x="0" y="0"/>
                <wp:positionH relativeFrom="column">
                  <wp:posOffset>1825625</wp:posOffset>
                </wp:positionH>
                <wp:positionV relativeFrom="paragraph">
                  <wp:posOffset>3596005</wp:posOffset>
                </wp:positionV>
                <wp:extent cx="2708910" cy="475615"/>
                <wp:effectExtent l="0" t="0" r="15240" b="635"/>
                <wp:wrapNone/>
                <wp:docPr id="16" name="文本框 23"/>
                <wp:cNvGraphicFramePr/>
                <a:graphic xmlns:a="http://schemas.openxmlformats.org/drawingml/2006/main">
                  <a:graphicData uri="http://schemas.microsoft.com/office/word/2010/wordprocessingShape">
                    <wps:wsp>
                      <wps:cNvSpPr txBox="1"/>
                      <wps:spPr>
                        <a:xfrm>
                          <a:off x="0" y="0"/>
                          <a:ext cx="2708910" cy="475615"/>
                        </a:xfrm>
                        <a:prstGeom prst="rect">
                          <a:avLst/>
                        </a:prstGeom>
                        <a:solidFill>
                          <a:srgbClr val="FFFFFF"/>
                        </a:solidFill>
                        <a:ln>
                          <a:noFill/>
                        </a:ln>
                      </wps:spPr>
                      <wps:txbx>
                        <w:txbxContent>
                          <w:p>
                            <w:pPr>
                              <w:pStyle w:val="3"/>
                              <w:adjustRightInd w:val="0"/>
                              <w:snapToGrid w:val="0"/>
                              <w:spacing w:line="580" w:lineRule="exact"/>
                              <w:ind w:firstLine="1200" w:firstLineChars="600"/>
                              <w:rPr>
                                <w:rFonts w:ascii="仿宋_GB2312" w:hAnsi="Times New Roman" w:eastAsia="仿宋_GB2312" w:cs="DengXian-Regular"/>
                                <w:b/>
                                <w:bCs/>
                                <w:sz w:val="32"/>
                                <w:szCs w:val="32"/>
                              </w:rPr>
                            </w:pPr>
                            <w:r>
                              <w:t xml:space="preserve">图表 </w:t>
                            </w:r>
                            <w:r>
                              <w:fldChar w:fldCharType="begin"/>
                            </w:r>
                            <w:r>
                              <w:instrText xml:space="preserve"> SEQ 图表 \* ARABIC </w:instrText>
                            </w:r>
                            <w:r>
                              <w:fldChar w:fldCharType="separate"/>
                            </w:r>
                            <w:r>
                              <w:t>1</w:t>
                            </w:r>
                            <w:r>
                              <w:fldChar w:fldCharType="end"/>
                            </w:r>
                            <w:r>
                              <w:rPr>
                                <w:rFonts w:hint="eastAsia" w:eastAsia="宋体"/>
                              </w:rPr>
                              <w:t>收入决算情况表</w:t>
                            </w:r>
                          </w:p>
                          <w:p/>
                        </w:txbxContent>
                      </wps:txbx>
                      <wps:bodyPr upright="1"/>
                    </wps:wsp>
                  </a:graphicData>
                </a:graphic>
              </wp:anchor>
            </w:drawing>
          </mc:Choice>
          <mc:Fallback>
            <w:pict>
              <v:shape id="文本框 23" o:spid="_x0000_s1026" o:spt="202" type="#_x0000_t202" style="position:absolute;left:0pt;margin-left:143.75pt;margin-top:283.15pt;height:37.45pt;width:213.3pt;z-index:251698176;mso-width-relative:page;mso-height-relative:page;" fillcolor="#FFFFFF" filled="t" stroked="f" coordsize="21600,21600" o:gfxdata="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eQsK/ZAAAACwEA&#10;AA8AAAAAAAAAAQAgAAAAIgAAAGRycy9kb3ducmV2LnhtbFBLAQIUABQAAAAIAIdO4kBqiTbDpwEA&#10;ACsDAAAOAAAAAAAAAAEAIAAAACgBAABkcnMvZTJvRG9jLnhtbFBLBQYAAAAABgAGAFkBAABBBQAA&#10;AAA=&#10;">
                <v:fill on="t" focussize="0,0"/>
                <v:stroke on="f"/>
                <v:imagedata o:title=""/>
                <o:lock v:ext="edit" aspectratio="f"/>
                <v:textbox>
                  <w:txbxContent>
                    <w:p>
                      <w:pPr>
                        <w:pStyle w:val="3"/>
                        <w:adjustRightInd w:val="0"/>
                        <w:snapToGrid w:val="0"/>
                        <w:spacing w:line="580" w:lineRule="exact"/>
                        <w:ind w:firstLine="1200" w:firstLineChars="600"/>
                        <w:rPr>
                          <w:rFonts w:ascii="仿宋_GB2312" w:hAnsi="Times New Roman" w:eastAsia="仿宋_GB2312" w:cs="DengXian-Regular"/>
                          <w:b/>
                          <w:bCs/>
                          <w:sz w:val="32"/>
                          <w:szCs w:val="32"/>
                        </w:rPr>
                      </w:pPr>
                      <w:r>
                        <w:t xml:space="preserve">图表 </w:t>
                      </w:r>
                      <w:r>
                        <w:fldChar w:fldCharType="begin"/>
                      </w:r>
                      <w:r>
                        <w:instrText xml:space="preserve"> SEQ 图表 \* ARABIC </w:instrText>
                      </w:r>
                      <w:r>
                        <w:fldChar w:fldCharType="separate"/>
                      </w:r>
                      <w:r>
                        <w:t>1</w:t>
                      </w:r>
                      <w:r>
                        <w:fldChar w:fldCharType="end"/>
                      </w:r>
                      <w:r>
                        <w:rPr>
                          <w:rFonts w:hint="eastAsia" w:eastAsia="宋体"/>
                        </w:rPr>
                        <w:t>收入决算情况表</w:t>
                      </w:r>
                    </w:p>
                    <w:p/>
                  </w:txbxContent>
                </v:textbox>
              </v:shape>
            </w:pict>
          </mc:Fallback>
        </mc:AlternateContent>
      </w:r>
    </w:p>
    <w:p>
      <w:pPr>
        <w:keepNext/>
        <w:keepLines/>
        <w:snapToGrid w:val="0"/>
        <w:spacing w:line="580" w:lineRule="exact"/>
        <w:ind w:left="320" w:hanging="320" w:hangingChars="1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本部门2019年度本年支出合计2226.99万元，其中：基本支出2140.99万元，占96%；项目支出86万元，占4%；。如图所示：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701248" behindDoc="0" locked="0" layoutInCell="1" allowOverlap="1">
                <wp:simplePos x="0" y="0"/>
                <wp:positionH relativeFrom="column">
                  <wp:posOffset>1316990</wp:posOffset>
                </wp:positionH>
                <wp:positionV relativeFrom="paragraph">
                  <wp:posOffset>172720</wp:posOffset>
                </wp:positionV>
                <wp:extent cx="3153410" cy="476250"/>
                <wp:effectExtent l="0" t="0" r="8890" b="0"/>
                <wp:wrapNone/>
                <wp:docPr id="19" name="文本框 27"/>
                <wp:cNvGraphicFramePr/>
                <a:graphic xmlns:a="http://schemas.openxmlformats.org/drawingml/2006/main">
                  <a:graphicData uri="http://schemas.microsoft.com/office/word/2010/wordprocessingShape">
                    <wps:wsp>
                      <wps:cNvSpPr txBox="1"/>
                      <wps:spPr>
                        <a:xfrm>
                          <a:off x="0" y="0"/>
                          <a:ext cx="3153410" cy="476250"/>
                        </a:xfrm>
                        <a:prstGeom prst="rect">
                          <a:avLst/>
                        </a:prstGeom>
                        <a:solidFill>
                          <a:srgbClr val="FFFFFF"/>
                        </a:solidFill>
                        <a:ln>
                          <a:noFill/>
                        </a:ln>
                      </wps:spPr>
                      <wps:txbx>
                        <w:txbxContent>
                          <w:p>
                            <w:pPr>
                              <w:pStyle w:val="3"/>
                              <w:adjustRightInd w:val="0"/>
                              <w:snapToGrid w:val="0"/>
                              <w:spacing w:line="580" w:lineRule="exact"/>
                              <w:ind w:firstLine="1200" w:firstLineChars="600"/>
                              <w:rPr>
                                <w:rFonts w:ascii="仿宋_GB2312" w:hAnsi="Times New Roman" w:eastAsia="仿宋_GB2312" w:cs="DengXian-Regular"/>
                                <w:sz w:val="32"/>
                                <w:szCs w:val="32"/>
                              </w:rPr>
                            </w:pPr>
                            <w:r>
                              <w:t xml:space="preserve">图表 </w:t>
                            </w:r>
                            <w:r>
                              <w:fldChar w:fldCharType="begin"/>
                            </w:r>
                            <w:r>
                              <w:instrText xml:space="preserve"> SEQ 图表 \* ARABIC </w:instrText>
                            </w:r>
                            <w:r>
                              <w:fldChar w:fldCharType="separate"/>
                            </w:r>
                            <w:r>
                              <w:t>2</w:t>
                            </w:r>
                            <w:r>
                              <w:fldChar w:fldCharType="end"/>
                            </w:r>
                            <w:r>
                              <w:rPr>
                                <w:rFonts w:hint="eastAsia" w:eastAsia="宋体"/>
                              </w:rPr>
                              <w:t>支出决算情况</w:t>
                            </w:r>
                          </w:p>
                          <w:p/>
                        </w:txbxContent>
                      </wps:txbx>
                      <wps:bodyPr upright="1"/>
                    </wps:wsp>
                  </a:graphicData>
                </a:graphic>
              </wp:anchor>
            </w:drawing>
          </mc:Choice>
          <mc:Fallback>
            <w:pict>
              <v:shape id="文本框 27" o:spid="_x0000_s1026" o:spt="202" type="#_x0000_t202" style="position:absolute;left:0pt;margin-left:103.7pt;margin-top:13.6pt;height:37.5pt;width:248.3pt;z-index:251701248;mso-width-relative:page;mso-height-relative:page;" fillcolor="#FFFFFF" filled="t" stroked="f" coordsize="21600,21600" o:gfxdata="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PvQXatcAAAAKAQAA&#10;DwAAAAAAAAABACAAAAAiAAAAZHJzL2Rvd25yZXYueG1sUEsBAhQAFAAAAAgAh07iQITNbZOoAQAA&#10;KwMAAA4AAAAAAAAAAQAgAAAAJgEAAGRycy9lMm9Eb2MueG1sUEsFBgAAAAAGAAYAWQEAAEAFAAAA&#10;AA==&#10;">
                <v:fill on="t" focussize="0,0"/>
                <v:stroke on="f"/>
                <v:imagedata o:title=""/>
                <o:lock v:ext="edit" aspectratio="f"/>
                <v:textbox>
                  <w:txbxContent>
                    <w:p>
                      <w:pPr>
                        <w:pStyle w:val="3"/>
                        <w:adjustRightInd w:val="0"/>
                        <w:snapToGrid w:val="0"/>
                        <w:spacing w:line="580" w:lineRule="exact"/>
                        <w:ind w:firstLine="1200" w:firstLineChars="600"/>
                        <w:rPr>
                          <w:rFonts w:ascii="仿宋_GB2312" w:hAnsi="Times New Roman" w:eastAsia="仿宋_GB2312" w:cs="DengXian-Regular"/>
                          <w:sz w:val="32"/>
                          <w:szCs w:val="32"/>
                        </w:rPr>
                      </w:pPr>
                      <w:r>
                        <w:t xml:space="preserve">图表 </w:t>
                      </w:r>
                      <w:r>
                        <w:fldChar w:fldCharType="begin"/>
                      </w:r>
                      <w:r>
                        <w:instrText xml:space="preserve"> SEQ 图表 \* ARABIC </w:instrText>
                      </w:r>
                      <w:r>
                        <w:fldChar w:fldCharType="separate"/>
                      </w:r>
                      <w:r>
                        <w:t>2</w:t>
                      </w:r>
                      <w:r>
                        <w:fldChar w:fldCharType="end"/>
                      </w:r>
                      <w:r>
                        <w:rPr>
                          <w:rFonts w:hint="eastAsia" w:eastAsia="宋体"/>
                        </w:rPr>
                        <w:t>支出决算情况</w:t>
                      </w:r>
                    </w:p>
                    <w:p/>
                  </w:txbxContent>
                </v:textbox>
              </v:shape>
            </w:pict>
          </mc:Fallback>
        </mc:AlternateContent>
      </w:r>
      <w:r>
        <w:rPr>
          <w:rFonts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223520</wp:posOffset>
            </wp:positionH>
            <wp:positionV relativeFrom="paragraph">
              <wp:posOffset>231140</wp:posOffset>
            </wp:positionV>
            <wp:extent cx="5080000" cy="3810000"/>
            <wp:effectExtent l="0" t="0" r="6350" b="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95104" behindDoc="0" locked="0" layoutInCell="1" allowOverlap="1">
                <wp:simplePos x="0" y="0"/>
                <wp:positionH relativeFrom="column">
                  <wp:posOffset>-5005070</wp:posOffset>
                </wp:positionH>
                <wp:positionV relativeFrom="paragraph">
                  <wp:posOffset>366395</wp:posOffset>
                </wp:positionV>
                <wp:extent cx="1504950" cy="285750"/>
                <wp:effectExtent l="0" t="0" r="0" b="0"/>
                <wp:wrapNone/>
                <wp:docPr id="38" name="文本框 38"/>
                <wp:cNvGraphicFramePr/>
                <a:graphic xmlns:a="http://schemas.openxmlformats.org/drawingml/2006/main">
                  <a:graphicData uri="http://schemas.microsoft.com/office/word/2010/wordprocessingShape">
                    <wps:wsp>
                      <wps:cNvSpPr txBox="1"/>
                      <wps:spPr>
                        <a:xfrm>
                          <a:off x="1308735" y="2435225"/>
                          <a:ext cx="1504950" cy="285750"/>
                        </a:xfrm>
                        <a:prstGeom prst="rect">
                          <a:avLst/>
                        </a:prstGeom>
                        <a:solidFill>
                          <a:srgbClr val="FFFFFF"/>
                        </a:solidFill>
                        <a:ln w="6350">
                          <a:noFill/>
                        </a:ln>
                        <a:effectLst/>
                      </wps:spPr>
                      <wps:txbx>
                        <w:txbxContent>
                          <w:p>
                            <w:pPr>
                              <w:rPr>
                                <w:rFonts w:eastAsia="宋体"/>
                              </w:rPr>
                            </w:pPr>
                            <w:r>
                              <w:rPr>
                                <w:rFonts w:hint="eastAsia" w:eastAsia="宋体"/>
                              </w:rPr>
                              <w:t>支出决算情况表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94.1pt;margin-top:28.85pt;height:22.5pt;width:118.5pt;z-index:251695104;mso-width-relative:page;mso-height-relative:page;" fillcolor="#FFFFFF" filled="t" stroked="f" coordsize="21600,21600" o:gfxdata="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I8oUsPXAAAADAEAAA8AAAAAAAAAAQAgAAAA&#10;IgAAAGRycy9kb3ducmV2LnhtbFBLAQIUABQAAAAIAIdO4kAVghzCRQIAAF0EAAAOAAAAAAAAAAEA&#10;IAAAACYBAABkcnMvZTJvRG9jLnhtbFBLBQYAAAAABgAGAFkBAADdBQAAAAA=&#10;">
                <v:fill on="t" focussize="0,0"/>
                <v:stroke on="f" weight="0.5pt"/>
                <v:imagedata o:title=""/>
                <o:lock v:ext="edit" aspectratio="f"/>
                <v:textbox>
                  <w:txbxContent>
                    <w:p>
                      <w:pPr>
                        <w:rPr>
                          <w:rFonts w:eastAsia="宋体"/>
                        </w:rPr>
                      </w:pPr>
                      <w:r>
                        <w:rPr>
                          <w:rFonts w:hint="eastAsia" w:eastAsia="宋体"/>
                        </w:rPr>
                        <w:t>支出决算情况表</w:t>
                      </w:r>
                    </w:p>
                  </w:txbxContent>
                </v:textbox>
              </v:shape>
            </w:pict>
          </mc:Fallback>
        </mc:AlternateContent>
      </w:r>
    </w:p>
    <w:p>
      <w:pPr>
        <w:keepNext/>
        <w:keepLines/>
        <w:snapToGrid w:val="0"/>
        <w:spacing w:line="580" w:lineRule="exact"/>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 xml:space="preserve"> 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本部门2019年度形成的财政拨款收支均为一般公共预算财政拨款，其中本年收入2218.03万元,比2018年度增加433.14</w:t>
      </w:r>
      <w:r>
        <w:drawing>
          <wp:anchor distT="0" distB="0" distL="114300" distR="114300" simplePos="0" relativeHeight="251696128" behindDoc="0" locked="0" layoutInCell="1" allowOverlap="1">
            <wp:simplePos x="0" y="0"/>
            <wp:positionH relativeFrom="column">
              <wp:posOffset>431165</wp:posOffset>
            </wp:positionH>
            <wp:positionV relativeFrom="page">
              <wp:posOffset>2680970</wp:posOffset>
            </wp:positionV>
            <wp:extent cx="4572000" cy="2981325"/>
            <wp:effectExtent l="47625" t="4445" r="47625" b="100330"/>
            <wp:wrapTopAndBottom/>
            <wp:docPr id="3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仿宋_GB2312" w:hAnsi="Times New Roman" w:eastAsia="仿宋_GB2312" w:cs="DengXian-Regular"/>
          <w:sz w:val="32"/>
          <w:szCs w:val="32"/>
        </w:rPr>
        <w:t>万元，增长24.26%，主要是单位合并人员经费增加；本年支出2226.99万元，增加392.23万元，增长17.61%，主要是单位合并人员经费增加。</w:t>
      </w:r>
    </w:p>
    <w:p>
      <w:pPr>
        <w:adjustRightInd w:val="0"/>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2218.03万元，完成年初预算的96.83%,比年初预算减少77.41万元，决算数小于预算数主要原因是压缩开支；本年支出2226.99万元，完成年初预算的97.23%,比年初预算减少63.45万元，决算数小于预算数主要原因是主要是压缩开支。情况如下：</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一般公共预算财政拨款本年收入完成年初预算96.83%，比年初预算减少77.41万元，主要是压缩开支；支出完成年初预算97.23x%，比年初预算减少63.45万元，主要是压缩开支。</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年度财政拨款支出2226.99万元，主要用于以下方面一般公共服务（类）支出1679.32万元，占75.41%，；社会保障和就业（类）支出 428.19万元，占19.23%，卫生健康（类）支出69.48万元，占3.12%，资源勘探信息等（类）支出50万元，占2.25%。</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7152" behindDoc="0" locked="0" layoutInCell="1" allowOverlap="1">
            <wp:simplePos x="0" y="0"/>
            <wp:positionH relativeFrom="column">
              <wp:posOffset>1063625</wp:posOffset>
            </wp:positionH>
            <wp:positionV relativeFrom="paragraph">
              <wp:posOffset>591185</wp:posOffset>
            </wp:positionV>
            <wp:extent cx="3181350" cy="2609850"/>
            <wp:effectExtent l="57150" t="0" r="57150" b="114300"/>
            <wp:wrapTopAndBottom/>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2140.99万元，其中：人员经费1729.27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411.72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15"/>
        <w:keepNext/>
        <w:keepLines/>
        <w:numPr>
          <w:ilvl w:val="0"/>
          <w:numId w:val="3"/>
        </w:numPr>
        <w:snapToGrid w:val="0"/>
        <w:spacing w:line="580" w:lineRule="exact"/>
        <w:ind w:firstLineChars="0"/>
        <w:outlineLvl w:val="1"/>
        <w:rPr>
          <w:rFonts w:ascii="黑体" w:hAnsi="Calibri" w:eastAsia="黑体" w:cs="Times New Roman"/>
          <w:sz w:val="32"/>
          <w:szCs w:val="32"/>
        </w:rPr>
      </w:pPr>
      <w:r>
        <w:rPr>
          <w:rFonts w:hint="eastAsia" w:ascii="黑体" w:hAnsi="Calibri" w:eastAsia="黑体" w:cs="Times New Roman"/>
          <w:sz w:val="32"/>
          <w:szCs w:val="32"/>
        </w:rPr>
        <w:t>一般公共预算“三公” 经费支出决算情况说明</w:t>
      </w:r>
    </w:p>
    <w:p>
      <w:pPr>
        <w:widowControl/>
        <w:adjustRightInd w:val="0"/>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本部门2019年度未发生“三公”经费支出较预算持平</w:t>
      </w:r>
      <w:r>
        <w:rPr>
          <w:rFonts w:hint="eastAsia" w:ascii="仿宋_GB2312" w:eastAsia="仿宋_GB2312" w:cs="DengXian-Regular"/>
          <w:sz w:val="32"/>
          <w:szCs w:val="32"/>
        </w:rPr>
        <w:t>与2018年决算持平，无增减变化。</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widowControl/>
        <w:adjustRightInd w:val="0"/>
        <w:ind w:left="643"/>
        <w:jc w:val="left"/>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本部门2019年度因公出国（境）团组0个、共0人/参加其他单位组织的因公出国（境）团组0个、共0人/无本单位组织的出国（境）团组。因公出国（境）费支出较预算0万元，</w:t>
      </w:r>
      <w:r>
        <w:rPr>
          <w:rFonts w:hint="eastAsia" w:ascii="仿宋_GB2312" w:eastAsia="仿宋_GB2312" w:cs="DengXian-Regular"/>
          <w:sz w:val="32"/>
          <w:szCs w:val="32"/>
        </w:rPr>
        <w:t>未发生因公出国（境）费支出，较预算持平无增减变化。与2018年决算持平，无增减变化。</w:t>
      </w:r>
    </w:p>
    <w:p>
      <w:pPr>
        <w:widowControl/>
        <w:numPr>
          <w:ilvl w:val="0"/>
          <w:numId w:val="4"/>
        </w:numPr>
        <w:adjustRightInd w:val="0"/>
        <w:ind w:firstLine="643" w:firstLineChars="200"/>
        <w:jc w:val="left"/>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本部门2019年度公务用车购置及运行维护费较预算减少0万元，公务用车购置及运行维修</w:t>
      </w:r>
      <w:r>
        <w:rPr>
          <w:rFonts w:hint="eastAsia" w:ascii="仿宋_GB2312" w:eastAsia="仿宋_GB2312" w:cs="DengXian-Regular"/>
          <w:sz w:val="32"/>
          <w:szCs w:val="32"/>
        </w:rPr>
        <w:t>较预算持平无增减变化</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与2018年决算持平，无增减变化。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仿宋_GB2312" w:hAnsi="Times New Roman" w:eastAsia="仿宋_GB2312" w:cs="DengXian-Bold"/>
          <w:b/>
          <w:bCs/>
          <w:sz w:val="32"/>
          <w:szCs w:val="32"/>
        </w:rPr>
        <w:t>其中：</w:t>
      </w:r>
    </w:p>
    <w:p>
      <w:pPr>
        <w:widowControl/>
        <w:numPr>
          <w:ilvl w:val="0"/>
          <w:numId w:val="4"/>
        </w:numPr>
        <w:adjustRightInd w:val="0"/>
        <w:ind w:firstLine="643" w:firstLineChars="200"/>
        <w:jc w:val="left"/>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本部门2019年度公务用车购置量0辆，发生“公务用车购置”经费支出0万元。公车购置费未发生增减变化与预算持平。</w:t>
      </w:r>
      <w:r>
        <w:rPr>
          <w:rFonts w:hint="eastAsia" w:ascii="仿宋_GB2312" w:eastAsia="仿宋_GB2312" w:cs="DengXian-Regular"/>
          <w:sz w:val="32"/>
          <w:szCs w:val="32"/>
        </w:rPr>
        <w:t>与2018年决算持平，无增减变化。</w:t>
      </w:r>
    </w:p>
    <w:p>
      <w:pPr>
        <w:adjustRightInd w:val="0"/>
        <w:snapToGrid w:val="0"/>
        <w:spacing w:line="580" w:lineRule="exact"/>
        <w:ind w:firstLine="640" w:firstLineChars="200"/>
        <w:rPr>
          <w:rFonts w:ascii="仿宋_GB2312" w:hAnsi="Times New Roman" w:eastAsia="仿宋_GB2312" w:cs="DengXian-Regular"/>
          <w:sz w:val="32"/>
          <w:szCs w:val="32"/>
        </w:rPr>
      </w:pPr>
    </w:p>
    <w:p>
      <w:pPr>
        <w:widowControl/>
        <w:numPr>
          <w:ilvl w:val="0"/>
          <w:numId w:val="4"/>
        </w:numPr>
        <w:adjustRightInd w:val="0"/>
        <w:ind w:firstLine="643" w:firstLineChars="200"/>
        <w:jc w:val="left"/>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本部门2019年度单位公务用车保有量x辆。公车运行维护费支出较预算增加0万元，增长0%,</w:t>
      </w:r>
      <w:r>
        <w:rPr>
          <w:rFonts w:hint="eastAsia" w:ascii="仿宋_GB2312" w:eastAsia="仿宋_GB2312" w:cs="DengXian-Regular"/>
          <w:sz w:val="32"/>
          <w:szCs w:val="32"/>
        </w:rPr>
        <w:t>较预算持平无增减变化</w:t>
      </w:r>
      <w:r>
        <w:rPr>
          <w:rFonts w:hint="eastAsia" w:ascii="仿宋_GB2312" w:hAnsi="Times New Roman" w:eastAsia="仿宋_GB2312" w:cs="DengXian-Regular"/>
          <w:sz w:val="32"/>
          <w:szCs w:val="32"/>
        </w:rPr>
        <w:t>；较</w:t>
      </w:r>
      <w:r>
        <w:rPr>
          <w:rFonts w:hint="eastAsia" w:ascii="仿宋_GB2312" w:eastAsia="仿宋_GB2312" w:cs="DengXian-Regular"/>
          <w:sz w:val="32"/>
          <w:szCs w:val="32"/>
        </w:rPr>
        <w:t>2018年决算持平，无增减变化。</w:t>
      </w:r>
    </w:p>
    <w:p>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年增加0万元，增长0%。</w:t>
      </w:r>
    </w:p>
    <w:p>
      <w:pPr>
        <w:widowControl/>
        <w:numPr>
          <w:ilvl w:val="0"/>
          <w:numId w:val="4"/>
        </w:numPr>
        <w:adjustRightInd w:val="0"/>
        <w:ind w:firstLine="643" w:firstLineChars="200"/>
        <w:jc w:val="left"/>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w:t>
      </w:r>
      <w:r>
        <w:rPr>
          <w:rFonts w:hint="eastAsia" w:ascii="仿宋_GB2312" w:eastAsia="仿宋_GB2312" w:cs="DengXian-Regular"/>
          <w:sz w:val="32"/>
          <w:szCs w:val="32"/>
        </w:rPr>
        <w:t>较预算持平无增减变化。与2018年决算持平，无增减变化。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无，二级项目22，共涉及资金86万元，占一般公共预算项目支出总额的3.8%。2019年度无政府性基金预算项目，共涉及资金0万元，占政府性基金预算项目支出总额的0%。组织对0个项目开展了部门评价，涉及一般公共预算支出0万元，政府性基金预算支出0万元。其中。</w:t>
      </w:r>
      <w:r>
        <w:rPr>
          <w:rFonts w:hint="eastAsia" w:ascii="仿宋" w:hAnsi="仿宋" w:eastAsia="仿宋" w:cs="仿宋"/>
          <w:sz w:val="32"/>
          <w:szCs w:val="32"/>
        </w:rPr>
        <w:t>根据《石家庄市财政支出绩效评价办法》（石财绩〔2013〕2号）的通知</w:t>
      </w:r>
      <w:r>
        <w:rPr>
          <w:rFonts w:hint="eastAsia" w:ascii="仿宋_GB2312" w:eastAsia="仿宋_GB2312" w:cs="DengXian-Regular"/>
          <w:sz w:val="32"/>
          <w:szCs w:val="32"/>
        </w:rPr>
        <w:t>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000000" w:themeColor="text1"/>
          <w:sz w:val="32"/>
          <w:szCs w:val="32"/>
          <w14:textFill>
            <w14:solidFill>
              <w14:schemeClr w14:val="tx1"/>
            </w14:solidFill>
          </w14:textFill>
        </w:rPr>
        <w:t>良好</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22个项目绩效自评结果。</w:t>
      </w: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市场监管公用经费项目自评综述：根据年初设定的绩效目标，市场监管公用经费项目绩效自评得分为90分。全年预算数为70万元，执行数为70万元，完成预算的100%。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649"/>
        <w:gridCol w:w="670"/>
        <w:gridCol w:w="666"/>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市场监管公用经费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295"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70</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70</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70</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27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217"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27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规范各类市场经营秩序</w:t>
            </w:r>
          </w:p>
        </w:tc>
        <w:tc>
          <w:tcPr>
            <w:tcW w:w="3217"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规范了各类市场经营秩序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指标1：专项执法率</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p>
            <w:pPr>
              <w:widowControl/>
              <w:spacing w:line="240" w:lineRule="exact"/>
              <w:jc w:val="center"/>
              <w:rPr>
                <w:rFonts w:ascii="宋体" w:hAnsi="宋体" w:eastAsia="宋体" w:cs="宋体"/>
                <w:kern w:val="0"/>
                <w:sz w:val="18"/>
                <w:szCs w:val="18"/>
              </w:rPr>
            </w:pPr>
          </w:p>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指标2：检查率</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指标3：抽查率</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指标1：监管执法</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指标2：网络交易市场监管</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指标3：农资成品油抽检</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指标1：执法案件</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指标1：提高了群众的满意度</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51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7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执法办案公用经费项目绩效自评综述：根据年初设定的绩效目标，执法办案公用经费项目绩效自评得分为90分。全年预算数为14万元，执行数为14万元，完成预算的100%。</w:t>
      </w:r>
    </w:p>
    <w:p>
      <w:pPr>
        <w:adjustRightInd w:val="0"/>
        <w:snapToGrid w:val="0"/>
        <w:spacing w:line="580" w:lineRule="exact"/>
        <w:rPr>
          <w:rFonts w:ascii="仿宋_GB2312" w:hAnsi="仿宋_GB2312" w:eastAsia="仿宋_GB2312" w:cs="仿宋_GB2312"/>
          <w:sz w:val="32"/>
          <w:szCs w:val="32"/>
        </w:rPr>
      </w:pP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490"/>
        <w:gridCol w:w="812"/>
        <w:gridCol w:w="683"/>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执法办案公用经费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27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9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9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3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9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3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258"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234"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258"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维护市秩序</w:t>
            </w:r>
          </w:p>
        </w:tc>
        <w:tc>
          <w:tcPr>
            <w:tcW w:w="3234"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有效维护了市场秩序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指标1：实现罚没收入</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指标1：打击传销</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指标2：查处违法行为</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指标1：案件查处</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指标2：上级授权案件查处</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指标3：打击传销工作</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指标1：对企业行政指导</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指标1：提高了群众满意度</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54"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8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市场监管经费项目绩效自评综述：根据年初设定的绩效目标，市场监管经费项目绩效自评得分为90分。全年预算数为10万元，执行数为10万元，完成预算的100%。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508"/>
        <w:gridCol w:w="758"/>
        <w:gridCol w:w="719"/>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市场监管经费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242"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0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2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0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2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0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2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6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222"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270"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222"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规范各类市场经营秩序</w:t>
            </w:r>
          </w:p>
        </w:tc>
        <w:tc>
          <w:tcPr>
            <w:tcW w:w="3270"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规范了各类市场经营秩序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指标1：专项执法率</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指标2：检查率</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指标3：抽检率</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指标1：监管执法</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指标2：网络交易市场监管</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指标3：农资成品油抽检</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指标1：执法案件</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指标1：提高了群众的满意度</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工商专项项目绩效自评综述：根据年初设定的绩效目标，工商专项项目绩效自评得分为90分。全年预算数为40万元，执行数为40万元，完成预算的100%。</w:t>
      </w:r>
    </w:p>
    <w:p>
      <w:pPr>
        <w:adjustRightInd w:val="0"/>
        <w:snapToGrid w:val="0"/>
        <w:spacing w:line="580" w:lineRule="exact"/>
        <w:rPr>
          <w:rFonts w:ascii="仿宋_GB2312" w:hAnsi="仿宋_GB2312" w:eastAsia="仿宋_GB2312" w:cs="仿宋_GB2312"/>
          <w:sz w:val="32"/>
          <w:szCs w:val="32"/>
        </w:rPr>
      </w:pP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543"/>
        <w:gridCol w:w="776"/>
        <w:gridCol w:w="666"/>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工商专项经费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295"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27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217"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27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开展信用体系建设，提高县域经济发展知名度</w:t>
            </w:r>
          </w:p>
        </w:tc>
        <w:tc>
          <w:tcPr>
            <w:tcW w:w="3217"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完善了信用体系建设，提高了县域经济发展。</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指标1：市场主体年报数</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指标2：市场主体抽查批次</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指标3：市场主体抽查</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指标1：市场主体年报公示</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指标2：市场主体抽查</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指标3：外资企业登记</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指标1：安全生产</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指标1：提高了群众满意度</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20 </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07"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临时人员工资项目绩效自评综述：根据年初设定的绩效目标，临时人员工资项目绩效自评得分为90分。全年预算数为39.6万元，执行数为39.6万元，完成预算的100%。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临时人员工资</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保障系统工作正常开展</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保障了系统工作正常开展</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指标1：岗位设置</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指标2：在岗人员</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指标3：出勤情况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指标1：后勤保障情况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指标2：正常业务保障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指标3：辅助工作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企业监管辅助人员经费项目绩效自评综述：根据年初设定的绩效目标，企业监管辅助人员经费项目绩效自评得分为90分。全年预算数为33.6万元，执行数为33.6万元，完成预算的100%。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企业监管辅助人员经费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33.6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33.6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33.6</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33.6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辅助系统开展工作</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更好地辅助系统工作</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指标1：岗位设置</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指标2：在岗人员</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指标3：出勤情况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指标1：后勤保障情况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指标2：正常业务保障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指标3：辅助工作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商标广告监督管理公用经费项目绩效自评综述：根据年初设定的绩效目标，商标广告监督管理公用经费项目绩效自评得分为90分。全年预算数为5万元，执行数为5万元，完成预算的100%。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508"/>
        <w:gridCol w:w="811"/>
        <w:gridCol w:w="666"/>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商标广告监督管理公用经费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295"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1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4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27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217"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27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加强广告监管，实施商标战略，提高县域经济知名度。</w:t>
            </w:r>
          </w:p>
        </w:tc>
        <w:tc>
          <w:tcPr>
            <w:tcW w:w="3217"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加强了广告监管力度，提高了我县经济知名度</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指标1：驰名商标</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指标2：广告监测媒介</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拇标3：商标广告案件</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指标1：驰名商标培育</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指标2：广告监测覆盖</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指标1：广告案件</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指标2：商标案件</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指标1：提高了群众满意度</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72"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1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执法办案经费项目绩效自评综述：根据年初设定的绩效目标，执法办案经费项目绩效自评得分为90分。全年预算数为10万元，执行数为10万元，完成预算的100%。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执法办案经费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维护市秩序</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有效维护了市场秩序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指标1：实现罚没收入</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指标1：打击传销</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指标2：查处违法行为</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指标1：案件查处</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指标2：上级授权案件查处</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指标3：打击传销工作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指标1：对企业行政指导</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消费者权益保护经费项目绩效自评综述：根据年初设定的绩效目标，消费者权益保护经费项目绩效自评得分为90分。全年预算数为5万元，执行数为5万元，完成预算的100%。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631"/>
        <w:gridCol w:w="759"/>
        <w:gridCol w:w="653"/>
        <w:gridCol w:w="225"/>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消费者权益保护经费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366"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8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9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8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39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8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39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9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9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7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346"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14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346"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充分发挥职能作用，开展保护消费者合法权益工作</w:t>
            </w:r>
          </w:p>
        </w:tc>
        <w:tc>
          <w:tcPr>
            <w:tcW w:w="314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有效保护了消费者的合法权益</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指标1：消保宣传工作</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指标2：商品抽检品种</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指标3：商品抽检批次</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9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指标1：开展消费者权益保护工作</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指标2：消费者投诉</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指标3：违法案件查处</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指标1：提高了群众满意度</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49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5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5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87"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综合业务管理公用经费项目绩效自评综述：根据年初设定的绩效目标，综合业务管理公用经费项目绩效自评得分为90分。全年预算数为19.5万元，执行数为19.5万元，完成预算的100%。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437"/>
        <w:gridCol w:w="697"/>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综合业务管理公用经费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提高全系统人员业务能力和工作效率，提升机关效能</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有效提高了人员的业务能力</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指标1：业务培训</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指标2：党风廉政培训</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指标3：职责宣传</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指标1：业务培训工作</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指标2：党风廉政培训工作</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指标3：职责文化宣传活动</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30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6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信息化建设公用经费项目绩效自评综述：根据年初设定的绩效目标，信息化建设公用经费项目绩效自评得分为90分。全年预算数为9万元，执行数为9万元，完成预算的100%。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信息化建设公用经费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保障信息化工作的正常开展</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保障了信息化工作的正常开展</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指标1：平台利用</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指标2：平台数据</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指标1：平台维护</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指标1：平台维护</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指标2：平台建设</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指标3：平台利用</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综合事务公用经费项目绩效自评综述：根据年初设定的绩效目标，综合事务公用经费项目绩效自评得分为90分。全年预算数为30万元，执行数为30万元，完成预算的100%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综全事务管理公用经费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保障工作环境</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改善了工作环境，提高了工作效率</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指标1：办公设备配备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指标2：维护办公场所</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指标3：维护信息平台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指标1：环境保洁</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指标1：办公设备配备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指标2：维护办公场所</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指标3：维护信息平台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市场监管局</w:t>
      </w:r>
      <w:r>
        <w:rPr>
          <w:rFonts w:hint="eastAsia" w:ascii="仿宋_GB2312" w:hAnsi="仿宋_GB2312" w:eastAsia="仿宋_GB2312" w:cs="仿宋_GB2312"/>
          <w:sz w:val="32"/>
          <w:szCs w:val="32"/>
        </w:rPr>
        <w:t>公用经费项目绩效自评综述：根据年初设定的绩效目标，</w:t>
      </w:r>
      <w:r>
        <w:rPr>
          <w:rFonts w:hint="eastAsia" w:ascii="仿宋_GB2312" w:hAnsi="仿宋_GB2312" w:eastAsia="仿宋_GB2312" w:cs="仿宋_GB2312"/>
          <w:sz w:val="32"/>
          <w:szCs w:val="32"/>
          <w:lang w:eastAsia="zh-CN"/>
        </w:rPr>
        <w:t>市场监管局</w:t>
      </w:r>
      <w:r>
        <w:rPr>
          <w:rFonts w:hint="eastAsia" w:ascii="仿宋_GB2312" w:hAnsi="仿宋_GB2312" w:eastAsia="仿宋_GB2312" w:cs="仿宋_GB2312"/>
          <w:sz w:val="32"/>
          <w:szCs w:val="32"/>
        </w:rPr>
        <w:t>公用经费项目绩效自评得分为90分。全年预算数为48.04万元，执行数为48.04万元，完成预算的100%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lang w:eastAsia="zh-CN"/>
              </w:rPr>
              <w:t>市场监管局</w:t>
            </w:r>
            <w:r>
              <w:rPr>
                <w:rFonts w:hint="eastAsia" w:ascii="宋体" w:hAnsi="宋体" w:eastAsia="宋体" w:cs="宋体"/>
                <w:kern w:val="0"/>
                <w:sz w:val="18"/>
                <w:szCs w:val="18"/>
              </w:rPr>
              <w:t>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48.04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48.04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48.04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48.04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依据法定职责，充分发挥部门职能作用，维护市场秩序，保护合法经营，打击非法营销，保护消费者合法权益</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充分发挥部门职能作用，有效维护了市场秩序。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指标1：食品药品监督日常工作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指标2：食安办日常工作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9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指标1：食品药品监管工作成效</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指标2：食安办工作绩效</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遗留退休人员烤火费项目绩效自评综述：根据年初设定的绩效目标，遗留退休人员烤火费项目绩效自评得分为90分。全年预算数为2万元，执行数为2万元，完成预算的100%。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遗留退休人员烤火费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落实退休人员待遇，维护社会和谐稳定。</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落实待遇达到和玄谐稳定</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指标1：遗留人员</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指标2：取暖费标准</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指标1：落实遗留人数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4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指标2：落实遗留人员</w:t>
            </w:r>
            <w:r>
              <w:rPr>
                <w:rFonts w:hint="eastAsia" w:ascii="宋体" w:hAnsi="宋体" w:eastAsia="宋体" w:cs="宋体"/>
                <w:color w:val="000000"/>
                <w:kern w:val="0"/>
                <w:sz w:val="18"/>
                <w:szCs w:val="18"/>
                <w:lang w:eastAsia="zh-CN"/>
              </w:rPr>
              <w:t>取暖</w:t>
            </w:r>
            <w:r>
              <w:rPr>
                <w:rFonts w:hint="eastAsia" w:ascii="宋体" w:hAnsi="宋体" w:eastAsia="宋体" w:cs="宋体"/>
                <w:color w:val="000000"/>
                <w:kern w:val="0"/>
                <w:sz w:val="18"/>
                <w:szCs w:val="18"/>
              </w:rPr>
              <w:t>费</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6"/>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打假办案经费项目绩效自评综述：根据年初设定的绩效目标，打假办案经费项目绩效自评得分为90分。全年预算数为5万元，执行数为5万元，完成预算的100%。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打假办案经费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震慑犯罪，保护合法经营，保障人民群众食品和用药安全</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有效震慑犯罪，保障了群众食品和用药安全。</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指标1：罚没收入</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9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指标2：食品药品违法案件</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指标1：案件查处</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2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指标2：上级授权案件或协查案件</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指标1：提高了群众的满意度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7"/>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药监局自收自支人员工资项目绩效自评综述：根据年初设定的绩效目标，药监局自收自支人员工资项目绩效自评得分为90分。全年预算数为118.7万元，执行数为118.7万元，完成预算的100%。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药监局自收自支人员工资</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118.7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118.7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118.7</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118.7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保障自收自支人员生活水平，维护自收自支人员合法权益</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维护人自支人员合法权益，保障了自支人员生活水平。</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4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指标1：自支人员基本工资</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指标2：自支人员社保缴费</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指标1：自支人员基本生活水平</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指标2：自支人员社保缴费水平</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8"/>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协管员经费项目绩效自评综述：根据年初设定的绩效目标，协管员经费项目绩效自评得分为90分。全年预算数为12.78万元，执行数为12.78万元，完成预算的100%。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协管员经费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12.78</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12.78</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12.78</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12.78</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落实食品协管员制度</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有效落实雷管员制度</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指标1：协管员覆盖率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指标2：雷管员工作计划</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指标1：协管员制度落实程度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9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指标2：协管员工作完成程度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8"/>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药品安全监管经费项目绩效自评综述：根据年初设定的绩效目标，药品安全监管经费项目绩效自评得分为90分。全年预算数为14万元，执行数为14万元，完成预算的100%。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药品安全监管经费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有效加强药品市场监管</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有效加强了药品市场监管力度</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指标1：监督检查计划</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指标2：监督检查频次</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9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指标1：药品生产企业监督检查</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指标2：药品经营企业监督检查</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8"/>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食品安全监管经费项目绩效自评综述：根据年初设定的绩效目标，食品安全监管经费项目绩效自评得分为90分。全年预算数为4万元，执行数为4万元，完成预算的100%。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食品安全监管经费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落实本部门食品安全监管职责</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有效落实食品安全监管</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指标1：食品抽检计划</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指标2：食品抽检批次</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指标1：食品抽检工作完成情况</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指标2：食品抽检效果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指标1：有效提高了群众满意度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ind w:firstLine="640" w:firstLineChars="200"/>
        <w:rPr>
          <w:rFonts w:ascii="仿宋_GB2312" w:hAnsi="仿宋_GB2312" w:eastAsia="仿宋_GB2312" w:cs="仿宋_GB2312"/>
          <w:sz w:val="32"/>
          <w:szCs w:val="32"/>
        </w:rPr>
      </w:pPr>
    </w:p>
    <w:p>
      <w:pPr>
        <w:numPr>
          <w:ilvl w:val="0"/>
          <w:numId w:val="8"/>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食药监日常公用经费项目绩效自评综述：根据年初设定的绩效目标，食品安全监管经费项目绩效自评得分为90分。全年预算数为57.12万元，执行数为57.12万元，完成预算的100%。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402"/>
        <w:gridCol w:w="732"/>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食药监日常公用经费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57.12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57.12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57.12</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57.12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充分发挥部门职能作，确保全县食品药品及县食安办职责履职到位</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有效发挥部门职能作用，确保了全县食品药品安全及食安办工作到位。</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指标1：食品药品监督日常工作</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指标2：食安办日常工作</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4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指标1：食品药品监管工作成效</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指标2：食安办工作绩效</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3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指标1：提高了群众满意度</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6"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3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8"/>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工商综合业务公用经费项目绩效自评综述：根据年初设定的绩效目标，工商综合业务公用经费项目绩效自评得分为90分。全年预算数为5.89万元，执行数为5.89万元，完成预算的100%。</w:t>
      </w: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工商综合业务管理公用经费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5.89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5.89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5.89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5.89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提高全系统人员业务能力和工作效率，提升机关效能</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有效提高了人员的业务能力</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指标1：业务培训</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指标2：党风廉政培训</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指标3：职责宣传</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指标1：业务培训工作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指标2：党风廉政培训工作</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指标3：职责文化宣传活动</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8"/>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工商综合事务管理公用经费项目绩效自评综述：根据年初设定的绩效目标，工商综合事务管理公用经费项目绩效自评得分为90分。全年预算数为20.5万元，执行数为20.5万元，完成预算的100%。</w:t>
      </w:r>
    </w:p>
    <w:p>
      <w:pPr>
        <w:spacing w:line="300" w:lineRule="exact"/>
        <w:rPr>
          <w:rFonts w:ascii="黑体" w:hAnsi="黑体" w:eastAsia="黑体"/>
          <w:sz w:val="32"/>
          <w:szCs w:val="32"/>
        </w:rPr>
      </w:pPr>
    </w:p>
    <w:tbl>
      <w:tblPr>
        <w:tblStyle w:val="8"/>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工商综合事务管理公用经费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市场监督管理局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保障工作环境</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改善了工作环境，提高了工作效率</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指标1：办公设备配备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指标2：维护办公场所</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指标3：维护信息平台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指标1：办公设备配备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指标2：维护办公场所</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指标3：维护信息平台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1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无</w:t>
      </w: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本部门2019年度机关运行经费支出409.59万元，比2018年度增加237.24万元，增长57.92%。主要原因是单位合并人员经费增加。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，占采购金额的0%，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占采购金额的0%。</w:t>
      </w:r>
      <w:r>
        <w:rPr>
          <w:rFonts w:ascii="仿宋_GB2312" w:hAnsi="Times New Roman" w:eastAsia="仿宋_GB2312" w:cs="DengXian-Regular"/>
          <w:sz w:val="32"/>
          <w:szCs w:val="32"/>
        </w:rPr>
        <w:t xml:space="preserve"> </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19辆，与年初持平，未发生增减变化。其中，副部（省）级及以上领导用车0辆，主要领导干部用车0辆，机要通信用车0辆，应急保障用车0辆，执法执勤用车0辆，特种专业技术用车0辆，离退休干部用车0辆，其他用车0辆，与上年持平；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万元以上通用设备0台（套），比上年增加（减少）0套，单位价值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万元以上专用设备0台（套）与上年持平未发生增减变化。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一般公共预算财政拨款“三公”经费支出决算、政府性基金、国有资本经营、无收支及结转结余情况，故一般公共预算财政拨款“三公”经费支出决算表、政府性基金预算财政拨款收入支出决算表、国有资本经营预算财政拨款支出决算表</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hub7&#10;J9sAAAAMAQAADwAAAAAAAAABACAAAAAiAAAAZHJzL2Rvd25yZXYueG1sUEsBAhQAFAAAAAgAh07i&#10;QO3bhBwfAgAATQQAAA4AAAAAAAAAAQAgAAAAKgEAAGRycy9lMm9Eb2MueG1sUEsFBgAAAAAGAAYA&#10;WQEAALsFAAAAAA==&#10;">
                <v:fill type="pattern" on="t" color2="#FFFFFF" focussize="0,0" r:id="rId28"/>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uBl92d0AAAANAQAADwAAAAAAAAABACAAAAAiAAAAZHJzL2Rvd25yZXYueG1sUEsBAhQAFAAAAAgA&#10;h07iQBAxTvMgAgAATgQAAA4AAAAAAAAAAQAgAAAALAEAAGRycy9lMm9Eb2MueG1sUEsFBgAAAAAG&#10;AAYAWQEAAL4FAAAAAA==&#10;">
                <v:fill type="pattern" on="t" color2="#FFFFFF" focussize="0,0" r:id="rId28"/>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jc w:val="left"/>
      </w:pPr>
    </w:p>
    <w:tbl>
      <w:tblPr>
        <w:tblStyle w:val="8"/>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601"/>
        <w:gridCol w:w="130"/>
        <w:gridCol w:w="935"/>
        <w:gridCol w:w="3230"/>
        <w:gridCol w:w="541"/>
        <w:gridCol w:w="844"/>
      </w:tblGrid>
      <w:tr>
        <w:tblPrEx>
          <w:tblCellMar>
            <w:top w:w="0" w:type="dxa"/>
            <w:left w:w="0" w:type="dxa"/>
            <w:bottom w:w="0" w:type="dxa"/>
            <w:right w:w="0" w:type="dxa"/>
          </w:tblCellMar>
        </w:tblPrEx>
        <w:trPr>
          <w:trHeight w:val="489"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0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6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15"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0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6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15"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9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61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2218.03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1679.32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428.19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69.48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2218.03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2226.99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8.96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9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2226.99　</w:t>
            </w:r>
          </w:p>
        </w:tc>
        <w:tc>
          <w:tcPr>
            <w:tcW w:w="3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2226.99　</w:t>
            </w:r>
          </w:p>
        </w:tc>
      </w:tr>
      <w:tr>
        <w:tblPrEx>
          <w:tblCellMar>
            <w:top w:w="0" w:type="dxa"/>
            <w:left w:w="0" w:type="dxa"/>
            <w:bottom w:w="0" w:type="dxa"/>
            <w:right w:w="0" w:type="dxa"/>
          </w:tblCellMar>
        </w:tblPrEx>
        <w:trPr>
          <w:trHeight w:val="213"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8"/>
        <w:tblW w:w="9700" w:type="dxa"/>
        <w:jc w:val="center"/>
        <w:tblLayout w:type="fixed"/>
        <w:tblCellMar>
          <w:top w:w="0" w:type="dxa"/>
          <w:left w:w="0" w:type="dxa"/>
          <w:bottom w:w="0" w:type="dxa"/>
          <w:right w:w="0" w:type="dxa"/>
        </w:tblCellMar>
      </w:tblPr>
      <w:tblGrid>
        <w:gridCol w:w="1021"/>
        <w:gridCol w:w="90"/>
        <w:gridCol w:w="27"/>
        <w:gridCol w:w="63"/>
        <w:gridCol w:w="1602"/>
        <w:gridCol w:w="884"/>
        <w:gridCol w:w="1012"/>
        <w:gridCol w:w="1013"/>
        <w:gridCol w:w="1012"/>
        <w:gridCol w:w="1013"/>
        <w:gridCol w:w="1012"/>
        <w:gridCol w:w="951"/>
      </w:tblGrid>
      <w:tr>
        <w:tblPrEx>
          <w:tblCellMar>
            <w:top w:w="0" w:type="dxa"/>
            <w:left w:w="0" w:type="dxa"/>
            <w:bottom w:w="0" w:type="dxa"/>
            <w:right w:w="0" w:type="dxa"/>
          </w:tblCellMar>
        </w:tblPrEx>
        <w:trPr>
          <w:trHeight w:val="1056" w:hRule="atLeast"/>
          <w:jc w:val="center"/>
        </w:trPr>
        <w:tc>
          <w:tcPr>
            <w:tcW w:w="9700" w:type="dxa"/>
            <w:gridSpan w:val="12"/>
            <w:tcBorders>
              <w:top w:val="nil"/>
              <w:left w:val="nil"/>
              <w:bottom w:val="nil"/>
              <w:right w:val="nil"/>
            </w:tcBorders>
            <w:shd w:val="clear" w:color="auto" w:fill="auto"/>
            <w:tcMar>
              <w:top w:w="15" w:type="dxa"/>
              <w:left w:w="15" w:type="dxa"/>
              <w:right w:w="15" w:type="dxa"/>
            </w:tcMar>
            <w:vAlign w:val="bottom"/>
          </w:tcPr>
          <w:p>
            <w:pPr>
              <w:widowControl/>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11" w:hRule="atLeast"/>
          <w:jc w:val="center"/>
        </w:trPr>
        <w:tc>
          <w:tcPr>
            <w:tcW w:w="102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0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8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6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11" w:hRule="atLeast"/>
          <w:jc w:val="center"/>
        </w:trPr>
        <w:tc>
          <w:tcPr>
            <w:tcW w:w="102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9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0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8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76"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43" w:hRule="atLeast"/>
          <w:jc w:val="center"/>
        </w:trPr>
        <w:tc>
          <w:tcPr>
            <w:tcW w:w="280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88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0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10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9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39" w:hRule="atLeast"/>
          <w:jc w:val="center"/>
        </w:trPr>
        <w:tc>
          <w:tcPr>
            <w:tcW w:w="113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6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jc w:val="center"/>
        </w:trPr>
        <w:tc>
          <w:tcPr>
            <w:tcW w:w="113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6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6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280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43" w:hRule="atLeast"/>
          <w:jc w:val="center"/>
        </w:trPr>
        <w:tc>
          <w:tcPr>
            <w:tcW w:w="280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2218.03</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2218.3</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543" w:hRule="atLeast"/>
          <w:jc w:val="center"/>
        </w:trPr>
        <w:tc>
          <w:tcPr>
            <w:tcW w:w="11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6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一般公共服务支出与</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1670.36</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1670.36</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43" w:hRule="atLeast"/>
          <w:jc w:val="center"/>
        </w:trPr>
        <w:tc>
          <w:tcPr>
            <w:tcW w:w="11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w:t>
            </w:r>
          </w:p>
        </w:tc>
        <w:tc>
          <w:tcPr>
            <w:tcW w:w="16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市场监督管理事务</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1670.36</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1670.36</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2013801</w:t>
            </w:r>
          </w:p>
        </w:tc>
        <w:tc>
          <w:tcPr>
            <w:tcW w:w="16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1364.69</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1364.69</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2013802</w:t>
            </w:r>
          </w:p>
        </w:tc>
        <w:tc>
          <w:tcPr>
            <w:tcW w:w="16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一般行政管理事务</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116.64</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116.64</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2013804</w:t>
            </w:r>
          </w:p>
        </w:tc>
        <w:tc>
          <w:tcPr>
            <w:tcW w:w="16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市场监督管理专项</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132.93</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132.93</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2013805</w:t>
            </w:r>
          </w:p>
        </w:tc>
        <w:tc>
          <w:tcPr>
            <w:tcW w:w="16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市场监管执法</w:t>
            </w:r>
          </w:p>
        </w:tc>
        <w:tc>
          <w:tcPr>
            <w:tcW w:w="8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2013806</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消费者权益保护</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2013812</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药品事务</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428.109</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428.19</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378.51</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378.51</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归口管理的行政单位离退休</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122.72</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122.72</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事业单位离退休</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4.70</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4.70</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241.56</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241.56</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机关事业单位职业年金缴费支出</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9.53</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9.53</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死亡抚恤</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退役士兵安置</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财政对其他社会保险资金补助</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财政对工伤保险资金的补助</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4.64</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4.64</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2082701</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财政对生育保险资金的补助</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215</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资源勘探信息等支出</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21508</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支持中小企业发展和管理支出</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43" w:hRule="atLeast"/>
          <w:jc w:val="center"/>
        </w:trPr>
        <w:tc>
          <w:tcPr>
            <w:tcW w:w="113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2150899</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其他支持中小企业发展和管理支出</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jc w:val="left"/>
      </w:pPr>
      <w:r>
        <w:rPr>
          <w:rFonts w:hint="eastAsia" w:ascii="宋体" w:hAnsi="宋体" w:eastAsia="宋体" w:cs="宋体"/>
          <w:color w:val="000000"/>
          <w:kern w:val="0"/>
          <w:sz w:val="22"/>
        </w:rPr>
        <w:t>注：本表反映部门本年度取得的各项收入情况。</w:t>
      </w:r>
    </w:p>
    <w:p>
      <w:r>
        <w:br w:type="page"/>
      </w:r>
    </w:p>
    <w:tbl>
      <w:tblPr>
        <w:tblStyle w:val="8"/>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2226.99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2140.99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一般公共服务支出与</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1679.32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1679.32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市场监督管理事务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1679.32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1643.22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1364.69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1364.69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125.64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125.61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市场监督管理专项</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2013805</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市场监管执法</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2013806</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消费者权益保护</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2013812</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药品事务</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428.19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428.19</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378.51</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378.51</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归口管理的行政单位离退休</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122.72</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122.72</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事业单位离退休</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241.56</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241.56</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机关事业单位职业年金缴费支出</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死亡抚恤</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退役士兵安置</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财政对其他社会保险资金补助</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财政对工伤保险资金的补助</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4.64</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4.64</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2082701</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财政对生育保险资金的补助</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215</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资源勘探信息等支出</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21508</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支持中小企业发展和管理支出</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2150899</w:t>
            </w:r>
          </w:p>
        </w:tc>
        <w:tc>
          <w:tcPr>
            <w:tcW w:w="13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其他支持中小企业发展和管理支出</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color w:val="000000"/>
          <w:kern w:val="0"/>
          <w:sz w:val="22"/>
        </w:rPr>
        <w:t>注：本表反映部门本年度各项支出情况。</w:t>
      </w:r>
      <w:r>
        <w:br w:type="page"/>
      </w:r>
    </w:p>
    <w:tbl>
      <w:tblPr>
        <w:tblStyle w:val="8"/>
        <w:tblW w:w="9703" w:type="dxa"/>
        <w:jc w:val="center"/>
        <w:tblLayout w:type="fixed"/>
        <w:tblCellMar>
          <w:top w:w="0" w:type="dxa"/>
          <w:left w:w="0" w:type="dxa"/>
          <w:bottom w:w="0" w:type="dxa"/>
          <w:right w:w="0" w:type="dxa"/>
        </w:tblCellMar>
      </w:tblPr>
      <w:tblGrid>
        <w:gridCol w:w="2922"/>
        <w:gridCol w:w="425"/>
        <w:gridCol w:w="836"/>
        <w:gridCol w:w="2950"/>
        <w:gridCol w:w="329"/>
        <w:gridCol w:w="846"/>
        <w:gridCol w:w="810"/>
        <w:gridCol w:w="402"/>
        <w:gridCol w:w="183"/>
      </w:tblGrid>
      <w:tr>
        <w:tblPrEx>
          <w:tblCellMar>
            <w:top w:w="0" w:type="dxa"/>
            <w:left w:w="0" w:type="dxa"/>
            <w:bottom w:w="0" w:type="dxa"/>
            <w:right w:w="0" w:type="dxa"/>
          </w:tblCellMar>
        </w:tblPrEx>
        <w:trPr>
          <w:trHeight w:val="406" w:hRule="atLeast"/>
          <w:jc w:val="center"/>
        </w:trPr>
        <w:tc>
          <w:tcPr>
            <w:tcW w:w="9703" w:type="dxa"/>
            <w:gridSpan w:val="9"/>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41"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41"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18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20"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3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58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2218.03</w:t>
            </w: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167.18</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1677.18</w:t>
            </w: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428.19</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428.19</w:t>
            </w: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2218.03</w:t>
            </w: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2224.86</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2224.86</w:t>
            </w: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6.83</w:t>
            </w: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6.83</w:t>
            </w: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83" w:type="dxa"/>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83" w:type="dxa"/>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83" w:type="dxa"/>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2224.86</w:t>
            </w:r>
          </w:p>
        </w:tc>
        <w:tc>
          <w:tcPr>
            <w:tcW w:w="29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2224.86</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2224.86</w:t>
            </w:r>
          </w:p>
        </w:tc>
        <w:tc>
          <w:tcPr>
            <w:tcW w:w="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83" w:type="dxa"/>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8"/>
        <w:tblW w:w="9990" w:type="dxa"/>
        <w:jc w:val="center"/>
        <w:tblLayout w:type="fixed"/>
        <w:tblCellMar>
          <w:top w:w="0" w:type="dxa"/>
          <w:left w:w="0" w:type="dxa"/>
          <w:bottom w:w="0" w:type="dxa"/>
          <w:right w:w="0" w:type="dxa"/>
        </w:tblCellMar>
      </w:tblPr>
      <w:tblGrid>
        <w:gridCol w:w="1174"/>
        <w:gridCol w:w="67"/>
        <w:gridCol w:w="67"/>
        <w:gridCol w:w="38"/>
        <w:gridCol w:w="1657"/>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00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00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2226.99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2140.99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86</w:t>
            </w:r>
          </w:p>
        </w:tc>
      </w:tr>
      <w:tr>
        <w:tblPrEx>
          <w:tblCellMar>
            <w:top w:w="0" w:type="dxa"/>
            <w:left w:w="0" w:type="dxa"/>
            <w:bottom w:w="0" w:type="dxa"/>
            <w:right w:w="0" w:type="dxa"/>
          </w:tblCellMar>
        </w:tblPrEx>
        <w:trPr>
          <w:trHeight w:val="308" w:hRule="atLeast"/>
          <w:jc w:val="center"/>
        </w:trPr>
        <w:tc>
          <w:tcPr>
            <w:tcW w:w="134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一般公共服务支出与</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1679.32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1679.32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w:t>
            </w:r>
          </w:p>
        </w:tc>
      </w:tr>
      <w:tr>
        <w:tblPrEx>
          <w:tblCellMar>
            <w:top w:w="0" w:type="dxa"/>
            <w:left w:w="0" w:type="dxa"/>
            <w:bottom w:w="0" w:type="dxa"/>
            <w:right w:w="0" w:type="dxa"/>
          </w:tblCellMar>
        </w:tblPrEx>
        <w:trPr>
          <w:trHeight w:val="308" w:hRule="atLeast"/>
          <w:jc w:val="center"/>
        </w:trPr>
        <w:tc>
          <w:tcPr>
            <w:tcW w:w="134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市场监督管理事务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1679.32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1643.22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w:t>
            </w:r>
          </w:p>
        </w:tc>
      </w:tr>
      <w:tr>
        <w:tblPrEx>
          <w:tblCellMar>
            <w:top w:w="0" w:type="dxa"/>
            <w:left w:w="0" w:type="dxa"/>
            <w:bottom w:w="0" w:type="dxa"/>
            <w:right w:w="0" w:type="dxa"/>
          </w:tblCellMar>
        </w:tblPrEx>
        <w:trPr>
          <w:trHeight w:val="308" w:hRule="atLeast"/>
          <w:jc w:val="center"/>
        </w:trPr>
        <w:tc>
          <w:tcPr>
            <w:tcW w:w="134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2013801</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1364.69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1364.69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2013802</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一般行政管理事务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125.64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125.61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2013804</w:t>
            </w:r>
          </w:p>
        </w:tc>
        <w:tc>
          <w:tcPr>
            <w:tcW w:w="1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220" w:firstLineChars="100"/>
              <w:jc w:val="left"/>
              <w:rPr>
                <w:rFonts w:ascii="宋体" w:hAnsi="宋体" w:eastAsia="宋体" w:cs="宋体"/>
                <w:color w:val="000000"/>
                <w:sz w:val="22"/>
              </w:rPr>
            </w:pPr>
            <w:r>
              <w:rPr>
                <w:rFonts w:hint="eastAsia" w:ascii="宋体" w:hAnsi="宋体" w:eastAsia="宋体" w:cs="宋体"/>
                <w:color w:val="000000"/>
                <w:sz w:val="22"/>
              </w:rPr>
              <w:t>市场监督管理专项</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w:t>
            </w:r>
          </w:p>
        </w:tc>
      </w:tr>
      <w:tr>
        <w:tblPrEx>
          <w:tblCellMar>
            <w:top w:w="0" w:type="dxa"/>
            <w:left w:w="0" w:type="dxa"/>
            <w:bottom w:w="0" w:type="dxa"/>
            <w:right w:w="0" w:type="dxa"/>
          </w:tblCellMar>
        </w:tblPrEx>
        <w:trPr>
          <w:trHeight w:val="308" w:hRule="atLeast"/>
          <w:jc w:val="center"/>
        </w:trPr>
        <w:tc>
          <w:tcPr>
            <w:tcW w:w="1346" w:type="dxa"/>
            <w:gridSpan w:val="4"/>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2013805</w:t>
            </w:r>
          </w:p>
        </w:tc>
        <w:tc>
          <w:tcPr>
            <w:tcW w:w="165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市场监管执法</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2013806</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消费者权益保护</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2013812</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药品事务</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13</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13</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428.19</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428.19</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378.51</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378.51</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归口管理的行政单位离退休</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122.72</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122.72</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事业单位离退休</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4.70</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4.70</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241.56</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241.56</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机关事业单位职业年金缴费支出</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9.53</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9.53</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死亡抚恤</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41.35</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退役士兵安置</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2.56</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财政对其他社会保险资金补助</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5.78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财政对工伤保险资金的补助</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4.64</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4.64</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2082701</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财政对生育保险资金的补助</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69.48</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215</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资源勘探信息等支出</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21508</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支持中小企业发展和管理支出</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r>
      <w:tr>
        <w:tblPrEx>
          <w:tblCellMar>
            <w:top w:w="0" w:type="dxa"/>
            <w:left w:w="0" w:type="dxa"/>
            <w:bottom w:w="0" w:type="dxa"/>
            <w:right w:w="0" w:type="dxa"/>
          </w:tblCellMar>
        </w:tblPrEx>
        <w:trPr>
          <w:trHeight w:val="308" w:hRule="atLeast"/>
          <w:jc w:val="center"/>
        </w:trPr>
        <w:tc>
          <w:tcPr>
            <w:tcW w:w="1346" w:type="dxa"/>
            <w:gridSpan w:val="4"/>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2150899</w:t>
            </w:r>
          </w:p>
        </w:tc>
        <w:tc>
          <w:tcPr>
            <w:tcW w:w="1657"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其他支持中小企业发展和管理支出</w:t>
            </w: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50</w:t>
            </w:r>
          </w:p>
        </w:tc>
      </w:tr>
    </w:tbl>
    <w:p>
      <w:r>
        <w:br w:type="page"/>
      </w:r>
    </w:p>
    <w:tbl>
      <w:tblPr>
        <w:tblStyle w:val="8"/>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1560.5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409.59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591.44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73.94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393.47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48.50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40.03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98.55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303.34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7.82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40.40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87.49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5.78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168.77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20.96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24.76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106.46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41.35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83.48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112.85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1729.27</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409.59</w:t>
            </w:r>
          </w:p>
        </w:tc>
      </w:tr>
    </w:tbl>
    <w:p>
      <w:r>
        <w:br w:type="page"/>
      </w:r>
    </w:p>
    <w:tbl>
      <w:tblPr>
        <w:tblStyle w:val="8"/>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p>
    <w:p>
      <w:r>
        <w:rPr>
          <w:rFonts w:hint="eastAsia" w:ascii="宋体" w:hAnsi="宋体" w:eastAsia="宋体" w:cs="宋体"/>
          <w:color w:val="000000"/>
          <w:kern w:val="0"/>
          <w:sz w:val="22"/>
        </w:rPr>
        <w:t>本部门本年度无相关收支及结转结余等</w:t>
      </w:r>
      <w:r>
        <w:rPr>
          <w:rFonts w:hint="eastAsia" w:ascii="宋体" w:hAnsi="宋体" w:eastAsia="宋体" w:cs="宋体"/>
          <w:color w:val="000000"/>
          <w:kern w:val="0"/>
          <w:sz w:val="22"/>
        </w:rPr>
        <w:tab/>
      </w:r>
      <w:r>
        <w:rPr>
          <w:rFonts w:hint="eastAsia" w:ascii="宋体" w:hAnsi="宋体" w:eastAsia="宋体" w:cs="宋体"/>
          <w:color w:val="000000"/>
          <w:kern w:val="0"/>
          <w:sz w:val="22"/>
        </w:rPr>
        <w:t>，故空表列式。</w:t>
      </w:r>
      <w:r>
        <w:rPr>
          <w:rFonts w:hint="eastAsia" w:ascii="宋体" w:hAnsi="宋体" w:eastAsia="宋体" w:cs="宋体"/>
          <w:color w:val="000000"/>
          <w:kern w:val="0"/>
          <w:sz w:val="22"/>
        </w:rPr>
        <w:tab/>
      </w:r>
      <w:r>
        <w:tab/>
      </w:r>
      <w:r>
        <w:tab/>
      </w:r>
      <w:r>
        <w:tab/>
      </w:r>
      <w:r>
        <w:tab/>
      </w:r>
      <w:r>
        <w:tab/>
      </w:r>
      <w:r>
        <w:br w:type="page"/>
      </w:r>
    </w:p>
    <w:tbl>
      <w:tblPr>
        <w:tblStyle w:val="8"/>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color w:val="000000"/>
          <w:kern w:val="0"/>
          <w:sz w:val="22"/>
        </w:rPr>
        <w:t>本部门本年度无相关收支及结转结余等，空表列式。</w:t>
      </w:r>
      <w:r>
        <w:br w:type="page"/>
      </w:r>
    </w:p>
    <w:tbl>
      <w:tblPr>
        <w:tblStyle w:val="8"/>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color w:val="000000"/>
          <w:kern w:val="0"/>
          <w:sz w:val="22"/>
        </w:rPr>
        <w:t>本部门本年度无相关收支及结转结余等，空表列式。</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CCby1/dAAAADwEAAA8AAAAAAAAAAQAgAAAAIgAAAGRycy9kb3ducmV2LnhtbFBL&#10;AQIUABQAAAAIAIdO4kB0Arx+YwIAAJoEAAAOAAAAAAAAAAEAIAAAACwBAABkcnMvZTJvRG9jLnht&#10;bFBLBQYAAAAABgAGAFkBAAABBg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60"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- 63 -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zfd/c9kAAAAK&#10;AQAADwAAAAAAAAABACAAAAAiAAAAZHJzL2Rvd25yZXYueG1sUEsBAhQAFAAAAAgAh07iQIfViyAb&#10;AgAAFgQAAA4AAAAAAAAAAQAgAAAAKAEAAGRycy9lMm9Eb2MueG1sUEsFBgAAAAAGAAYAWQEAALUF&#10;A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- 63 -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9"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- 42 -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A+UcT/ZAAAA&#10;CQEAAA8AAAAAAAAAAQAgAAAAIgAAAGRycy9kb3ducmV2LnhtbFBLAQIUABQAAAAIAIdO4kBrqSxu&#10;HAIAABYEAAAOAAAAAAAAAAEAIAAAACgBAABkcnMvZTJvRG9jLnhtbFBLBQYAAAAABgAGAFkBAAC2&#10;BQ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- 42 -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50"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F1c372QAAAAoB&#10;AAAPAAAAAAAAAAEAIAAAACIAAABkcnMvZG93bnJldi54bWxQSwECFAAUAAAACACHTuJABU0+fBoC&#10;AAAWBAAADgAAAAAAAAABACAAAAAoAQAAZHJzL2Uyb0RvYy54bWxQSwUGAAAAAAYABgBZAQAAtAUA&#10;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1"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- 45 -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M33f3PZAAAACgEA&#10;AA8AAAAAAAAAAQAgAAAAIgAAAGRycy9kb3ducmV2LnhtbFBLAQIUABQAAAAIAIdO4kBnB6kfGQIA&#10;ABUEAAAOAAAAAAAAAAEAIAAAACgBAABkcnMvZTJvRG9jLnhtbFBLBQYAAAAABgAGAFkBAACzBQAA&#10;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- 45 -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52"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L7iloza&#10;AAAACgEAAA8AAAAAAAAAAQAgAAAAIgAAAGRycy9kb3ducmV2LnhtbFBLAQIUABQAAAAIAIdO4kCU&#10;7dQrHgIAABcEAAAOAAAAAAAAAAEAIAAAACkBAABkcnMvZTJvRG9jLnhtbFBLBQYAAAAABgAGAFkB&#10;AAC5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7Mb3udcAAAAHAQAADwAAAAAAAAABACAA&#10;AAAiAAAAZHJzL2Rvd25yZXYueG1sUEsBAhQAFAAAAAgAh07iQPafLrwrAwAAXwgAAA4AAAAAAAAA&#10;AQAgAAAAJgEAAGRycy9lMm9Eb2MueG1sUEsFBgAAAAAGAAYAWQEAAMM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26"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203"/>
                      </a:xfrm>
                    </wpg:grpSpPr>
                    <wps:wsp>
                      <wps:cNvPr id="23" name="矩形 2"/>
                      <wps:cNvSpPr/>
                      <wps:spPr>
                        <a:xfrm>
                          <a:off x="881" y="1538"/>
                          <a:ext cx="11925" cy="146"/>
                        </a:xfrm>
                        <a:prstGeom prst="rect">
                          <a:avLst/>
                        </a:prstGeom>
                        <a:solidFill>
                          <a:srgbClr val="FFD966"/>
                        </a:solidFill>
                        <a:ln w="12700">
                          <a:noFill/>
                        </a:ln>
                      </wps:spPr>
                      <wps:bodyPr anchor="ctr" anchorCtr="0" upright="1"/>
                    </wps:wsp>
                    <wps:wsp>
                      <wps:cNvPr id="24"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5"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">
              <o:lock v:ext="edit" aspectratio="f"/>
              <v:rect id="矩形 2" o:spid="_x0000_s1026" o:spt="1" style="position:absolute;left:881;top:1538;height:146;width:11925;v-text-anchor:middle;" fillcolor="#FFD966" filled="t" stroked="f" coordsize="21600,21600" o:gfxdata="UEsDBAoAAAAAAIdO4kAAAAAAAAAAAAAAAAAEAAAAZHJzL1BLAwQUAAAACACHTuJAPwHk2L0AAADb&#10;AAAADwAAAGRycy9kb3ducmV2LnhtbEWPzWrDMBCE74W+g9hCLiWR7NI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eTY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QSeF70AAADb&#10;AAAADwAAAGRycy9kb3ducmV2LnhtbEWPT4vCMBTE7wv7HcITvK1pRUS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BJ4X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7g5NLsAAADb&#10;AAAADwAAAGRycy9kb3ducmV2LnhtbEWP3YrCMBSE7wXfIRzBG1nTCrrSNYo/iN5JXR/g0JxtyjYn&#10;pYlafXojLOzlMDPfMItVZ2txo9ZXjhWk4wQEceF0xaWCy/f+Yw7CB2SNtWNS8CAPq2W/t8BMuzvn&#10;dDuHUkQI+wwVmBCaTEpfGLLox64hjt6Pay2GKNtS6hbvEW5rOUmSmbRYcVww2NDWUPF7vloFdKDc&#10;pFvPXV6sT83n6Lmh506p4SBNvkAE6sJ/+K991AomU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g5NL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71"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203"/>
                      </a:xfrm>
                    </wpg:grpSpPr>
                    <wps:wsp>
                      <wps:cNvPr id="68" name="矩形 2"/>
                      <wps:cNvSpPr/>
                      <wps:spPr>
                        <a:xfrm>
                          <a:off x="881" y="1538"/>
                          <a:ext cx="11925" cy="146"/>
                        </a:xfrm>
                        <a:prstGeom prst="rect">
                          <a:avLst/>
                        </a:prstGeom>
                        <a:solidFill>
                          <a:srgbClr val="FFD966"/>
                        </a:solidFill>
                        <a:ln w="12700">
                          <a:noFill/>
                        </a:ln>
                      </wps:spPr>
                      <wps:bodyPr anchor="ctr" anchorCtr="0" upright="1"/>
                    </wps:wsp>
                    <wps:wsp>
                      <wps:cNvPr id="6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70"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6912;mso-width-relative:page;mso-height-relative:page;" coordorigin="881,505" coordsize="11971,1179203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">
              <o:lock v:ext="edit" aspectratio="f"/>
              <v:rect id="矩形 2" o:spid="_x0000_s1026" o:spt="1" style="position:absolute;left:881;top:1538;height:146;width:11925;v-text-anchor:middle;" fillcolor="#FFD966" filled="t" stroked="f" coordsize="21600,21600" o:gfxdata="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fPz2m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EW+ISbwAAADb&#10;AAAADwAAAGRycy9kb3ducmV2LnhtbEWPT4vCMBTE74LfIbyFvWlaD6LV1MMuiiwe/AdeH83btrR5&#10;KUms9dtvFgSPw8z8hllvBtOKnpyvLStIpwkI4sLqmksF18t2sgDhA7LG1jIpeJKHTT4erTHT9sEn&#10;6s+hFBHCPkMFVQhdJqUvKjLop7Yjjt6vdQZDlK6U2uEjwk0rZ0kylwZrjgsVdvRVUdGc70bBvf8+&#10;/pz2i/R2OAy7Z3Nz/kJOqc+PNFmBCDSEd/jV3msF8yX8f4k/QOZ/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FviEm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y1sbcAAADb&#10;AAAADwAAAGRycy9kb3ducmV2LnhtbEVPy4rCMBTdC/5DuMJsRNPOYpRqFB+I7qTqB1yaa1NsbkoT&#10;tfr1ZjHg8nDe82Vna/Gg1leOFaTjBARx4XTFpYLLeTeagvABWWPtmBS8yMNy0e/NMdPuyTk9TqEU&#10;MYR9hgpMCE0mpS8MWfRj1xBH7upaiyHCtpS6xWcMt7X8TZI/abHi2GCwoY2h4na6WwW0p9ykG89d&#10;XqyOzWT4XtN7q9TPIE1mIAJ14Sv+dx+0gklcH7/EHyA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8fLWxtwAAANsAAAAP&#10;AAAAAAAAAAEAIAAAACIAAABkcnMvZG93bnJldi54bWxQSwECFAAUAAAACACHTuJAMy8FnjsAAAA5&#10;AAAAEAAAAAAAAAABACAAAAAGAQAAZHJzL3NoYXBleG1sLnhtbFBLBQYAAAAABgAGAFsBAACwAwAA&#10;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72"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oWcB2wAAAAoBAAAPAAAAAAAAAAEAIAAAACIAAABkcnMvZG93bnJldi54bWxQSwECFAAUAAAA&#10;CACHTuJAa8/I9iQCAAAnBAAADgAAAAAAAAABACAAAAAqAQAAZHJzL2Uyb0RvYy54bWxQSwUGAAAA&#10;AAYABgBZAQAAwAU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64"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203"/>
                      </a:xfrm>
                    </wpg:grpSpPr>
                    <wps:wsp>
                      <wps:cNvPr id="61" name="矩形 2"/>
                      <wps:cNvSpPr/>
                      <wps:spPr>
                        <a:xfrm>
                          <a:off x="881" y="1538"/>
                          <a:ext cx="11925" cy="146"/>
                        </a:xfrm>
                        <a:prstGeom prst="rect">
                          <a:avLst/>
                        </a:prstGeom>
                        <a:solidFill>
                          <a:srgbClr val="FFD966"/>
                        </a:solidFill>
                        <a:ln w="12700">
                          <a:noFill/>
                        </a:ln>
                      </wps:spPr>
                      <wps:bodyPr anchor="ctr" anchorCtr="0" upright="1"/>
                    </wps:wsp>
                    <wps:wsp>
                      <wps:cNvPr id="62"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">
              <o:lock v:ext="edit" aspectratio="f"/>
              <v:rect id="矩形 2" o:spid="_x0000_s1026" o:spt="1" style="position:absolute;left:881;top:1538;height:146;width:11925;v-text-anchor:middle;" fillcolor="#FFD966" filled="t" stroked="f" coordsize="21600,21600" o:gfxdata="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b1ZvS8AAAA&#10;2w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H8saOL0AAADb&#10;AAAADwAAAGRycy9kb3ducmV2LnhtbEWPQWuDQBSE74X+h+UVequrOYRg3XhoaQnFQ5MUvD7cVxXd&#10;t7K7Mfrvu4VAjsPMfMMU5WJGMZPzvWUFWZKCIG6s7rlV8HP+eNmB8AFZ42iZFKzkodw/PhSYa3vl&#10;I82n0IoIYZ+jgi6EKZfSNx0Z9ImdiKP3a53BEKVrpXZ4jXAzyk2abqXBnuNChxO9ddQMp4tRcJnf&#10;v7+Oh11WV9XyuQ6182dySj0/ZekriEBLuIdv7YNWsN3A/5f4A+T+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yxo4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iXe9G7sAAADb&#10;AAAADwAAAGRycy9kb3ducmV2LnhtbEWP3YrCMBSE7wXfIRzBG1nTKujSNYo/LHon1X2AQ3O2Kduc&#10;lCZq16c3guDlMDPfMItVZ2txpdZXjhWk4wQEceF0xaWCn/P3xycIH5A11o5JwT95WC37vQVm2t04&#10;p+splCJC2GeowITQZFL6wpBFP3YNcfR+XWsxRNmWUrd4i3Bby0mSzKTFiuOCwYa2hoq/08UqoD3l&#10;Jt167vJifWzmo/uG7julhoM0+QIRqAvv8Kt90ApmU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Xe9G7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65"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6"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DHpuwe1wAAAAcBAAAPAAAAAAAAAAEAIAAA&#10;ACIAAABkcnMvZG93bnJldi54bWxQSwECFAAUAAAACACHTuJAnO01kioDAABfCAAADgAAAAAAAAAB&#10;ACAAAAAmAQAAZHJzL2Uyb0RvYy54bWxQSwUGAAAAAAYABgBZAQAAwgYAAAAA&#10;">
              <o:lock v:ext="edit" aspectratio="f"/>
              <v:shape id="文本框 6" o:spid="_x0000_s1026" o:spt="202" type="#_x0000_t202" style="position:absolute;left:1401;top:880;height:641;width:3087;" filled="f" stroked="f" coordsize="21600,21600" o:gfxdata="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hwcS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9HXQT7wAAADb&#10;AAAADwAAAGRycy9kb3ducmV2LnhtbEWPQWsCMRSE7wX/Q3iCl6LJSqvbrVFEFHp1Kz2/bl53Fzcv&#10;SxJX/femUOhxmJlvmNXmZjsxkA+tYw3ZTIEgrpxpudZw+jxMcxAhIhvsHJOGOwXYrEdPKyyMu/KR&#10;hjLWIkE4FKihibEvpAxVQxbDzPXEyftx3mJM0tfSeLwmuO3kXKmFtNhyWmiwp11D1bm82EQ5vW1f&#10;5T7/zl6ed1+5H7LyqA5aT8aZegcR6Rb/w3/tD6NhsYTfL+kHyP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10E+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56"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203"/>
                      </a:xfrm>
                    </wpg:grpSpPr>
                    <wps:wsp>
                      <wps:cNvPr id="53" name="矩形 2"/>
                      <wps:cNvSpPr/>
                      <wps:spPr>
                        <a:xfrm>
                          <a:off x="881" y="1538"/>
                          <a:ext cx="11925" cy="146"/>
                        </a:xfrm>
                        <a:prstGeom prst="rect">
                          <a:avLst/>
                        </a:prstGeom>
                        <a:solidFill>
                          <a:srgbClr val="FFD966"/>
                        </a:solidFill>
                        <a:ln w="12700">
                          <a:noFill/>
                        </a:ln>
                      </wps:spPr>
                      <wps:bodyPr anchor="ctr" anchorCtr="0" upright="1"/>
                    </wps:wsp>
                    <wps:wsp>
                      <wps:cNvPr id="54"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5"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">
              <o:lock v:ext="edit" aspectratio="f"/>
              <v:rect id="矩形 2" o:spid="_x0000_s1026" o:spt="1" style="position:absolute;left:881;top:1538;height:146;width:11925;v-text-anchor:middle;" fillcolor="#FFD966" filled="t" stroked="f" coordsize="21600,21600" o:gfxdata="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B5el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LtarwAAADb&#10;AAAADwAAAGRycy9kb3ducmV2LnhtbEWPQYvCMBSE78L+h/AW9qZpZRWpRg+7rIh40Cp4fTRv22Lz&#10;UpJY6783guBxmJlvmMWqN43oyPnasoJ0lIAgLqyuuVRwOv4NZyB8QNbYWCYFd/KwWn4MFphpe+MD&#10;dXkoRYSwz1BBFUKbSemLigz6kW2Jo/dvncEQpSuldniLcNPIcZJMpcGa40KFLf1UVFzyq1Fw7X73&#10;28Nmlp53u359v5ydP5JT6uszTeYgAvXhHX61N1rB5Bu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C7Wq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p75KSbsAAADb&#10;AAAADwAAAGRycy9kb3ducmV2LnhtbEWP3YrCMBSE7xd8h3AEbxZNK7g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75KSb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57"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8IBA+1wAAAAcBAAAPAAAAAAAA&#10;AAEAIAAAACIAAABkcnMvZG93bnJldi54bWxQSwECFAAUAAAACACHTuJAfRTv4TADAABfCAAADgAA&#10;AAAAAAABACAAAAAmAQAAZHJzL2Uyb0RvYy54bWxQSwUGAAAAAAYABgBZAQAAyAYAAAAA&#10;">
              <o:lock v:ext="edit" aspectratio="f"/>
              <v:shape id="文本框 6" o:spid="_x0000_s1026" o:spt="202" type="#_x0000_t202" style="position:absolute;left:1401;top:880;height:641;width:3087;" filled="f" stroked="f" coordsize="21600,21600" o:gfxdata="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zj8Rr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JMorG7wAAADb&#10;AAAADwAAAGRycy9kb3ducmV2LnhtbEWPQWsCMRSE7wX/Q3iCl6LJSi3r1igiCl7diufXzevu0s3L&#10;ksRV/70pFHocZuYbZrW5204M5EPrWEM2UyCIK2darjWcPw/THESIyAY7x6ThQQE269HLCgvjbnyi&#10;oYy1SBAOBWpoYuwLKUPVkMUwcz1x8r6dtxiT9LU0Hm8Jbjs5V+pdWmw5LTTY066h6qe82kQ5L7cL&#10;uc+/srfX3SX3Q1ae1EHryThTHyAi3eN/+K99NBoWS/j9kn6AX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TKKxu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48"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203"/>
                      </a:xfrm>
                    </wpg:grpSpPr>
                    <wps:wsp>
                      <wps:cNvPr id="45" name="矩形 2"/>
                      <wps:cNvSpPr/>
                      <wps:spPr>
                        <a:xfrm>
                          <a:off x="881" y="1538"/>
                          <a:ext cx="11925" cy="146"/>
                        </a:xfrm>
                        <a:prstGeom prst="rect">
                          <a:avLst/>
                        </a:prstGeom>
                        <a:solidFill>
                          <a:srgbClr val="FFD966"/>
                        </a:solidFill>
                        <a:ln w="12700">
                          <a:noFill/>
                        </a:ln>
                      </wps:spPr>
                      <wps:bodyPr anchor="ctr" anchorCtr="0" upright="1"/>
                    </wps:wsp>
                    <wps:wsp>
                      <wps:cNvPr id="4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203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">
              <o:lock v:ext="edit" aspectratio="f"/>
              <v:rect id="矩形 2" o:spid="_x0000_s1026" o:spt="1" style="position:absolute;left:881;top:1538;height:146;width:11925;v-text-anchor:middle;" fillcolor="#FFD966" filled="t" stroked="f" coordsize="21600,21600" o:gfxdata="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ezyX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K0VAW70AAADb&#10;AAAADwAAAGRycy9kb3ducmV2LnhtbEWPT4vCMBTE78J+h/AEb5pWFp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RUBb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vfnneL0AAADb&#10;AAAADwAAAGRycy9kb3ducmV2LnhtbEWPwWrDMBBE74X+g9hALqWRXUJ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ed4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NFLiJHZAAAACQEAAA8A&#10;AAAAAAAAAQAgAAAAIgAAAGRycy9kb3ducmV2LnhtbFBLAQIUABQAAAAIAIdO4kDPxYH+MwMAAGII&#10;AAAOAAAAAAAAAAEAIAAAACgBAABkcnMvZTJvRG9jLnhtbFBLBQYAAAAABgAGAFkBAADN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N5InYDYAAAACAEAAA8AAAAA&#10;AAAAAQAgAAAAIgAAAGRycy9kb3ducmV2LnhtbFBLAQIUABQAAAAIAIdO4kBUNaK5MQMAAGIIAAAO&#10;AAAAAAAAAAEAIAAAACcBAABkcnMvZTJvRG9jLnhtbFBLBQYAAAAABgAGAFkBAADK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34"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203"/>
                      </a:xfrm>
                    </wpg:grpSpPr>
                    <wps:wsp>
                      <wps:cNvPr id="27" name="矩形 2"/>
                      <wps:cNvSpPr/>
                      <wps:spPr>
                        <a:xfrm>
                          <a:off x="881" y="1538"/>
                          <a:ext cx="11925" cy="146"/>
                        </a:xfrm>
                        <a:prstGeom prst="rect">
                          <a:avLst/>
                        </a:prstGeom>
                        <a:solidFill>
                          <a:srgbClr val="FFD966"/>
                        </a:solidFill>
                        <a:ln w="12700">
                          <a:noFill/>
                        </a:ln>
                      </wps:spPr>
                      <wps:bodyPr anchor="ctr" anchorCtr="0" upright="1"/>
                    </wps:wsp>
                    <wps:wsp>
                      <wps:cNvPr id="3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3"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">
              <o:lock v:ext="edit" aspectratio="f"/>
              <v:rect id="矩形 2" o:spid="_x0000_s1026" o:spt="1" style="position:absolute;left:881;top:1538;height:146;width:11925;v-text-anchor:middle;" fillcolor="#FFD966" filled="t" stroked="f" coordsize="21600,21600" o:gfxdata="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Dri27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KqrUrwAAADb&#10;AAAADwAAAGRycy9kb3ducmV2LnhtbEWPT4vCMBTE78J+h/AW9qZpXRDpmnpQdhHx4D/w+mjetqXN&#10;S0lird/eCILHYWZ+wyyWg2lFT87XlhWkkwQEcWF1zaWC8+l3PAfhA7LG1jIpuJOHZf4xWmCm7Y0P&#10;1B9DKSKEfYYKqhC6TEpfVGTQT2xHHL1/6wyGKF0ptcNbhJtWTpNkJg3WHBcq7GhVUdEcr0bBtV/v&#10;t4fNPL3sdsPfvbk4fyKn1NdnmvyACDSEd/jV3mgF3yk8v8QfI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qq1K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msSSBrsAAADb&#10;AAAADwAAAGRycy9kb3ducmV2LnhtbEWP3YrCMBSE7xd8h3AEbxZNq7A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SSBr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39"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203"/>
                      </a:xfrm>
                    </wpg:grpSpPr>
                    <wps:wsp>
                      <wps:cNvPr id="35" name="矩形 2"/>
                      <wps:cNvSpPr/>
                      <wps:spPr>
                        <a:xfrm>
                          <a:off x="881" y="1538"/>
                          <a:ext cx="11925" cy="146"/>
                        </a:xfrm>
                        <a:prstGeom prst="rect">
                          <a:avLst/>
                        </a:prstGeom>
                        <a:solidFill>
                          <a:srgbClr val="FFD966"/>
                        </a:solidFill>
                        <a:ln w="12700">
                          <a:noFill/>
                        </a:ln>
                      </wps:spPr>
                      <wps:bodyPr anchor="ctr" anchorCtr="0" upright="1"/>
                    </wps:wsp>
                    <wps:wsp>
                      <wps:cNvPr id="3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">
              <o:lock v:ext="edit" aspectratio="f"/>
              <v:rect id="矩形 2" o:spid="_x0000_s1026" o:spt="1" style="position:absolute;left:881;top:1538;height:146;width:11925;v-text-anchor:middle;" fillcolor="#FFD966" filled="t" stroked="f" coordsize="21600,21600" o:gfxdata="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fU/q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c0MzJr0AAADb&#10;AAAADwAAAGRycy9kb3ducmV2LnhtbEWPT4vCMBTE78J+h/AEb5rWBZ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QzM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5f+UBb0AAADb&#10;AAAADwAAAGRycy9kb3ducmV2LnhtbEWPwWrDMBBE74X+g9hALqWR3UB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5QF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NFLiJHZAAAACQEAAA8A&#10;AAAAAAAAAQAgAAAAIgAAAGRycy9kb3ducmV2LnhtbFBLAQIUABQAAAAIAIdO4kC88pzfMwMAAGII&#10;AAAOAAAAAAAAAAEAIAAAACgBAABkcnMvZTJvRG9jLnhtbFBLBQYAAAAABgAGAFkBAADN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OzG97nXAAAABwEAAA8AAAAA&#10;AAAAAQAgAAAAIgAAAGRycy9kb3ducmV2LnhtbFBLAQIUABQAAAAIAIdO4kBlQlpdMgMAAGIIAAAO&#10;AAAAAAAAAAEAIAAAACYBAABkcnMvZTJvRG9jLnhtbFBLBQYAAAAABgAGAFkBAADKBg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44"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203"/>
                      </a:xfrm>
                    </wpg:grpSpPr>
                    <wps:wsp>
                      <wps:cNvPr id="41" name="矩形 2"/>
                      <wps:cNvSpPr/>
                      <wps:spPr>
                        <a:xfrm>
                          <a:off x="881" y="1538"/>
                          <a:ext cx="11925" cy="146"/>
                        </a:xfrm>
                        <a:prstGeom prst="rect">
                          <a:avLst/>
                        </a:prstGeom>
                        <a:solidFill>
                          <a:srgbClr val="FFD966"/>
                        </a:solidFill>
                        <a:ln w="12700">
                          <a:noFill/>
                        </a:ln>
                      </wps:spPr>
                      <wps:bodyPr anchor="ctr" anchorCtr="0" upright="1"/>
                    </wps:wsp>
                    <wps:wsp>
                      <wps:cNvPr id="42"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vlNG99UAAAAGAQAADwAAAAAA&#10;AAABACAAAAAiAAAAZHJzL2Rvd25yZXYueG1sUEsBAhQAFAAAAAgAh07iQJVe+k6lAwAAsQwAAA4A&#10;AAAAAAAAAQAgAAAAJAEAAGRycy9lMm9Eb2MueG1sUEsFBgAAAAAGAAYAWQEAADsHAAAAAA==&#10;">
              <o:lock v:ext="edit" aspectratio="f"/>
              <v:rect id="矩形 2" o:spid="_x0000_s1026" o:spt="1" style="position:absolute;left:881;top:1538;height:146;width:11925;v-text-anchor:middle;" fillcolor="#FFD966" filled="t" stroked="f" coordsize="21600,21600" o:gfxdata="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QDqU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H5GWL0AAADb&#10;AAAADwAAAGRycy9kb3ducmV2LnhtbEWPT4vCMBTE7wv7HcITvK1pRUS6ph6UFREP/lnw+miebWnz&#10;UpJY67c3wsIeh5n5DbNcDaYVPTlfW1aQThIQxIXVNZcKfi8/XwsQPiBrbC2Tgid5WOWfH0vMtH3w&#10;ifpzKEWEsM9QQRVCl0npi4oM+ontiKN3s85giNKVUjt8RLhp5TRJ5tJgzXGhwo7WFRXN+W4U3PvN&#10;cX/aLdLr4TBsn83V+Qs5pcajNPkGEWgI/+G/9k4rmE3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fkZY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wsLhe7wAAADb&#10;AAAADwAAAGRycy9kb3ducmV2LnhtbEWP3WrCQBSE7wu+w3IEb6RuolJLdBV/EHtXon2AQ/Y0G8ye&#10;DdlVo0/vCoVeDjPzDbNYdbYWV2p95VhBOkpAEBdOV1wq+Dnt3z9B+ICssXZMCu7kYbXsvS0w0+7G&#10;OV2PoRQRwj5DBSaEJpPSF4Ys+pFriKP361qLIcq2lLrFW4TbWo6T5ENarDguGGxoa6g4Hy9WAR0o&#10;N+nWc5cX6+9mNnxs6LFTatBPkzmIQF34D/+1v7SC6Q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LC4X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DFC72F0"/>
    <w:multiLevelType w:val="singleLevel"/>
    <w:tmpl w:val="5DFC72F0"/>
    <w:lvl w:ilvl="0" w:tentative="0">
      <w:start w:val="1"/>
      <w:numFmt w:val="chineseCounting"/>
      <w:suff w:val="nothing"/>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5F559233"/>
    <w:multiLevelType w:val="singleLevel"/>
    <w:tmpl w:val="5F559233"/>
    <w:lvl w:ilvl="0" w:tentative="0">
      <w:start w:val="1"/>
      <w:numFmt w:val="chineseCounting"/>
      <w:suff w:val="nothing"/>
      <w:lvlText w:val="%1、"/>
      <w:lvlJc w:val="left"/>
    </w:lvl>
  </w:abstractNum>
  <w:abstractNum w:abstractNumId="4">
    <w:nsid w:val="5F56DD23"/>
    <w:multiLevelType w:val="singleLevel"/>
    <w:tmpl w:val="5F56DD23"/>
    <w:lvl w:ilvl="0" w:tentative="0">
      <w:start w:val="15"/>
      <w:numFmt w:val="decimal"/>
      <w:suff w:val="nothing"/>
      <w:lvlText w:val="(%1)"/>
      <w:lvlJc w:val="left"/>
    </w:lvl>
  </w:abstractNum>
  <w:abstractNum w:abstractNumId="5">
    <w:nsid w:val="5F56DDB9"/>
    <w:multiLevelType w:val="singleLevel"/>
    <w:tmpl w:val="5F56DDB9"/>
    <w:lvl w:ilvl="0" w:tentative="0">
      <w:start w:val="16"/>
      <w:numFmt w:val="decimal"/>
      <w:suff w:val="nothing"/>
      <w:lvlText w:val="（%1)"/>
      <w:lvlJc w:val="left"/>
    </w:lvl>
  </w:abstractNum>
  <w:abstractNum w:abstractNumId="6">
    <w:nsid w:val="5F56DE5D"/>
    <w:multiLevelType w:val="singleLevel"/>
    <w:tmpl w:val="5F56DE5D"/>
    <w:lvl w:ilvl="0" w:tentative="0">
      <w:start w:val="17"/>
      <w:numFmt w:val="decimal"/>
      <w:suff w:val="nothing"/>
      <w:lvlText w:val="(%1)"/>
      <w:lvlJc w:val="left"/>
    </w:lvl>
  </w:abstractNum>
  <w:abstractNum w:abstractNumId="7">
    <w:nsid w:val="726A0A19"/>
    <w:multiLevelType w:val="multilevel"/>
    <w:tmpl w:val="726A0A19"/>
    <w:lvl w:ilvl="0" w:tentative="0">
      <w:start w:val="5"/>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3"/>
  </w:num>
  <w:num w:numId="2">
    <w:abstractNumId w:val="0"/>
  </w:num>
  <w:num w:numId="3">
    <w:abstractNumId w:val="7"/>
  </w:num>
  <w:num w:numId="4">
    <w:abstractNumId w:val="1"/>
  </w:num>
  <w:num w:numId="5">
    <w:abstractNumId w:val="2"/>
  </w:num>
  <w:num w:numId="6">
    <w:abstractNumId w:val="4"/>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94665"/>
    <w:rsid w:val="000A39FB"/>
    <w:rsid w:val="000A6562"/>
    <w:rsid w:val="00117746"/>
    <w:rsid w:val="00163F95"/>
    <w:rsid w:val="00180A9A"/>
    <w:rsid w:val="001829C0"/>
    <w:rsid w:val="00184809"/>
    <w:rsid w:val="00192112"/>
    <w:rsid w:val="001B0127"/>
    <w:rsid w:val="001C12D5"/>
    <w:rsid w:val="001C69F7"/>
    <w:rsid w:val="001D6F97"/>
    <w:rsid w:val="002650EC"/>
    <w:rsid w:val="002A6C46"/>
    <w:rsid w:val="002C19B5"/>
    <w:rsid w:val="002F6CC4"/>
    <w:rsid w:val="00342C78"/>
    <w:rsid w:val="003A4EE8"/>
    <w:rsid w:val="003A6C7E"/>
    <w:rsid w:val="00440CE1"/>
    <w:rsid w:val="00442CC2"/>
    <w:rsid w:val="00446244"/>
    <w:rsid w:val="00473C20"/>
    <w:rsid w:val="004D61CB"/>
    <w:rsid w:val="004F7511"/>
    <w:rsid w:val="005011D6"/>
    <w:rsid w:val="00503F2E"/>
    <w:rsid w:val="00552226"/>
    <w:rsid w:val="00566120"/>
    <w:rsid w:val="00582E6D"/>
    <w:rsid w:val="005954D5"/>
    <w:rsid w:val="005A53FA"/>
    <w:rsid w:val="005D1293"/>
    <w:rsid w:val="005D5458"/>
    <w:rsid w:val="00617FE6"/>
    <w:rsid w:val="00644D5F"/>
    <w:rsid w:val="00657F86"/>
    <w:rsid w:val="00664272"/>
    <w:rsid w:val="006727AD"/>
    <w:rsid w:val="00691425"/>
    <w:rsid w:val="006A516E"/>
    <w:rsid w:val="006B0830"/>
    <w:rsid w:val="006E3C73"/>
    <w:rsid w:val="00706757"/>
    <w:rsid w:val="00716E2B"/>
    <w:rsid w:val="0075303F"/>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70F5E"/>
    <w:rsid w:val="009B4EF0"/>
    <w:rsid w:val="009D271F"/>
    <w:rsid w:val="00A929C2"/>
    <w:rsid w:val="00AD097F"/>
    <w:rsid w:val="00B844F4"/>
    <w:rsid w:val="00BA06A1"/>
    <w:rsid w:val="00BA770A"/>
    <w:rsid w:val="00C054DE"/>
    <w:rsid w:val="00C227CF"/>
    <w:rsid w:val="00C679A9"/>
    <w:rsid w:val="00C7541C"/>
    <w:rsid w:val="00CC0FAA"/>
    <w:rsid w:val="00CD0736"/>
    <w:rsid w:val="00CF1C29"/>
    <w:rsid w:val="00D1570F"/>
    <w:rsid w:val="00D32830"/>
    <w:rsid w:val="00D82037"/>
    <w:rsid w:val="00DB7153"/>
    <w:rsid w:val="00DB7F05"/>
    <w:rsid w:val="00DE2332"/>
    <w:rsid w:val="00E028C3"/>
    <w:rsid w:val="00E14F77"/>
    <w:rsid w:val="00E3076B"/>
    <w:rsid w:val="00E36978"/>
    <w:rsid w:val="00E82A1E"/>
    <w:rsid w:val="00EA05EC"/>
    <w:rsid w:val="00EC06F4"/>
    <w:rsid w:val="00EE4E36"/>
    <w:rsid w:val="00F44BBB"/>
    <w:rsid w:val="00F665F4"/>
    <w:rsid w:val="00FC3AB6"/>
    <w:rsid w:val="00FD225F"/>
    <w:rsid w:val="032B3239"/>
    <w:rsid w:val="03E10B69"/>
    <w:rsid w:val="05B00A30"/>
    <w:rsid w:val="0AF45571"/>
    <w:rsid w:val="0B011416"/>
    <w:rsid w:val="0B034419"/>
    <w:rsid w:val="0B9F2ED6"/>
    <w:rsid w:val="0C37738A"/>
    <w:rsid w:val="0E2276AF"/>
    <w:rsid w:val="139B1C4D"/>
    <w:rsid w:val="13F002A8"/>
    <w:rsid w:val="151E4F33"/>
    <w:rsid w:val="1B414997"/>
    <w:rsid w:val="1BA68567"/>
    <w:rsid w:val="1D001405"/>
    <w:rsid w:val="274C1A91"/>
    <w:rsid w:val="282722A5"/>
    <w:rsid w:val="28A7786E"/>
    <w:rsid w:val="2B4D7D12"/>
    <w:rsid w:val="2C724060"/>
    <w:rsid w:val="2C8F7256"/>
    <w:rsid w:val="31C2036A"/>
    <w:rsid w:val="320D02A5"/>
    <w:rsid w:val="345B27BC"/>
    <w:rsid w:val="348E566F"/>
    <w:rsid w:val="34951838"/>
    <w:rsid w:val="363914E7"/>
    <w:rsid w:val="36AB1C67"/>
    <w:rsid w:val="37B2216E"/>
    <w:rsid w:val="39754BEA"/>
    <w:rsid w:val="3A226944"/>
    <w:rsid w:val="3AEE6A48"/>
    <w:rsid w:val="3B266B7E"/>
    <w:rsid w:val="3C1620AA"/>
    <w:rsid w:val="3C6D7230"/>
    <w:rsid w:val="3D8F080F"/>
    <w:rsid w:val="3D9C5676"/>
    <w:rsid w:val="3E992A28"/>
    <w:rsid w:val="3EA4183D"/>
    <w:rsid w:val="3EE21448"/>
    <w:rsid w:val="3FFC0C84"/>
    <w:rsid w:val="413E0CA5"/>
    <w:rsid w:val="41CB25A5"/>
    <w:rsid w:val="41EC619B"/>
    <w:rsid w:val="426578F3"/>
    <w:rsid w:val="44CE1FA4"/>
    <w:rsid w:val="464108AD"/>
    <w:rsid w:val="47C02C4C"/>
    <w:rsid w:val="487F73ED"/>
    <w:rsid w:val="498A72AF"/>
    <w:rsid w:val="49F25066"/>
    <w:rsid w:val="4A347EAE"/>
    <w:rsid w:val="4A4340D3"/>
    <w:rsid w:val="4B3132C5"/>
    <w:rsid w:val="4CA702A9"/>
    <w:rsid w:val="4CEC1094"/>
    <w:rsid w:val="4DFD50DA"/>
    <w:rsid w:val="506C4CD8"/>
    <w:rsid w:val="52050F3E"/>
    <w:rsid w:val="52600405"/>
    <w:rsid w:val="529B4319"/>
    <w:rsid w:val="537A1237"/>
    <w:rsid w:val="547657C2"/>
    <w:rsid w:val="57773DD6"/>
    <w:rsid w:val="578B79AB"/>
    <w:rsid w:val="594A4038"/>
    <w:rsid w:val="5C593B1F"/>
    <w:rsid w:val="5CB77789"/>
    <w:rsid w:val="5CCD3FD5"/>
    <w:rsid w:val="5CEC01EA"/>
    <w:rsid w:val="5E1D12ED"/>
    <w:rsid w:val="5F165C32"/>
    <w:rsid w:val="5FD92518"/>
    <w:rsid w:val="61FA5F9D"/>
    <w:rsid w:val="64CD6910"/>
    <w:rsid w:val="650F47BC"/>
    <w:rsid w:val="6558753E"/>
    <w:rsid w:val="67173492"/>
    <w:rsid w:val="6789158D"/>
    <w:rsid w:val="67D81BA4"/>
    <w:rsid w:val="68950A02"/>
    <w:rsid w:val="68FC3343"/>
    <w:rsid w:val="6A3545DB"/>
    <w:rsid w:val="6AAF1C96"/>
    <w:rsid w:val="6C4F2642"/>
    <w:rsid w:val="6F5C2ADA"/>
    <w:rsid w:val="70AB380A"/>
    <w:rsid w:val="711944C4"/>
    <w:rsid w:val="714312DD"/>
    <w:rsid w:val="722E0D6F"/>
    <w:rsid w:val="72EA1C3C"/>
    <w:rsid w:val="737D6380"/>
    <w:rsid w:val="73A24DD4"/>
    <w:rsid w:val="749B0D56"/>
    <w:rsid w:val="75681757"/>
    <w:rsid w:val="75A346A8"/>
    <w:rsid w:val="79446763"/>
    <w:rsid w:val="79B9382C"/>
    <w:rsid w:val="79E44B7D"/>
    <w:rsid w:val="7AAF1156"/>
    <w:rsid w:val="7B043B76"/>
    <w:rsid w:val="7C041A6A"/>
    <w:rsid w:val="7C2558D2"/>
    <w:rsid w:val="7E322C61"/>
    <w:rsid w:val="7E327570"/>
    <w:rsid w:val="7E76533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caption"/>
    <w:basedOn w:val="1"/>
    <w:next w:val="1"/>
    <w:unhideWhenUsed/>
    <w:qFormat/>
    <w:uiPriority w:val="35"/>
    <w:rPr>
      <w:rFonts w:ascii="Arial" w:hAnsi="Arial" w:eastAsia="黑体"/>
      <w:sz w:val="20"/>
    </w:r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Balloon Text"/>
    <w:basedOn w:val="1"/>
    <w:link w:val="14"/>
    <w:unhideWhenUsed/>
    <w:qFormat/>
    <w:uiPriority w:val="99"/>
    <w:rPr>
      <w:sz w:val="18"/>
      <w:szCs w:val="18"/>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99"/>
    <w:rPr>
      <w:rFonts w:asciiTheme="minorHAnsi" w:hAnsiTheme="minorHAnsi" w:eastAsiaTheme="minorEastAsia"/>
      <w:sz w:val="18"/>
      <w:szCs w:val="18"/>
    </w:rPr>
  </w:style>
  <w:style w:type="character" w:customStyle="1" w:styleId="12">
    <w:name w:val="页脚 Char"/>
    <w:basedOn w:val="10"/>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4">
    <w:name w:val="批注框文本 Char"/>
    <w:basedOn w:val="10"/>
    <w:link w:val="5"/>
    <w:semiHidden/>
    <w:qFormat/>
    <w:uiPriority w:val="99"/>
    <w:rPr>
      <w:rFonts w:asciiTheme="minorHAnsi" w:hAnsiTheme="minorHAnsi" w:eastAsiaTheme="minorEastAsia" w:cstheme="minorBidi"/>
      <w:kern w:val="2"/>
      <w:sz w:val="18"/>
      <w:szCs w:val="18"/>
    </w:rPr>
  </w:style>
  <w:style w:type="paragraph" w:styleId="1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10.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header" Target="header10.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ocuments\WeChat%20Files\m308651132\FileStorage\File\2020-0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99.59</a:t>
                    </a:r>
                    <a:r>
                      <a:t>%</a:t>
                    </a:r>
                  </a:p>
                </c:rich>
              </c:tx>
              <c:dLblPos val="ctr"/>
              <c:showLegendKey val="0"/>
              <c:showVal val="0"/>
              <c:showCatName val="0"/>
              <c:showSerName val="0"/>
              <c:showPercent val="1"/>
              <c:showBubbleSize val="0"/>
              <c:extLst>
                <c:ext xmlns:c15="http://schemas.microsoft.com/office/drawing/2012/chart" uri="{CE6537A1-D6FC-4f65-9D91-7224C49458BB}">
                  <c15:layout>
                    <c:manualLayout>
                      <c:w val="0.0788571428571429"/>
                      <c:h val="0.0780257130190631"/>
                    </c:manualLayout>
                  </c15:layout>
                </c:ext>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0</a:t>
                    </a:r>
                    <a:r>
                      <a:rPr lang="en-US" altLang="zh-CN"/>
                      <a:t>.41</a:t>
                    </a:r>
                    <a:r>
                      <a:t>%</a:t>
                    </a:r>
                  </a:p>
                </c:rich>
              </c:tx>
              <c:dLblPos val="ctr"/>
              <c:showLegendKey val="0"/>
              <c:showVal val="0"/>
              <c:showCatName val="0"/>
              <c:showSerName val="0"/>
              <c:showPercent val="1"/>
              <c:showBubbleSize val="0"/>
              <c:extLst>
                <c:ext xmlns:c15="http://schemas.microsoft.com/office/drawing/2012/chart" uri="{CE6537A1-D6FC-4f65-9D91-7224C49458BB}">
                  <c15:layout>
                    <c:manualLayout>
                      <c:w val="0.0745142857142857"/>
                      <c:h val="0.0709324663809665"/>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年初结转结余</c:v>
                </c:pt>
              </c:strCache>
            </c:strRef>
          </c:cat>
          <c:val>
            <c:numRef>
              <c:f>Sheet1!$B$2:$B$3</c:f>
              <c:numCache>
                <c:formatCode>0.00%</c:formatCode>
                <c:ptCount val="2"/>
                <c:pt idx="0">
                  <c:v>0.9959</c:v>
                </c:pt>
                <c:pt idx="1">
                  <c:v>0.0044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0875"/>
          <c:y val="0.116166666666667"/>
          <c:w val="0.578625"/>
          <c:h val="0.7715"/>
        </c:manualLayout>
      </c:layout>
      <c:pieChart>
        <c:varyColors val="1"/>
        <c:ser>
          <c:idx val="0"/>
          <c:order val="0"/>
          <c:tx>
            <c:strRef>
              <c:f>Sheet1!$B$1</c:f>
              <c:strCache>
                <c:ptCount val="1"/>
                <c:pt idx="0">
                  <c:v>支出决算情况表</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0.9614</c:v>
                </c:pt>
                <c:pt idx="1">
                  <c:v>0.0386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no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2218.03</c:v>
                </c:pt>
                <c:pt idx="1">
                  <c:v>2226.99</c:v>
                </c:pt>
              </c:numCache>
            </c:numRef>
          </c:val>
        </c:ser>
        <c:ser>
          <c:idx val="1"/>
          <c:order val="1"/>
          <c:tx>
            <c:strRef>
              <c:f>'[部门决算公开制图模板（修改版）(1).xlsx]收支与决算对比'!$A$6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1784.89</c:v>
                </c:pt>
                <c:pt idx="1">
                  <c:v>1834.76</c:v>
                </c:pt>
              </c:numCache>
            </c:numRef>
          </c:val>
        </c:ser>
        <c:dLbls>
          <c:showLegendKey val="0"/>
          <c:showVal val="1"/>
          <c:showCatName val="0"/>
          <c:showSerName val="0"/>
          <c:showPercent val="0"/>
          <c:showBubbleSize val="0"/>
        </c:dLbls>
        <c:gapWidth val="75"/>
        <c:axId val="219710976"/>
        <c:axId val="219766144"/>
      </c:barChart>
      <c:catAx>
        <c:axId val="2197109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9766144"/>
        <c:crosses val="autoZero"/>
        <c:auto val="1"/>
        <c:lblAlgn val="ctr"/>
        <c:lblOffset val="100"/>
        <c:noMultiLvlLbl val="0"/>
      </c:catAx>
      <c:valAx>
        <c:axId val="21976614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9710976"/>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0370771605081499"/>
                  <c:y val="0.0403152827011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0576345991307205"/>
                  <c:y val="0.00121882074198736"/>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layout>
                <c:manualLayout>
                  <c:x val="0.107196204359066"/>
                  <c:y val="0.0080291970802919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1679.32</c:v>
                </c:pt>
                <c:pt idx="5">
                  <c:v>428.19</c:v>
                </c:pt>
                <c:pt idx="6">
                  <c:v>69.48</c:v>
                </c:pt>
                <c:pt idx="11">
                  <c:v>50</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6350" cap="flat" cmpd="sng" algn="ctr">
      <a:no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66</Pages>
  <Words>5101</Words>
  <Characters>29077</Characters>
  <Lines>242</Lines>
  <Paragraphs>68</Paragraphs>
  <TotalTime>10</TotalTime>
  <ScaleCrop>false</ScaleCrop>
  <LinksUpToDate>false</LinksUpToDate>
  <CharactersWithSpaces>34110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Administrator</cp:lastModifiedBy>
  <cp:lastPrinted>2020-07-30T10:37:00Z</cp:lastPrinted>
  <dcterms:modified xsi:type="dcterms:W3CDTF">2024-04-10T07:40:08Z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95885B076F8272B4FFF99465BA9E3A99</vt:lpwstr>
  </property>
</Properties>
</file>