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无极县住房和城乡建设局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color w:val="FF0000"/>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无极县住房和城乡建设局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line="560" w:lineRule="exact"/>
        <w:ind w:firstLine="646"/>
        <w:rPr>
          <w:rFonts w:ascii="仿宋" w:hAnsi="仿宋" w:eastAsia="仿宋" w:cs="仿宋_GB2312"/>
          <w:sz w:val="32"/>
          <w:szCs w:val="32"/>
        </w:rPr>
      </w:pPr>
      <w:r>
        <w:rPr>
          <w:rFonts w:hint="eastAsia" w:ascii="仿宋" w:hAnsi="仿宋" w:eastAsia="仿宋" w:cs="仿宋"/>
          <w:sz w:val="32"/>
          <w:szCs w:val="32"/>
        </w:rPr>
        <w:t>贯彻执行国家、省、市关于住房和城乡建设工作的方针、政策及法律、法规，拟订全县住房和城乡建设地方性规章，并监督实施；负责工程建设项目的招投标，建筑工程质量竣工验收；负责全县市政基础设施建设和管理，编制年度城建资金使用计划，指导城市市政公用事业、园林绿化、市容环卫、城市综合开发、旧城拆迁改造工作；负责全县房产管理及相关工作；负责全县城市供热管理及相关工作；承办县政府交办的其它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4个，具体情况如下：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 w:hAnsi="仿宋" w:eastAsia="仿宋" w:cs="ArialUnicodeMS"/>
                <w:kern w:val="0"/>
                <w:sz w:val="32"/>
                <w:szCs w:val="32"/>
              </w:rPr>
            </w:pPr>
            <w:r>
              <w:rPr>
                <w:rFonts w:hint="eastAsia" w:ascii="仿宋" w:hAnsi="仿宋" w:eastAsia="仿宋" w:cs="ArialUnicodeMS"/>
                <w:spacing w:val="3"/>
                <w:w w:val="92"/>
                <w:kern w:val="0"/>
                <w:sz w:val="32"/>
                <w:szCs w:val="32"/>
              </w:rPr>
              <w:t>无</w:t>
            </w:r>
            <w:r>
              <w:rPr>
                <w:rFonts w:hint="eastAsia" w:ascii="仿宋" w:hAnsi="仿宋" w:eastAsia="仿宋" w:cs="宋体"/>
                <w:spacing w:val="3"/>
                <w:w w:val="92"/>
                <w:kern w:val="0"/>
                <w:sz w:val="32"/>
                <w:szCs w:val="32"/>
              </w:rPr>
              <w:t>极县住房和城乡建设</w:t>
            </w:r>
            <w:r>
              <w:rPr>
                <w:rFonts w:hint="eastAsia" w:ascii="仿宋" w:hAnsi="仿宋" w:eastAsia="仿宋" w:cs="宋体"/>
                <w:spacing w:val="-14"/>
                <w:w w:val="92"/>
                <w:kern w:val="0"/>
                <w:sz w:val="32"/>
                <w:szCs w:val="32"/>
              </w:rPr>
              <w:t>局</w:t>
            </w:r>
          </w:p>
        </w:tc>
        <w:tc>
          <w:tcPr>
            <w:tcW w:w="2445"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行政单位</w:t>
            </w:r>
          </w:p>
        </w:tc>
        <w:tc>
          <w:tcPr>
            <w:tcW w:w="2665"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ArialUnicodeMS"/>
                <w:kern w:val="0"/>
                <w:sz w:val="32"/>
                <w:szCs w:val="32"/>
              </w:rPr>
              <w:t>无极县城市管理局</w:t>
            </w:r>
          </w:p>
        </w:tc>
        <w:tc>
          <w:tcPr>
            <w:tcW w:w="244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spacing w:val="1"/>
                <w:w w:val="98"/>
                <w:kern w:val="0"/>
                <w:sz w:val="28"/>
                <w:szCs w:val="28"/>
              </w:rPr>
              <w:t>财政补助事业单</w:t>
            </w:r>
            <w:r>
              <w:rPr>
                <w:rFonts w:hint="eastAsia" w:ascii="仿宋_GB2312" w:eastAsia="仿宋_GB2312" w:cs="ArialUnicodeMS" w:hAnsiTheme="minorHAnsi"/>
                <w:w w:val="98"/>
                <w:kern w:val="0"/>
                <w:sz w:val="28"/>
                <w:szCs w:val="28"/>
              </w:rPr>
              <w:t>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w w:val="96"/>
                <w:kern w:val="0"/>
                <w:sz w:val="28"/>
                <w:szCs w:val="28"/>
              </w:rPr>
              <w:t>财政性资金基本保</w:t>
            </w:r>
            <w:r>
              <w:rPr>
                <w:rFonts w:hint="eastAsia" w:ascii="仿宋_GB2312" w:eastAsia="仿宋_GB2312" w:cs="ArialUnicodeMS" w:hAnsiTheme="minorHAnsi"/>
                <w:spacing w:val="4"/>
                <w:w w:val="96"/>
                <w:kern w:val="0"/>
                <w:sz w:val="28"/>
                <w:szCs w:val="28"/>
              </w:rPr>
              <w:t>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ArialUnicodeMS"/>
                <w:spacing w:val="3"/>
                <w:w w:val="92"/>
                <w:kern w:val="0"/>
                <w:sz w:val="32"/>
                <w:szCs w:val="32"/>
              </w:rPr>
              <w:t>无极县房地产管理办公</w:t>
            </w:r>
            <w:r>
              <w:rPr>
                <w:rFonts w:hint="eastAsia" w:ascii="仿宋" w:hAnsi="仿宋" w:eastAsia="仿宋" w:cs="ArialUnicodeMS"/>
                <w:spacing w:val="-14"/>
                <w:w w:val="92"/>
                <w:kern w:val="0"/>
                <w:sz w:val="32"/>
                <w:szCs w:val="32"/>
              </w:rPr>
              <w:t>室</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spacing w:val="1"/>
                <w:w w:val="98"/>
                <w:kern w:val="0"/>
                <w:sz w:val="28"/>
                <w:szCs w:val="28"/>
              </w:rPr>
              <w:t>财政补助事业单</w:t>
            </w:r>
            <w:r>
              <w:rPr>
                <w:rFonts w:hint="eastAsia" w:ascii="仿宋_GB2312" w:eastAsia="仿宋_GB2312" w:cs="ArialUnicodeMS" w:hAnsiTheme="minorHAnsi"/>
                <w:w w:val="98"/>
                <w:kern w:val="0"/>
                <w:sz w:val="28"/>
                <w:szCs w:val="28"/>
              </w:rPr>
              <w:t>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spacing w:val="1"/>
                <w:w w:val="72"/>
                <w:kern w:val="0"/>
                <w:sz w:val="28"/>
                <w:szCs w:val="28"/>
              </w:rPr>
              <w:t>财政性资金定额或定项补</w:t>
            </w:r>
            <w:r>
              <w:rPr>
                <w:rFonts w:hint="eastAsia" w:ascii="仿宋_GB2312" w:eastAsia="仿宋_GB2312" w:cs="ArialUnicodeMS" w:hAnsiTheme="minorHAnsi"/>
                <w:spacing w:val="-4"/>
                <w:w w:val="72"/>
                <w:kern w:val="0"/>
                <w:sz w:val="28"/>
                <w:szCs w:val="28"/>
              </w:rPr>
              <w:t>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4</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 w:hAnsi="仿宋" w:eastAsia="仿宋" w:cs="ArialUnicodeMS"/>
                <w:spacing w:val="3"/>
                <w:w w:val="84"/>
                <w:kern w:val="0"/>
                <w:sz w:val="32"/>
                <w:szCs w:val="32"/>
              </w:rPr>
              <w:t>无极县建筑工程质量监督</w:t>
            </w:r>
            <w:r>
              <w:rPr>
                <w:rFonts w:hint="eastAsia" w:ascii="仿宋" w:hAnsi="仿宋" w:eastAsia="仿宋" w:cs="ArialUnicodeMS"/>
                <w:spacing w:val="-13"/>
                <w:w w:val="84"/>
                <w:kern w:val="0"/>
                <w:sz w:val="32"/>
                <w:szCs w:val="32"/>
              </w:rPr>
              <w:t>站</w:t>
            </w:r>
          </w:p>
        </w:tc>
        <w:tc>
          <w:tcPr>
            <w:tcW w:w="244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w w:val="98"/>
                <w:kern w:val="0"/>
                <w:sz w:val="28"/>
                <w:szCs w:val="28"/>
              </w:rPr>
              <w:t>经费自理事业单</w:t>
            </w:r>
            <w:r>
              <w:rPr>
                <w:rFonts w:hint="eastAsia" w:ascii="仿宋_GB2312" w:eastAsia="仿宋_GB2312" w:cs="ArialUnicodeMS" w:hAnsiTheme="minorHAnsi"/>
                <w:spacing w:val="6"/>
                <w:w w:val="98"/>
                <w:kern w:val="0"/>
                <w:sz w:val="28"/>
                <w:szCs w:val="28"/>
              </w:rPr>
              <w:t>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-1317625</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222"/>
        <w:gridCol w:w="345"/>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3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部门：无极县住房和城乡建设局</w:t>
            </w:r>
          </w:p>
        </w:tc>
        <w:tc>
          <w:tcPr>
            <w:tcW w:w="3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24615.59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16924.32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3594.65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24615.59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20544.08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3233.98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7305.49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27849.57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27849.57</w:t>
            </w:r>
          </w:p>
        </w:tc>
      </w:tr>
      <w:tr>
        <w:tblPrEx>
          <w:tblCellMar>
            <w:top w:w="0" w:type="dxa"/>
            <w:left w:w="0" w:type="dxa"/>
            <w:bottom w:w="0" w:type="dxa"/>
            <w:right w:w="0" w:type="dxa"/>
          </w:tblCellMar>
        </w:tblPrEx>
        <w:trPr>
          <w:trHeight w:val="417" w:hRule="atLeast"/>
          <w:jc w:val="center"/>
        </w:trPr>
        <w:tc>
          <w:tcPr>
            <w:tcW w:w="9300"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74" w:type="dxa"/>
        <w:jc w:val="center"/>
        <w:tblLayout w:type="fixed"/>
        <w:tblCellMar>
          <w:top w:w="0" w:type="dxa"/>
          <w:left w:w="0" w:type="dxa"/>
          <w:bottom w:w="0" w:type="dxa"/>
          <w:right w:w="0" w:type="dxa"/>
        </w:tblCellMar>
      </w:tblPr>
      <w:tblGrid>
        <w:gridCol w:w="338"/>
        <w:gridCol w:w="338"/>
        <w:gridCol w:w="338"/>
        <w:gridCol w:w="899"/>
        <w:gridCol w:w="899"/>
        <w:gridCol w:w="652"/>
        <w:gridCol w:w="379"/>
        <w:gridCol w:w="615"/>
        <w:gridCol w:w="235"/>
        <w:gridCol w:w="595"/>
        <w:gridCol w:w="397"/>
        <w:gridCol w:w="235"/>
        <w:gridCol w:w="332"/>
        <w:gridCol w:w="567"/>
        <w:gridCol w:w="567"/>
        <w:gridCol w:w="785"/>
        <w:gridCol w:w="703"/>
      </w:tblGrid>
      <w:tr>
        <w:tblPrEx>
          <w:tblCellMar>
            <w:top w:w="0" w:type="dxa"/>
            <w:left w:w="0" w:type="dxa"/>
            <w:bottom w:w="0" w:type="dxa"/>
            <w:right w:w="0" w:type="dxa"/>
          </w:tblCellMar>
        </w:tblPrEx>
        <w:trPr>
          <w:trHeight w:val="770" w:hRule="atLeast"/>
          <w:jc w:val="center"/>
        </w:trPr>
        <w:tc>
          <w:tcPr>
            <w:tcW w:w="8874"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3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3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9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9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5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9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3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3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46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48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12"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无极县住房和城乡建设局</w:t>
            </w:r>
          </w:p>
        </w:tc>
        <w:tc>
          <w:tcPr>
            <w:tcW w:w="65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9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3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3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46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48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3843" w:type="dxa"/>
            <w:gridSpan w:val="7"/>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50" w:type="dxa"/>
            <w:gridSpan w:val="2"/>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92"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67"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56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6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785"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703"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829" w:type="dxa"/>
            <w:gridSpan w:val="4"/>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50" w:type="dxa"/>
            <w:gridSpan w:val="2"/>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92"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85"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03"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3843"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6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5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3843"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5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24615.59</w:t>
            </w:r>
          </w:p>
        </w:tc>
        <w:tc>
          <w:tcPr>
            <w:tcW w:w="992"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24615.59</w:t>
            </w:r>
          </w:p>
        </w:tc>
        <w:tc>
          <w:tcPr>
            <w:tcW w:w="56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8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0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208</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z w:val="18"/>
                <w:szCs w:val="18"/>
              </w:rPr>
              <w:t>社会保障和就业支出</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20.28</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20899</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其他社会保障和就业支出</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20.28</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2089901</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其他社会保障和就业支出</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20.28</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211</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170"/>
                <w:kern w:val="0"/>
                <w:sz w:val="18"/>
                <w:szCs w:val="18"/>
              </w:rPr>
              <w:t>节能环保支</w:t>
            </w:r>
            <w:r>
              <w:rPr>
                <w:rFonts w:hint="eastAsia" w:ascii="宋体" w:hAnsi="宋体" w:cs="宋体"/>
                <w:color w:val="000000"/>
                <w:kern w:val="0"/>
                <w:sz w:val="18"/>
                <w:szCs w:val="18"/>
              </w:rPr>
              <w:t>出</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102</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21103</w:t>
            </w:r>
          </w:p>
        </w:tc>
        <w:tc>
          <w:tcPr>
            <w:tcW w:w="2829"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污染防治</w:t>
            </w:r>
          </w:p>
        </w:tc>
        <w:tc>
          <w:tcPr>
            <w:tcW w:w="85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102</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102</w:t>
            </w:r>
          </w:p>
        </w:tc>
        <w:tc>
          <w:tcPr>
            <w:tcW w:w="567"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2110301</w:t>
            </w:r>
          </w:p>
        </w:tc>
        <w:tc>
          <w:tcPr>
            <w:tcW w:w="2829" w:type="dxa"/>
            <w:gridSpan w:val="4"/>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z w:val="18"/>
                <w:szCs w:val="18"/>
              </w:rPr>
              <w:t>大气</w:t>
            </w:r>
          </w:p>
        </w:tc>
        <w:tc>
          <w:tcPr>
            <w:tcW w:w="85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240" w:lineRule="auto"/>
              <w:rPr>
                <w:rFonts w:ascii="宋体" w:hAnsi="宋体" w:cs="宋体"/>
                <w:color w:val="000000"/>
                <w:sz w:val="18"/>
                <w:szCs w:val="18"/>
              </w:rPr>
            </w:pPr>
            <w:r>
              <w:rPr>
                <w:rFonts w:hint="eastAsia" w:ascii="宋体" w:hAnsi="宋体" w:cs="宋体"/>
                <w:color w:val="000000"/>
                <w:sz w:val="18"/>
                <w:szCs w:val="18"/>
              </w:rPr>
              <w:t>102</w:t>
            </w:r>
          </w:p>
        </w:tc>
        <w:tc>
          <w:tcPr>
            <w:tcW w:w="992"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240" w:lineRule="auto"/>
              <w:rPr>
                <w:rFonts w:ascii="宋体" w:hAnsi="宋体" w:cs="宋体"/>
                <w:color w:val="000000"/>
                <w:sz w:val="18"/>
                <w:szCs w:val="18"/>
              </w:rPr>
            </w:pPr>
            <w:r>
              <w:rPr>
                <w:rFonts w:hint="eastAsia" w:ascii="宋体" w:hAnsi="宋体" w:cs="宋体"/>
                <w:color w:val="000000"/>
                <w:sz w:val="18"/>
                <w:szCs w:val="18"/>
              </w:rPr>
              <w:t>102</w:t>
            </w:r>
          </w:p>
        </w:tc>
        <w:tc>
          <w:tcPr>
            <w:tcW w:w="567"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z w:val="18"/>
                <w:szCs w:val="18"/>
              </w:rPr>
              <w:t>城乡社区支出</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20766.49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20766.49</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城乡社区管理事务</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1554.63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1554.63</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2120101</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行政运行</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796.51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796.51</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2120102</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一般行政管理事务</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223.26</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223.26</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2120104</w:t>
            </w:r>
          </w:p>
        </w:tc>
        <w:tc>
          <w:tcPr>
            <w:tcW w:w="2829"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城管执法</w:t>
            </w:r>
          </w:p>
        </w:tc>
        <w:tc>
          <w:tcPr>
            <w:tcW w:w="85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97.3</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97.3</w:t>
            </w:r>
          </w:p>
        </w:tc>
        <w:tc>
          <w:tcPr>
            <w:tcW w:w="567"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2120106</w:t>
            </w:r>
          </w:p>
        </w:tc>
        <w:tc>
          <w:tcPr>
            <w:tcW w:w="2829" w:type="dxa"/>
            <w:gridSpan w:val="4"/>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工程建设管理</w:t>
            </w:r>
          </w:p>
        </w:tc>
        <w:tc>
          <w:tcPr>
            <w:tcW w:w="85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400</w:t>
            </w:r>
          </w:p>
        </w:tc>
        <w:tc>
          <w:tcPr>
            <w:tcW w:w="992"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400</w:t>
            </w:r>
          </w:p>
        </w:tc>
        <w:tc>
          <w:tcPr>
            <w:tcW w:w="567"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2120107</w:t>
            </w:r>
          </w:p>
        </w:tc>
        <w:tc>
          <w:tcPr>
            <w:tcW w:w="2829"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市政公用行业市场监管</w:t>
            </w:r>
          </w:p>
        </w:tc>
        <w:tc>
          <w:tcPr>
            <w:tcW w:w="85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6.7</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6.7</w:t>
            </w:r>
          </w:p>
        </w:tc>
        <w:tc>
          <w:tcPr>
            <w:tcW w:w="567"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2120109</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住宅建设与房地产市场监管</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15.41</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15.41</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2120199</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其他城乡社区管理事务支出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15.45</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15.45</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21203</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z w:val="18"/>
                <w:szCs w:val="18"/>
              </w:rPr>
              <w:t>城乡社区公共设施</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10732.91</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10732.91</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2120303</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小城镇基础设施建设</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7928.88</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7928.88</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2120399</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其他城乡社区公共设施支出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2804.02</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2804.02</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21205</w:t>
            </w:r>
          </w:p>
        </w:tc>
        <w:tc>
          <w:tcPr>
            <w:tcW w:w="2829" w:type="dxa"/>
            <w:gridSpan w:val="4"/>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z w:val="18"/>
                <w:szCs w:val="18"/>
              </w:rPr>
              <w:t>城乡社区环境卫生</w:t>
            </w:r>
          </w:p>
        </w:tc>
        <w:tc>
          <w:tcPr>
            <w:tcW w:w="85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3041.26</w:t>
            </w:r>
          </w:p>
        </w:tc>
        <w:tc>
          <w:tcPr>
            <w:tcW w:w="992"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3041.26</w:t>
            </w:r>
          </w:p>
        </w:tc>
        <w:tc>
          <w:tcPr>
            <w:tcW w:w="567"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2120501</w:t>
            </w:r>
          </w:p>
        </w:tc>
        <w:tc>
          <w:tcPr>
            <w:tcW w:w="2829"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城乡社区环境卫生</w:t>
            </w:r>
          </w:p>
        </w:tc>
        <w:tc>
          <w:tcPr>
            <w:tcW w:w="85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3041.26</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3041.26</w:t>
            </w:r>
          </w:p>
        </w:tc>
        <w:tc>
          <w:tcPr>
            <w:tcW w:w="567"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360"/>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21206</w:t>
            </w:r>
          </w:p>
        </w:tc>
        <w:tc>
          <w:tcPr>
            <w:tcW w:w="2829" w:type="dxa"/>
            <w:gridSpan w:val="4"/>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z w:val="18"/>
                <w:szCs w:val="18"/>
              </w:rPr>
              <w:t>建设市场管理与监督</w:t>
            </w:r>
          </w:p>
        </w:tc>
        <w:tc>
          <w:tcPr>
            <w:tcW w:w="85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96.9</w:t>
            </w:r>
          </w:p>
        </w:tc>
        <w:tc>
          <w:tcPr>
            <w:tcW w:w="992"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96.9</w:t>
            </w:r>
          </w:p>
        </w:tc>
        <w:tc>
          <w:tcPr>
            <w:tcW w:w="567"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2120601</w:t>
            </w:r>
          </w:p>
        </w:tc>
        <w:tc>
          <w:tcPr>
            <w:tcW w:w="28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180" w:firstLineChars="100"/>
              <w:jc w:val="left"/>
              <w:rPr>
                <w:rFonts w:ascii="宋体" w:hAnsi="宋体" w:cs="宋体"/>
                <w:color w:val="000000"/>
                <w:sz w:val="18"/>
                <w:szCs w:val="18"/>
              </w:rPr>
            </w:pPr>
            <w:r>
              <w:rPr>
                <w:rFonts w:hint="eastAsia" w:ascii="宋体" w:hAnsi="宋体" w:cs="宋体"/>
                <w:color w:val="000000"/>
                <w:sz w:val="18"/>
                <w:szCs w:val="18"/>
              </w:rPr>
              <w:t>建设市场管理与监督</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96.9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96.9</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21208</w:t>
            </w:r>
          </w:p>
        </w:tc>
        <w:tc>
          <w:tcPr>
            <w:tcW w:w="2829"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1"/>
                <w:w w:val="61"/>
                <w:kern w:val="0"/>
                <w:sz w:val="18"/>
                <w:szCs w:val="18"/>
              </w:rPr>
              <w:t>国有土地使用权出让收入及对应专项债务收入安排的支</w:t>
            </w:r>
            <w:r>
              <w:rPr>
                <w:rFonts w:hint="eastAsia" w:ascii="宋体" w:hAnsi="宋体" w:cs="宋体"/>
                <w:color w:val="000000"/>
                <w:spacing w:val="-5"/>
                <w:w w:val="61"/>
                <w:kern w:val="0"/>
                <w:sz w:val="18"/>
                <w:szCs w:val="18"/>
              </w:rPr>
              <w:t>出</w:t>
            </w:r>
          </w:p>
        </w:tc>
        <w:tc>
          <w:tcPr>
            <w:tcW w:w="85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5225.99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5225.99</w:t>
            </w:r>
          </w:p>
        </w:tc>
        <w:tc>
          <w:tcPr>
            <w:tcW w:w="567"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2120801</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72"/>
                <w:kern w:val="0"/>
                <w:sz w:val="18"/>
                <w:szCs w:val="18"/>
              </w:rPr>
              <w:t>征地和拆迁补偿支</w:t>
            </w:r>
            <w:r>
              <w:rPr>
                <w:rFonts w:hint="eastAsia" w:ascii="宋体" w:hAnsi="宋体" w:cs="宋体"/>
                <w:color w:val="000000"/>
                <w:spacing w:val="3"/>
                <w:kern w:val="0"/>
                <w:sz w:val="18"/>
                <w:szCs w:val="18"/>
              </w:rPr>
              <w:t>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1725.99</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1725.99</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2120811</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95"/>
                <w:kern w:val="0"/>
                <w:sz w:val="18"/>
                <w:szCs w:val="18"/>
              </w:rPr>
              <w:t>公共租赁住房支</w:t>
            </w:r>
            <w:r>
              <w:rPr>
                <w:rFonts w:hint="eastAsia" w:ascii="宋体" w:hAnsi="宋体" w:cs="宋体"/>
                <w:color w:val="000000"/>
                <w:spacing w:val="4"/>
                <w:kern w:val="0"/>
                <w:sz w:val="18"/>
                <w:szCs w:val="18"/>
              </w:rPr>
              <w:t>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3500</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3500</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21213</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2"/>
                <w:w w:val="66"/>
                <w:kern w:val="0"/>
                <w:sz w:val="18"/>
                <w:szCs w:val="18"/>
              </w:rPr>
              <w:t>城市基础设施配套费及对应专项债务收入安排的支</w:t>
            </w:r>
            <w:r>
              <w:rPr>
                <w:rFonts w:hint="eastAsia" w:ascii="宋体" w:hAnsi="宋体" w:cs="宋体"/>
                <w:color w:val="000000"/>
                <w:spacing w:val="-12"/>
                <w:w w:val="66"/>
                <w:kern w:val="0"/>
                <w:sz w:val="18"/>
                <w:szCs w:val="18"/>
              </w:rPr>
              <w:t>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114.81</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114.81</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2121301</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170"/>
                <w:sz w:val="18"/>
                <w:szCs w:val="18"/>
              </w:rPr>
              <w:t>城市公共设</w:t>
            </w:r>
            <w:r>
              <w:rPr>
                <w:rFonts w:hint="eastAsia" w:ascii="宋体" w:hAnsi="宋体" w:cs="宋体"/>
                <w:color w:val="000000"/>
                <w:sz w:val="18"/>
                <w:szCs w:val="18"/>
              </w:rPr>
              <w:t>施</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109.87</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109.87</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21121399</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6"/>
                <w:w w:val="93"/>
                <w:kern w:val="0"/>
                <w:sz w:val="18"/>
                <w:szCs w:val="18"/>
              </w:rPr>
              <w:t>其他城市基础设施配套费安排的支</w:t>
            </w:r>
            <w:r>
              <w:rPr>
                <w:rFonts w:hint="eastAsia" w:ascii="宋体" w:hAnsi="宋体" w:cs="宋体"/>
                <w:color w:val="000000"/>
                <w:spacing w:val="-39"/>
                <w:w w:val="93"/>
                <w:kern w:val="0"/>
                <w:sz w:val="18"/>
                <w:szCs w:val="18"/>
              </w:rPr>
              <w:t>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4.93</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4.93</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221</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170"/>
                <w:kern w:val="0"/>
                <w:sz w:val="18"/>
                <w:szCs w:val="18"/>
              </w:rPr>
              <w:t>住房保障支</w:t>
            </w:r>
            <w:r>
              <w:rPr>
                <w:rFonts w:hint="eastAsia" w:ascii="宋体" w:hAnsi="宋体" w:cs="宋体"/>
                <w:color w:val="000000"/>
                <w:kern w:val="0"/>
                <w:sz w:val="18"/>
                <w:szCs w:val="18"/>
              </w:rPr>
              <w:t>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3726.81</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3726.81</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22101</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72"/>
                <w:kern w:val="0"/>
                <w:sz w:val="18"/>
                <w:szCs w:val="18"/>
              </w:rPr>
              <w:t>保障性安居工程支</w:t>
            </w:r>
            <w:r>
              <w:rPr>
                <w:rFonts w:hint="eastAsia" w:ascii="宋体" w:hAnsi="宋体" w:cs="宋体"/>
                <w:color w:val="000000"/>
                <w:spacing w:val="3"/>
                <w:kern w:val="0"/>
                <w:sz w:val="18"/>
                <w:szCs w:val="18"/>
              </w:rPr>
              <w:t>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3726.81</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3726.81</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2210103</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235"/>
                <w:kern w:val="0"/>
                <w:sz w:val="18"/>
                <w:szCs w:val="18"/>
              </w:rPr>
              <w:t>棚户区改</w:t>
            </w:r>
            <w:r>
              <w:rPr>
                <w:rFonts w:hint="eastAsia" w:ascii="宋体" w:hAnsi="宋体" w:cs="宋体"/>
                <w:color w:val="000000"/>
                <w:kern w:val="0"/>
                <w:sz w:val="18"/>
                <w:szCs w:val="18"/>
              </w:rPr>
              <w:t>造</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454.78</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454.78</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2210105</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432" w:firstLineChars="100"/>
              <w:jc w:val="left"/>
              <w:rPr>
                <w:rFonts w:ascii="宋体" w:hAnsi="宋体" w:cs="宋体"/>
                <w:color w:val="000000"/>
                <w:sz w:val="18"/>
                <w:szCs w:val="18"/>
              </w:rPr>
            </w:pPr>
            <w:r>
              <w:rPr>
                <w:rFonts w:hint="eastAsia" w:ascii="宋体" w:hAnsi="宋体" w:cs="宋体"/>
                <w:color w:val="000000"/>
                <w:spacing w:val="126"/>
                <w:kern w:val="0"/>
                <w:sz w:val="18"/>
                <w:szCs w:val="18"/>
              </w:rPr>
              <w:t>农村危房改</w:t>
            </w:r>
            <w:r>
              <w:rPr>
                <w:rFonts w:hint="eastAsia" w:ascii="宋体" w:hAnsi="宋体" w:cs="宋体"/>
                <w:color w:val="000000"/>
                <w:spacing w:val="1"/>
                <w:kern w:val="0"/>
                <w:sz w:val="18"/>
                <w:szCs w:val="18"/>
              </w:rPr>
              <w:t>造</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197.7</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197.7</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2210106</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432" w:firstLineChars="100"/>
              <w:jc w:val="left"/>
              <w:rPr>
                <w:rFonts w:ascii="宋体" w:hAnsi="宋体" w:cs="宋体"/>
                <w:color w:val="000000"/>
                <w:sz w:val="18"/>
                <w:szCs w:val="18"/>
              </w:rPr>
            </w:pPr>
            <w:r>
              <w:rPr>
                <w:rFonts w:hint="eastAsia" w:ascii="宋体" w:hAnsi="宋体" w:cs="宋体"/>
                <w:color w:val="000000"/>
                <w:spacing w:val="126"/>
                <w:kern w:val="0"/>
                <w:sz w:val="18"/>
                <w:szCs w:val="18"/>
              </w:rPr>
              <w:t>公共租赁住</w:t>
            </w:r>
            <w:r>
              <w:rPr>
                <w:rFonts w:hint="eastAsia" w:ascii="宋体" w:hAnsi="宋体" w:cs="宋体"/>
                <w:color w:val="000000"/>
                <w:spacing w:val="1"/>
                <w:kern w:val="0"/>
                <w:sz w:val="18"/>
                <w:szCs w:val="18"/>
              </w:rPr>
              <w:t>房</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3065.03</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3065.03</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1014"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2210199</w:t>
            </w:r>
          </w:p>
        </w:tc>
        <w:tc>
          <w:tcPr>
            <w:tcW w:w="2829"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18"/>
                <w:szCs w:val="18"/>
              </w:rPr>
            </w:pPr>
            <w:r>
              <w:rPr>
                <w:rFonts w:hint="eastAsia" w:ascii="宋体" w:hAnsi="宋体" w:cs="宋体"/>
                <w:color w:val="000000"/>
                <w:spacing w:val="42"/>
                <w:w w:val="99"/>
                <w:sz w:val="18"/>
                <w:szCs w:val="18"/>
              </w:rPr>
              <w:t>其他保障性安居工程支</w:t>
            </w:r>
            <w:r>
              <w:rPr>
                <w:rFonts w:hint="eastAsia" w:ascii="宋体" w:hAnsi="宋体" w:cs="宋体"/>
                <w:color w:val="000000"/>
                <w:spacing w:val="-5"/>
                <w:w w:val="99"/>
                <w:sz w:val="18"/>
                <w:szCs w:val="18"/>
              </w:rPr>
              <w:t>出</w:t>
            </w:r>
          </w:p>
        </w:tc>
        <w:tc>
          <w:tcPr>
            <w:tcW w:w="8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9.3</w:t>
            </w:r>
          </w:p>
        </w:tc>
        <w:tc>
          <w:tcPr>
            <w:tcW w:w="992"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18"/>
                <w:szCs w:val="18"/>
              </w:rPr>
            </w:pPr>
            <w:r>
              <w:rPr>
                <w:rFonts w:hint="eastAsia" w:ascii="宋体" w:hAnsi="宋体" w:cs="宋体"/>
                <w:color w:val="000000"/>
                <w:sz w:val="18"/>
                <w:szCs w:val="18"/>
              </w:rPr>
              <w:t>9.3</w:t>
            </w:r>
          </w:p>
        </w:tc>
        <w:tc>
          <w:tcPr>
            <w:tcW w:w="56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8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3"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jc w:val="center"/>
        </w:trPr>
        <w:tc>
          <w:tcPr>
            <w:tcW w:w="8874"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88"/>
        <w:gridCol w:w="289"/>
        <w:gridCol w:w="430"/>
        <w:gridCol w:w="373"/>
        <w:gridCol w:w="1116"/>
        <w:gridCol w:w="647"/>
        <w:gridCol w:w="700"/>
        <w:gridCol w:w="1134"/>
        <w:gridCol w:w="407"/>
        <w:gridCol w:w="585"/>
        <w:gridCol w:w="533"/>
        <w:gridCol w:w="459"/>
        <w:gridCol w:w="661"/>
        <w:gridCol w:w="44"/>
        <w:gridCol w:w="567"/>
        <w:gridCol w:w="767"/>
      </w:tblGrid>
      <w:tr>
        <w:tblPrEx>
          <w:tblCellMar>
            <w:top w:w="0" w:type="dxa"/>
            <w:left w:w="0" w:type="dxa"/>
            <w:bottom w:w="0" w:type="dxa"/>
            <w:right w:w="0" w:type="dxa"/>
          </w:tblCellMar>
        </w:tblPrEx>
        <w:trPr>
          <w:trHeight w:val="79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308" w:hRule="atLeast"/>
        </w:trPr>
        <w:tc>
          <w:tcPr>
            <w:tcW w:w="28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54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14" w:hRule="atLeast"/>
        </w:trPr>
        <w:tc>
          <w:tcPr>
            <w:tcW w:w="3143"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无极县住房和城乡建设局</w:t>
            </w:r>
          </w:p>
        </w:tc>
        <w:tc>
          <w:tcPr>
            <w:tcW w:w="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54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207" w:hRule="atLeast"/>
        </w:trPr>
        <w:tc>
          <w:tcPr>
            <w:tcW w:w="384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113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本年支出合计</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基本支出</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70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上缴上级支出</w:t>
            </w:r>
          </w:p>
        </w:tc>
        <w:tc>
          <w:tcPr>
            <w:tcW w:w="567"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经营支出</w:t>
            </w:r>
          </w:p>
        </w:tc>
        <w:tc>
          <w:tcPr>
            <w:tcW w:w="767"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对附属单位补助支出</w:t>
            </w:r>
          </w:p>
        </w:tc>
      </w:tr>
      <w:tr>
        <w:tblPrEx>
          <w:tblCellMar>
            <w:top w:w="0" w:type="dxa"/>
            <w:left w:w="0" w:type="dxa"/>
            <w:bottom w:w="0" w:type="dxa"/>
            <w:right w:w="0" w:type="dxa"/>
          </w:tblCellMar>
        </w:tblPrEx>
        <w:trPr>
          <w:trHeight w:val="449" w:hRule="atLeas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功能分类科目编码</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科目名称</w:t>
            </w:r>
          </w:p>
        </w:tc>
        <w:tc>
          <w:tcPr>
            <w:tcW w:w="113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0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67"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231" w:hRule="atLeast"/>
        </w:trPr>
        <w:tc>
          <w:tcPr>
            <w:tcW w:w="3843"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09" w:hRule="atLeast"/>
        </w:trPr>
        <w:tc>
          <w:tcPr>
            <w:tcW w:w="3843"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20544.08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925.09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19618.98</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社会保障和就业支出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15.57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9.54</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行政事业单位离退休</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2080505</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pacing w:val="18"/>
                <w:w w:val="78"/>
                <w:kern w:val="0"/>
                <w:sz w:val="18"/>
                <w:szCs w:val="18"/>
              </w:rPr>
              <w:t>机关事业单位基本养老保险缴费支</w:t>
            </w:r>
            <w:r>
              <w:rPr>
                <w:rFonts w:hint="eastAsia" w:ascii="宋体" w:hAnsi="宋体" w:cs="宋体"/>
                <w:color w:val="000000"/>
                <w:spacing w:val="9"/>
                <w:w w:val="78"/>
                <w:kern w:val="0"/>
                <w:sz w:val="18"/>
                <w:szCs w:val="18"/>
              </w:rPr>
              <w:t>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20899</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其他社会保障和就业支出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2089901</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其他社会保障和就业支出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城乡社区支出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16924.32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909.52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16014.8</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21201</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城乡社区管理事务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1802.66</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812.62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990.04</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2120101</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center"/>
              <w:rPr>
                <w:rFonts w:ascii="宋体" w:hAnsi="宋体" w:cs="宋体"/>
                <w:color w:val="000000"/>
                <w:sz w:val="18"/>
                <w:szCs w:val="18"/>
              </w:rPr>
            </w:pPr>
            <w:r>
              <w:rPr>
                <w:rFonts w:hint="eastAsia" w:ascii="宋体" w:hAnsi="宋体" w:cs="宋体"/>
                <w:color w:val="000000"/>
                <w:sz w:val="18"/>
                <w:szCs w:val="18"/>
              </w:rPr>
              <w:t>行政运行</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922.35</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797.21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125.14</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2120102</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一般行政管理事务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223.26</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223.26</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2120104</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center"/>
              <w:rPr>
                <w:rFonts w:ascii="宋体" w:hAnsi="宋体" w:cs="宋体"/>
                <w:color w:val="000000"/>
                <w:sz w:val="18"/>
                <w:szCs w:val="18"/>
              </w:rPr>
            </w:pPr>
            <w:r>
              <w:rPr>
                <w:rFonts w:hint="eastAsia" w:ascii="宋体" w:hAnsi="宋体" w:cs="宋体"/>
                <w:color w:val="000000"/>
                <w:sz w:val="18"/>
                <w:szCs w:val="18"/>
              </w:rPr>
              <w:t>城管执法</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97.3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97.3</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rPr>
                <w:rFonts w:ascii="宋体" w:hAnsi="宋体" w:cs="宋体"/>
                <w:color w:val="000000"/>
                <w:sz w:val="18"/>
                <w:szCs w:val="18"/>
              </w:rPr>
            </w:pPr>
            <w:r>
              <w:rPr>
                <w:rFonts w:hint="eastAsia" w:ascii="宋体" w:hAnsi="宋体" w:cs="宋体"/>
                <w:color w:val="000000"/>
                <w:sz w:val="18"/>
                <w:szCs w:val="18"/>
              </w:rPr>
              <w:t>2120106</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ind w:firstLine="180" w:firstLineChars="100"/>
              <w:jc w:val="center"/>
              <w:rPr>
                <w:rFonts w:ascii="宋体" w:hAnsi="宋体" w:cs="宋体"/>
                <w:color w:val="000000"/>
                <w:sz w:val="18"/>
                <w:szCs w:val="18"/>
              </w:rPr>
            </w:pPr>
            <w:r>
              <w:rPr>
                <w:rFonts w:hint="eastAsia" w:ascii="宋体" w:hAnsi="宋体" w:cs="宋体"/>
                <w:color w:val="000000"/>
                <w:sz w:val="18"/>
                <w:szCs w:val="18"/>
              </w:rPr>
              <w:t>工程建设管理</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400</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400</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center"/>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2120107</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市政公用行业市场监管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2120109</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住宅建设与房地产市场监管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15.41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15.41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420"/>
              <w:rPr>
                <w:rFonts w:ascii="宋体" w:hAnsi="宋体" w:cs="宋体"/>
                <w:color w:val="000000"/>
                <w:sz w:val="18"/>
                <w:szCs w:val="18"/>
              </w:rPr>
            </w:pP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2120199</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其他城乡社区管理事务支出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137.63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137.63</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21202</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城乡社区规划与管理</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2120201</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城乡社区规划与管理</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21203</w:t>
            </w:r>
          </w:p>
        </w:tc>
        <w:tc>
          <w:tcPr>
            <w:tcW w:w="283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城乡社区公共设施</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6865.02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6865.02</w:t>
            </w:r>
          </w:p>
        </w:tc>
        <w:tc>
          <w:tcPr>
            <w:tcW w:w="7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2120303</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小城镇基础设施建设</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4349.22</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4349.22</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21203099</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其他城乡社区公共设施支出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2515.79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2515.79</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21205</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城乡社区环境卫生</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3341.95</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3341.95</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21206</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建设市场管理与监督</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220601</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建设市场管理与监督</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ab/>
            </w:r>
            <w:r>
              <w:rPr>
                <w:rFonts w:hint="eastAsia" w:ascii="宋体" w:hAnsi="宋体" w:cs="宋体"/>
                <w:color w:val="000000"/>
                <w:sz w:val="18"/>
                <w:szCs w:val="18"/>
              </w:rPr>
              <w:t>96.9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21208</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pacing w:val="9"/>
                <w:w w:val="53"/>
                <w:kern w:val="0"/>
                <w:sz w:val="18"/>
                <w:szCs w:val="18"/>
              </w:rPr>
              <w:t>国有土地使用权出让收入及对应专项债务收入安排的支</w:t>
            </w:r>
            <w:r>
              <w:rPr>
                <w:rFonts w:hint="eastAsia" w:ascii="宋体" w:hAnsi="宋体" w:cs="宋体"/>
                <w:color w:val="000000"/>
                <w:w w:val="53"/>
                <w:kern w:val="0"/>
                <w:sz w:val="18"/>
                <w:szCs w:val="18"/>
              </w:rPr>
              <w:t>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3702.99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3702.99</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2120801</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征地和拆迁补偿支出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1725.99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1725.99</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2120803</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城市建设支出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1477</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1477</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2120811</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公共租赁住房支出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500</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500</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21213</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pacing w:val="10"/>
                <w:w w:val="57"/>
                <w:kern w:val="0"/>
                <w:sz w:val="18"/>
                <w:szCs w:val="18"/>
              </w:rPr>
              <w:t>城市基础设施配套费及对应专项债务收入安排的支</w:t>
            </w:r>
            <w:r>
              <w:rPr>
                <w:rFonts w:hint="eastAsia" w:ascii="宋体" w:hAnsi="宋体" w:cs="宋体"/>
                <w:color w:val="000000"/>
                <w:spacing w:val="9"/>
                <w:w w:val="57"/>
                <w:kern w:val="0"/>
                <w:sz w:val="18"/>
                <w:szCs w:val="18"/>
              </w:rPr>
              <w:t>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114.81</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114.81</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2121301</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0"/>
                <w:w w:val="57"/>
                <w:kern w:val="0"/>
                <w:sz w:val="18"/>
                <w:szCs w:val="18"/>
              </w:rPr>
            </w:pPr>
            <w:r>
              <w:rPr>
                <w:rFonts w:hint="eastAsia" w:ascii="宋体" w:hAnsi="宋体" w:cs="宋体"/>
                <w:color w:val="000000"/>
                <w:sz w:val="18"/>
                <w:szCs w:val="18"/>
              </w:rPr>
              <w:t>城市公共设施</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109.87</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109.87</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2121399</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0"/>
                <w:w w:val="57"/>
                <w:kern w:val="0"/>
                <w:sz w:val="18"/>
                <w:szCs w:val="18"/>
              </w:rPr>
            </w:pPr>
            <w:r>
              <w:rPr>
                <w:rFonts w:hint="eastAsia" w:ascii="宋体" w:hAnsi="宋体" w:cs="宋体"/>
                <w:color w:val="000000"/>
                <w:spacing w:val="18"/>
                <w:w w:val="78"/>
                <w:kern w:val="0"/>
                <w:sz w:val="18"/>
                <w:szCs w:val="18"/>
              </w:rPr>
              <w:t>其他城市基础设施配套费安排的支</w:t>
            </w:r>
            <w:r>
              <w:rPr>
                <w:rFonts w:hint="eastAsia" w:ascii="宋体" w:hAnsi="宋体" w:cs="宋体"/>
                <w:color w:val="000000"/>
                <w:spacing w:val="9"/>
                <w:w w:val="78"/>
                <w:kern w:val="0"/>
                <w:sz w:val="18"/>
                <w:szCs w:val="18"/>
              </w:rPr>
              <w:t>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4.93</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4.93</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8"/>
                <w:w w:val="78"/>
                <w:kern w:val="0"/>
                <w:sz w:val="18"/>
                <w:szCs w:val="18"/>
              </w:rPr>
            </w:pPr>
            <w:r>
              <w:rPr>
                <w:rFonts w:hint="eastAsia" w:ascii="宋体" w:hAnsi="宋体" w:cs="宋体"/>
                <w:color w:val="000000"/>
                <w:sz w:val="18"/>
                <w:szCs w:val="18"/>
              </w:rPr>
              <w:t>住房保障支出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3594.65</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3594.65</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22101</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8"/>
                <w:w w:val="78"/>
                <w:kern w:val="0"/>
                <w:sz w:val="18"/>
                <w:szCs w:val="18"/>
              </w:rPr>
            </w:pPr>
            <w:r>
              <w:rPr>
                <w:rFonts w:hint="eastAsia" w:ascii="宋体" w:hAnsi="宋体" w:cs="宋体"/>
                <w:color w:val="000000"/>
                <w:sz w:val="18"/>
                <w:szCs w:val="18"/>
              </w:rPr>
              <w:t>保障性安居工程支出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3594.65</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3594.65</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2210103</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8"/>
                <w:w w:val="78"/>
                <w:kern w:val="0"/>
                <w:sz w:val="18"/>
                <w:szCs w:val="18"/>
              </w:rPr>
            </w:pPr>
            <w:r>
              <w:rPr>
                <w:rFonts w:hint="eastAsia" w:ascii="宋体" w:hAnsi="宋体" w:cs="宋体"/>
                <w:color w:val="000000"/>
                <w:sz w:val="18"/>
                <w:szCs w:val="18"/>
              </w:rPr>
              <w:t>棚户区改造</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636.45</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636.45</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2210105</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8"/>
                <w:w w:val="78"/>
                <w:kern w:val="0"/>
                <w:sz w:val="18"/>
                <w:szCs w:val="18"/>
              </w:rPr>
            </w:pPr>
            <w:r>
              <w:rPr>
                <w:rFonts w:hint="eastAsia" w:ascii="宋体" w:hAnsi="宋体" w:cs="宋体"/>
                <w:color w:val="000000"/>
                <w:sz w:val="18"/>
                <w:szCs w:val="18"/>
              </w:rPr>
              <w:t>农村危房改造</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197.7</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197.7</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2210106</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8"/>
                <w:w w:val="78"/>
                <w:kern w:val="0"/>
                <w:sz w:val="18"/>
                <w:szCs w:val="18"/>
              </w:rPr>
            </w:pPr>
            <w:r>
              <w:rPr>
                <w:rFonts w:hint="eastAsia" w:ascii="宋体" w:hAnsi="宋体" w:cs="宋体"/>
                <w:color w:val="000000"/>
                <w:sz w:val="18"/>
                <w:szCs w:val="18"/>
              </w:rPr>
              <w:t>公共租赁住房</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2745.7</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2745.7</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100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2210199</w:t>
            </w:r>
          </w:p>
        </w:tc>
        <w:tc>
          <w:tcPr>
            <w:tcW w:w="2836"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pacing w:val="18"/>
                <w:w w:val="78"/>
                <w:kern w:val="0"/>
                <w:sz w:val="18"/>
                <w:szCs w:val="18"/>
              </w:rPr>
            </w:pPr>
            <w:r>
              <w:rPr>
                <w:rFonts w:hint="eastAsia" w:ascii="宋体" w:hAnsi="宋体" w:cs="宋体"/>
                <w:color w:val="000000"/>
                <w:sz w:val="18"/>
                <w:szCs w:val="18"/>
              </w:rPr>
              <w:t>其他保障性安居工程支出</w:t>
            </w:r>
          </w:p>
        </w:tc>
        <w:tc>
          <w:tcPr>
            <w:tcW w:w="11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14.79</w:t>
            </w: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9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14.79</w:t>
            </w:r>
          </w:p>
        </w:tc>
        <w:tc>
          <w:tcPr>
            <w:tcW w:w="70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6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1" w:hRule="exact"/>
        </w:trPr>
        <w:tc>
          <w:tcPr>
            <w:tcW w:w="9000" w:type="dxa"/>
            <w:gridSpan w:val="16"/>
            <w:tcBorders>
              <w:top w:val="nil"/>
              <w:left w:val="nil"/>
              <w:bottom w:val="nil"/>
              <w:right w:val="nil"/>
            </w:tcBorders>
            <w:shd w:val="clear" w:color="auto" w:fill="auto"/>
            <w:tcMar>
              <w:top w:w="15" w:type="dxa"/>
              <w:left w:w="15" w:type="dxa"/>
              <w:right w:w="15" w:type="dxa"/>
            </w:tcMa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227" w:footer="340" w:gutter="0"/>
          <w:cols w:space="0" w:num="1"/>
          <w:docGrid w:type="lines" w:linePitch="312" w:charSpace="0"/>
        </w:sectPr>
      </w:pPr>
    </w:p>
    <w:tbl>
      <w:tblPr>
        <w:tblStyle w:val="12"/>
        <w:tblW w:w="8804"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83"/>
        <w:gridCol w:w="296"/>
        <w:gridCol w:w="554"/>
        <w:gridCol w:w="709"/>
      </w:tblGrid>
      <w:tr>
        <w:tblPrEx>
          <w:tblCellMar>
            <w:top w:w="0" w:type="dxa"/>
            <w:left w:w="0" w:type="dxa"/>
            <w:bottom w:w="0" w:type="dxa"/>
            <w:right w:w="0" w:type="dxa"/>
          </w:tblCellMar>
        </w:tblPrEx>
        <w:trPr>
          <w:trHeight w:val="152" w:hRule="atLeast"/>
        </w:trPr>
        <w:tc>
          <w:tcPr>
            <w:tcW w:w="8804"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79"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26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部门：无极县住房和城乡建设局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842"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017"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19274.79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5340.8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25.11</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16924.32</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13106.52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3817.8</w:t>
            </w: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3594.65</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3594.65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24615.59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20544.08</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16726.28</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3817.8</w:t>
            </w: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3233.98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7305.49</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4305.49</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3000</w:t>
            </w: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1756.98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1477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23"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27849.57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9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27849.57</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21031.77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8"/>
              </w:rPr>
            </w:pPr>
            <w:r>
              <w:rPr>
                <w:rFonts w:hint="eastAsia" w:ascii="宋体" w:hAnsi="宋体" w:cs="宋体"/>
                <w:color w:val="000000"/>
                <w:sz w:val="16"/>
                <w:szCs w:val="18"/>
              </w:rPr>
              <w:t>6817.8</w:t>
            </w:r>
          </w:p>
        </w:tc>
      </w:tr>
      <w:tr>
        <w:tblPrEx>
          <w:tblCellMar>
            <w:top w:w="0" w:type="dxa"/>
            <w:left w:w="0" w:type="dxa"/>
            <w:bottom w:w="0" w:type="dxa"/>
            <w:right w:w="0" w:type="dxa"/>
          </w:tblCellMar>
        </w:tblPrEx>
        <w:trPr>
          <w:trHeight w:val="323" w:hRule="exact"/>
        </w:trPr>
        <w:tc>
          <w:tcPr>
            <w:tcW w:w="8804"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pPr w:leftFromText="180" w:rightFromText="180" w:horzAnchor="margin" w:tblpY="-444"/>
        <w:tblW w:w="8860" w:type="dxa"/>
        <w:tblInd w:w="0" w:type="dxa"/>
        <w:tblLayout w:type="fixed"/>
        <w:tblCellMar>
          <w:top w:w="0" w:type="dxa"/>
          <w:left w:w="0" w:type="dxa"/>
          <w:bottom w:w="0" w:type="dxa"/>
          <w:right w:w="0" w:type="dxa"/>
        </w:tblCellMar>
      </w:tblPr>
      <w:tblGrid>
        <w:gridCol w:w="316"/>
        <w:gridCol w:w="319"/>
        <w:gridCol w:w="357"/>
        <w:gridCol w:w="2109"/>
        <w:gridCol w:w="1025"/>
        <w:gridCol w:w="1559"/>
        <w:gridCol w:w="52"/>
        <w:gridCol w:w="1649"/>
        <w:gridCol w:w="1474"/>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192" w:hRule="atLeast"/>
        </w:trPr>
        <w:tc>
          <w:tcPr>
            <w:tcW w:w="31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0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61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140" w:hRule="atLeast"/>
        </w:trPr>
        <w:tc>
          <w:tcPr>
            <w:tcW w:w="412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无极县住房和城乡建设局</w:t>
            </w:r>
          </w:p>
        </w:tc>
        <w:tc>
          <w:tcPr>
            <w:tcW w:w="161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412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4734"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12" w:hRule="atLeast"/>
        </w:trPr>
        <w:tc>
          <w:tcPr>
            <w:tcW w:w="9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kern w:val="0"/>
                <w:szCs w:val="21"/>
              </w:rPr>
              <w:t>功能分类科目编码</w:t>
            </w:r>
          </w:p>
        </w:tc>
        <w:tc>
          <w:tcPr>
            <w:tcW w:w="3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kern w:val="0"/>
                <w:szCs w:val="21"/>
              </w:rPr>
              <w:t>科目名称</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kern w:val="0"/>
                <w:szCs w:val="21"/>
              </w:rPr>
              <w:t>小计</w:t>
            </w:r>
          </w:p>
        </w:tc>
        <w:tc>
          <w:tcPr>
            <w:tcW w:w="170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kern w:val="0"/>
                <w:szCs w:val="21"/>
              </w:rPr>
              <w:t>基本支出</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219" w:hRule="atLeast"/>
        </w:trPr>
        <w:tc>
          <w:tcPr>
            <w:tcW w:w="4126"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70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57" w:hRule="atLeast"/>
        </w:trPr>
        <w:tc>
          <w:tcPr>
            <w:tcW w:w="4126"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16726.28</w:t>
            </w:r>
          </w:p>
        </w:tc>
        <w:tc>
          <w:tcPr>
            <w:tcW w:w="170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210"/>
              <w:jc w:val="right"/>
              <w:rPr>
                <w:rFonts w:ascii="宋体" w:hAnsi="宋体" w:cs="宋体"/>
                <w:b/>
                <w:color w:val="000000"/>
                <w:szCs w:val="21"/>
              </w:rPr>
            </w:pPr>
            <w:r>
              <w:rPr>
                <w:rFonts w:hint="eastAsia" w:ascii="宋体" w:hAnsi="宋体" w:cs="宋体"/>
                <w:b/>
                <w:color w:val="000000"/>
                <w:szCs w:val="21"/>
              </w:rPr>
              <w:t>925.09</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15801.19</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w:t>
            </w:r>
          </w:p>
        </w:tc>
        <w:tc>
          <w:tcPr>
            <w:tcW w:w="3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25"/>
                <w:kern w:val="0"/>
                <w:szCs w:val="21"/>
              </w:rPr>
              <w:t>社会保障和就业支出</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25.11</w:t>
            </w:r>
          </w:p>
        </w:tc>
        <w:tc>
          <w:tcPr>
            <w:tcW w:w="170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15.57</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9.54</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31"/>
                <w:kern w:val="0"/>
                <w:szCs w:val="21"/>
              </w:rPr>
              <w:t>行政事业单位离退休</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4.83</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4.83</w:t>
            </w: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2080505</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w w:val="83"/>
                <w:kern w:val="0"/>
                <w:szCs w:val="21"/>
              </w:rPr>
              <w:t>机关事业单位基本养老保险缴费支</w:t>
            </w:r>
            <w:r>
              <w:rPr>
                <w:rFonts w:hint="eastAsia" w:ascii="宋体" w:hAnsi="宋体" w:cs="宋体"/>
                <w:color w:val="000000"/>
                <w:spacing w:val="20"/>
                <w:w w:val="83"/>
                <w:kern w:val="0"/>
                <w:szCs w:val="21"/>
              </w:rPr>
              <w:t>出</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4.83</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4.83</w:t>
            </w: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20899</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8"/>
                <w:kern w:val="0"/>
                <w:szCs w:val="21"/>
              </w:rPr>
              <w:t>其他社会保障和就业支出</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20.28</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10.75</w:t>
            </w: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9.54</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2089901</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1" w:firstLineChars="100"/>
              <w:jc w:val="left"/>
              <w:rPr>
                <w:rFonts w:ascii="宋体" w:hAnsi="宋体" w:cs="宋体"/>
                <w:color w:val="000000"/>
                <w:szCs w:val="21"/>
              </w:rPr>
            </w:pPr>
            <w:r>
              <w:rPr>
                <w:rFonts w:hint="eastAsia" w:ascii="宋体" w:hAnsi="宋体" w:cs="宋体"/>
                <w:color w:val="000000"/>
                <w:spacing w:val="7"/>
                <w:w w:val="94"/>
                <w:kern w:val="0"/>
                <w:szCs w:val="21"/>
              </w:rPr>
              <w:t>其他社会保障和就业支出</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20.28</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10.75</w:t>
            </w: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9.54</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182"/>
                <w:kern w:val="0"/>
                <w:szCs w:val="21"/>
              </w:rPr>
              <w:t>城乡社区支</w:t>
            </w:r>
            <w:r>
              <w:rPr>
                <w:rFonts w:hint="eastAsia" w:ascii="宋体" w:hAnsi="宋体" w:cs="宋体"/>
                <w:color w:val="000000"/>
                <w:spacing w:val="2"/>
                <w:kern w:val="0"/>
                <w:szCs w:val="21"/>
              </w:rPr>
              <w:t>出</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13106.52</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909.52</w:t>
            </w: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12197</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w:t>
            </w:r>
          </w:p>
        </w:tc>
        <w:tc>
          <w:tcPr>
            <w:tcW w:w="3134"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100"/>
                <w:kern w:val="0"/>
                <w:szCs w:val="21"/>
              </w:rPr>
              <w:t>城乡社区管理事</w:t>
            </w:r>
            <w:r>
              <w:rPr>
                <w:rFonts w:hint="eastAsia" w:ascii="宋体" w:hAnsi="宋体" w:cs="宋体"/>
                <w:color w:val="000000"/>
                <w:spacing w:val="2"/>
                <w:kern w:val="0"/>
                <w:szCs w:val="21"/>
              </w:rPr>
              <w:t>务</w:t>
            </w:r>
          </w:p>
        </w:tc>
        <w:tc>
          <w:tcPr>
            <w:tcW w:w="155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1802.66</w:t>
            </w:r>
          </w:p>
        </w:tc>
        <w:tc>
          <w:tcPr>
            <w:tcW w:w="170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812.62</w:t>
            </w:r>
          </w:p>
        </w:tc>
        <w:tc>
          <w:tcPr>
            <w:tcW w:w="1474"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990.04</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2120101</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716" w:firstLineChars="100"/>
              <w:jc w:val="left"/>
              <w:rPr>
                <w:rFonts w:ascii="宋体" w:hAnsi="宋体" w:cs="宋体"/>
                <w:color w:val="000000"/>
                <w:szCs w:val="21"/>
              </w:rPr>
            </w:pPr>
            <w:r>
              <w:rPr>
                <w:rFonts w:hint="eastAsia" w:ascii="宋体" w:hAnsi="宋体" w:cs="宋体"/>
                <w:color w:val="000000"/>
                <w:spacing w:val="253"/>
                <w:kern w:val="0"/>
                <w:szCs w:val="21"/>
              </w:rPr>
              <w:t>行政运</w:t>
            </w:r>
            <w:r>
              <w:rPr>
                <w:rFonts w:hint="eastAsia" w:ascii="宋体" w:hAnsi="宋体" w:cs="宋体"/>
                <w:color w:val="000000"/>
                <w:spacing w:val="1"/>
                <w:kern w:val="0"/>
                <w:szCs w:val="21"/>
              </w:rPr>
              <w:t>行</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922.35</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797.21</w:t>
            </w: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125.14</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2120102</w:t>
            </w:r>
          </w:p>
        </w:tc>
        <w:tc>
          <w:tcPr>
            <w:tcW w:w="3134"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48" w:firstLineChars="100"/>
              <w:jc w:val="left"/>
              <w:rPr>
                <w:rFonts w:ascii="宋体" w:hAnsi="宋体" w:cs="宋体"/>
                <w:color w:val="000000"/>
                <w:szCs w:val="21"/>
              </w:rPr>
            </w:pPr>
            <w:r>
              <w:rPr>
                <w:rFonts w:hint="eastAsia" w:ascii="宋体" w:hAnsi="宋体" w:cs="宋体"/>
                <w:color w:val="000000"/>
                <w:spacing w:val="19"/>
                <w:kern w:val="0"/>
                <w:szCs w:val="21"/>
              </w:rPr>
              <w:t>一般行政管理事务</w:t>
            </w:r>
          </w:p>
        </w:tc>
        <w:tc>
          <w:tcPr>
            <w:tcW w:w="155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223.26</w:t>
            </w:r>
          </w:p>
        </w:tc>
        <w:tc>
          <w:tcPr>
            <w:tcW w:w="170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223.26</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2120104</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716" w:firstLineChars="100"/>
              <w:jc w:val="left"/>
              <w:rPr>
                <w:rFonts w:ascii="宋体" w:hAnsi="宋体" w:cs="宋体"/>
                <w:color w:val="000000"/>
                <w:szCs w:val="21"/>
              </w:rPr>
            </w:pPr>
            <w:r>
              <w:rPr>
                <w:rFonts w:hint="eastAsia" w:ascii="宋体" w:hAnsi="宋体" w:cs="宋体"/>
                <w:color w:val="000000"/>
                <w:spacing w:val="253"/>
                <w:kern w:val="0"/>
                <w:szCs w:val="21"/>
              </w:rPr>
              <w:t>城管执</w:t>
            </w:r>
            <w:r>
              <w:rPr>
                <w:rFonts w:hint="eastAsia" w:ascii="宋体" w:hAnsi="宋体" w:cs="宋体"/>
                <w:color w:val="000000"/>
                <w:spacing w:val="1"/>
                <w:kern w:val="0"/>
                <w:szCs w:val="21"/>
              </w:rPr>
              <w:t>法</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97.3</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97.3</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2120106</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74" w:firstLineChars="100"/>
              <w:jc w:val="left"/>
              <w:rPr>
                <w:rFonts w:ascii="宋体" w:hAnsi="宋体" w:cs="宋体"/>
                <w:color w:val="000000"/>
                <w:szCs w:val="21"/>
              </w:rPr>
            </w:pPr>
            <w:r>
              <w:rPr>
                <w:rFonts w:hint="eastAsia" w:ascii="宋体" w:hAnsi="宋体" w:cs="宋体"/>
                <w:color w:val="000000"/>
                <w:spacing w:val="32"/>
                <w:kern w:val="0"/>
                <w:szCs w:val="21"/>
              </w:rPr>
              <w:t>工程建设管理</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400</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400</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2120107</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4"/>
                <w:kern w:val="0"/>
                <w:szCs w:val="21"/>
              </w:rPr>
              <w:t>市政公用行业市场监管</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6.7</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6.7</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2120109</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13"/>
                <w:kern w:val="0"/>
                <w:szCs w:val="21"/>
              </w:rPr>
              <w:t>住宅建设与房地产市场监管</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15.41</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15.41</w:t>
            </w: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2120199</w:t>
            </w:r>
          </w:p>
        </w:tc>
        <w:tc>
          <w:tcPr>
            <w:tcW w:w="3134"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25"/>
                <w:kern w:val="0"/>
                <w:szCs w:val="21"/>
              </w:rPr>
              <w:t>其他城乡社区管理事务支</w:t>
            </w:r>
            <w:r>
              <w:rPr>
                <w:rFonts w:hint="eastAsia" w:ascii="宋体" w:hAnsi="宋体" w:cs="宋体"/>
                <w:color w:val="000000"/>
                <w:spacing w:val="7"/>
                <w:kern w:val="0"/>
                <w:szCs w:val="21"/>
              </w:rPr>
              <w:t>出</w:t>
            </w:r>
          </w:p>
        </w:tc>
        <w:tc>
          <w:tcPr>
            <w:tcW w:w="15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137.63</w:t>
            </w:r>
          </w:p>
        </w:tc>
        <w:tc>
          <w:tcPr>
            <w:tcW w:w="170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137.63</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21202</w:t>
            </w:r>
          </w:p>
        </w:tc>
        <w:tc>
          <w:tcPr>
            <w:tcW w:w="3134"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74"/>
                <w:kern w:val="0"/>
                <w:szCs w:val="21"/>
              </w:rPr>
              <w:t>城乡社区规划与管</w:t>
            </w:r>
            <w:r>
              <w:rPr>
                <w:rFonts w:hint="eastAsia" w:ascii="宋体" w:hAnsi="宋体" w:cs="宋体"/>
                <w:color w:val="000000"/>
                <w:spacing w:val="5"/>
                <w:kern w:val="0"/>
                <w:szCs w:val="21"/>
              </w:rPr>
              <w:t>理</w:t>
            </w:r>
          </w:p>
        </w:tc>
        <w:tc>
          <w:tcPr>
            <w:tcW w:w="155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1000</w:t>
            </w:r>
          </w:p>
        </w:tc>
        <w:tc>
          <w:tcPr>
            <w:tcW w:w="170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1000</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2120201</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74"/>
                <w:kern w:val="0"/>
                <w:szCs w:val="21"/>
              </w:rPr>
              <w:t>城乡社区规划与管</w:t>
            </w:r>
            <w:r>
              <w:rPr>
                <w:rFonts w:hint="eastAsia" w:ascii="宋体" w:hAnsi="宋体" w:cs="宋体"/>
                <w:color w:val="000000"/>
                <w:spacing w:val="5"/>
                <w:kern w:val="0"/>
                <w:szCs w:val="21"/>
              </w:rPr>
              <w:t>理</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1000</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1000</w:t>
            </w:r>
          </w:p>
        </w:tc>
      </w:tr>
      <w:tr>
        <w:tblPrEx>
          <w:tblCellMar>
            <w:top w:w="0" w:type="dxa"/>
            <w:left w:w="0" w:type="dxa"/>
            <w:bottom w:w="0" w:type="dxa"/>
            <w:right w:w="0" w:type="dxa"/>
          </w:tblCellMar>
        </w:tblPrEx>
        <w:trPr>
          <w:trHeight w:val="323" w:hRule="exact"/>
        </w:trPr>
        <w:tc>
          <w:tcPr>
            <w:tcW w:w="992"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21203</w:t>
            </w:r>
          </w:p>
        </w:tc>
        <w:tc>
          <w:tcPr>
            <w:tcW w:w="3134"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100"/>
                <w:kern w:val="0"/>
                <w:szCs w:val="21"/>
              </w:rPr>
              <w:t>城乡社区公共设</w:t>
            </w:r>
            <w:r>
              <w:rPr>
                <w:rFonts w:hint="eastAsia" w:ascii="宋体" w:hAnsi="宋体" w:cs="宋体"/>
                <w:color w:val="000000"/>
                <w:spacing w:val="2"/>
                <w:kern w:val="0"/>
                <w:szCs w:val="21"/>
              </w:rPr>
              <w:t>施</w:t>
            </w:r>
          </w:p>
        </w:tc>
        <w:tc>
          <w:tcPr>
            <w:tcW w:w="155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6865.02</w:t>
            </w:r>
          </w:p>
        </w:tc>
        <w:tc>
          <w:tcPr>
            <w:tcW w:w="170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6865.02</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2120303</w:t>
            </w:r>
          </w:p>
        </w:tc>
        <w:tc>
          <w:tcPr>
            <w:tcW w:w="3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25"/>
                <w:kern w:val="0"/>
                <w:szCs w:val="21"/>
              </w:rPr>
              <w:t>小城镇基础设施建设</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4349.22</w:t>
            </w:r>
          </w:p>
        </w:tc>
        <w:tc>
          <w:tcPr>
            <w:tcW w:w="170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4349.22</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2120399</w:t>
            </w:r>
          </w:p>
        </w:tc>
        <w:tc>
          <w:tcPr>
            <w:tcW w:w="3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38" w:firstLineChars="100"/>
              <w:jc w:val="left"/>
              <w:rPr>
                <w:rFonts w:ascii="宋体" w:hAnsi="宋体" w:cs="宋体"/>
                <w:color w:val="000000"/>
                <w:szCs w:val="21"/>
              </w:rPr>
            </w:pPr>
            <w:r>
              <w:rPr>
                <w:rFonts w:hint="eastAsia" w:ascii="宋体" w:hAnsi="宋体" w:cs="宋体"/>
                <w:color w:val="000000"/>
                <w:spacing w:val="14"/>
                <w:kern w:val="0"/>
                <w:szCs w:val="21"/>
              </w:rPr>
              <w:t>其他城乡社区公共设施支</w:t>
            </w:r>
            <w:r>
              <w:rPr>
                <w:rFonts w:hint="eastAsia" w:ascii="宋体" w:hAnsi="宋体" w:cs="宋体"/>
                <w:color w:val="000000"/>
                <w:spacing w:val="8"/>
                <w:kern w:val="0"/>
                <w:szCs w:val="21"/>
              </w:rPr>
              <w:t>出</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2515.79</w:t>
            </w:r>
          </w:p>
        </w:tc>
        <w:tc>
          <w:tcPr>
            <w:tcW w:w="170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2515.79</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21205</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pacing w:val="100"/>
                <w:kern w:val="0"/>
                <w:szCs w:val="21"/>
              </w:rPr>
              <w:t>城乡社区环境卫</w:t>
            </w:r>
            <w:r>
              <w:rPr>
                <w:rFonts w:hint="eastAsia" w:ascii="宋体" w:hAnsi="宋体" w:cs="宋体"/>
                <w:color w:val="000000"/>
                <w:spacing w:val="2"/>
                <w:kern w:val="0"/>
                <w:szCs w:val="21"/>
              </w:rPr>
              <w:t>生</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3341.95</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3341.95</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2120501</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4"/>
                <w:kern w:val="0"/>
                <w:szCs w:val="21"/>
              </w:rPr>
            </w:pPr>
            <w:r>
              <w:rPr>
                <w:rFonts w:hint="eastAsia" w:ascii="宋体" w:hAnsi="宋体" w:cs="宋体"/>
                <w:color w:val="000000"/>
                <w:spacing w:val="3"/>
                <w:w w:val="91"/>
                <w:kern w:val="0"/>
                <w:szCs w:val="21"/>
              </w:rPr>
              <w:t>城乡社区环境卫生</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3341.95</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3341.95</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21206</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4"/>
                <w:kern w:val="0"/>
                <w:szCs w:val="21"/>
              </w:rPr>
            </w:pPr>
            <w:r>
              <w:rPr>
                <w:rFonts w:hint="eastAsia" w:ascii="宋体" w:hAnsi="宋体" w:cs="宋体"/>
                <w:color w:val="000000"/>
                <w:w w:val="97"/>
                <w:kern w:val="0"/>
                <w:szCs w:val="21"/>
              </w:rPr>
              <w:t>建设市场管理与监督</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96.9</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96.9</w:t>
            </w: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2120601</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4"/>
                <w:kern w:val="0"/>
                <w:szCs w:val="21"/>
              </w:rPr>
            </w:pPr>
            <w:r>
              <w:rPr>
                <w:rFonts w:hint="eastAsia" w:ascii="宋体" w:hAnsi="宋体" w:cs="宋体"/>
                <w:color w:val="000000"/>
                <w:spacing w:val="74"/>
                <w:kern w:val="0"/>
                <w:szCs w:val="21"/>
              </w:rPr>
              <w:t>建设市场管理与监</w:t>
            </w:r>
            <w:r>
              <w:rPr>
                <w:rFonts w:hint="eastAsia" w:ascii="宋体" w:hAnsi="宋体" w:cs="宋体"/>
                <w:color w:val="000000"/>
                <w:spacing w:val="5"/>
                <w:kern w:val="0"/>
                <w:szCs w:val="21"/>
              </w:rPr>
              <w:t>督</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96.9</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96.9</w:t>
            </w: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4"/>
                <w:kern w:val="0"/>
                <w:szCs w:val="21"/>
              </w:rPr>
            </w:pPr>
            <w:r>
              <w:rPr>
                <w:rFonts w:hint="eastAsia" w:ascii="宋体" w:hAnsi="宋体" w:cs="宋体"/>
                <w:color w:val="000000"/>
                <w:spacing w:val="182"/>
                <w:kern w:val="0"/>
                <w:szCs w:val="21"/>
              </w:rPr>
              <w:t>住房保障支</w:t>
            </w:r>
            <w:r>
              <w:rPr>
                <w:rFonts w:hint="eastAsia" w:ascii="宋体" w:hAnsi="宋体" w:cs="宋体"/>
                <w:color w:val="000000"/>
                <w:spacing w:val="2"/>
                <w:kern w:val="0"/>
                <w:szCs w:val="21"/>
              </w:rPr>
              <w:t>出</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3594.65</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3594.65</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22101</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2"/>
                <w:kern w:val="0"/>
                <w:szCs w:val="21"/>
              </w:rPr>
            </w:pPr>
            <w:r>
              <w:rPr>
                <w:rFonts w:hint="eastAsia" w:ascii="宋体" w:hAnsi="宋体" w:cs="宋体"/>
                <w:color w:val="000000"/>
                <w:spacing w:val="74"/>
                <w:kern w:val="0"/>
                <w:szCs w:val="21"/>
              </w:rPr>
              <w:t>保障性安居工程支</w:t>
            </w:r>
            <w:r>
              <w:rPr>
                <w:rFonts w:hint="eastAsia" w:ascii="宋体" w:hAnsi="宋体" w:cs="宋体"/>
                <w:color w:val="000000"/>
                <w:spacing w:val="5"/>
                <w:kern w:val="0"/>
                <w:szCs w:val="21"/>
              </w:rPr>
              <w:t>出</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3594.65</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3594.65</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2210103</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2"/>
                <w:kern w:val="0"/>
                <w:szCs w:val="21"/>
              </w:rPr>
            </w:pPr>
            <w:r>
              <w:rPr>
                <w:rFonts w:hint="eastAsia" w:ascii="宋体" w:hAnsi="宋体" w:cs="宋体"/>
                <w:color w:val="000000"/>
                <w:spacing w:val="152"/>
                <w:kern w:val="0"/>
                <w:szCs w:val="21"/>
              </w:rPr>
              <w:t>棚户区改</w:t>
            </w:r>
            <w:r>
              <w:rPr>
                <w:rFonts w:hint="eastAsia" w:ascii="宋体" w:hAnsi="宋体" w:cs="宋体"/>
                <w:color w:val="000000"/>
                <w:kern w:val="0"/>
                <w:szCs w:val="21"/>
              </w:rPr>
              <w:t>造</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636.45</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636.45</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2210105</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1"/>
                <w:kern w:val="0"/>
                <w:szCs w:val="21"/>
              </w:rPr>
            </w:pPr>
            <w:r>
              <w:rPr>
                <w:rFonts w:hint="eastAsia" w:ascii="宋体" w:hAnsi="宋体" w:cs="宋体"/>
                <w:color w:val="000000"/>
                <w:spacing w:val="115"/>
                <w:kern w:val="0"/>
                <w:szCs w:val="21"/>
              </w:rPr>
              <w:t>农村危房改</w:t>
            </w:r>
            <w:r>
              <w:rPr>
                <w:rFonts w:hint="eastAsia" w:ascii="宋体" w:hAnsi="宋体" w:cs="宋体"/>
                <w:color w:val="000000"/>
                <w:spacing w:val="2"/>
                <w:kern w:val="0"/>
                <w:szCs w:val="21"/>
              </w:rPr>
              <w:t>造</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197.7</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197.7</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2210106</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1"/>
                <w:kern w:val="0"/>
                <w:szCs w:val="21"/>
              </w:rPr>
            </w:pPr>
            <w:r>
              <w:rPr>
                <w:rFonts w:hint="eastAsia" w:ascii="宋体" w:hAnsi="宋体" w:cs="宋体"/>
                <w:color w:val="000000"/>
                <w:spacing w:val="122"/>
                <w:w w:val="94"/>
                <w:kern w:val="0"/>
                <w:szCs w:val="21"/>
              </w:rPr>
              <w:t>公共租赁住</w:t>
            </w:r>
            <w:r>
              <w:rPr>
                <w:rFonts w:hint="eastAsia" w:ascii="宋体" w:hAnsi="宋体" w:cs="宋体"/>
                <w:color w:val="000000"/>
                <w:spacing w:val="-1"/>
                <w:w w:val="94"/>
                <w:kern w:val="0"/>
                <w:szCs w:val="21"/>
              </w:rPr>
              <w:t>房</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2745.7</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2745.7</w:t>
            </w:r>
          </w:p>
        </w:tc>
      </w:tr>
      <w:tr>
        <w:tblPrEx>
          <w:tblCellMar>
            <w:top w:w="0" w:type="dxa"/>
            <w:left w:w="0" w:type="dxa"/>
            <w:bottom w:w="0" w:type="dxa"/>
            <w:right w:w="0" w:type="dxa"/>
          </w:tblCellMar>
        </w:tblPrEx>
        <w:trPr>
          <w:trHeight w:val="323" w:hRule="exact"/>
        </w:trPr>
        <w:tc>
          <w:tcPr>
            <w:tcW w:w="99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2210199</w:t>
            </w:r>
          </w:p>
        </w:tc>
        <w:tc>
          <w:tcPr>
            <w:tcW w:w="313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pacing w:val="11"/>
                <w:kern w:val="0"/>
                <w:szCs w:val="21"/>
              </w:rPr>
            </w:pPr>
            <w:r>
              <w:rPr>
                <w:rFonts w:hint="eastAsia" w:ascii="宋体" w:hAnsi="宋体" w:cs="宋体"/>
                <w:color w:val="000000"/>
                <w:spacing w:val="24"/>
                <w:kern w:val="0"/>
                <w:szCs w:val="21"/>
              </w:rPr>
              <w:t>其他保障性安居工程支</w:t>
            </w:r>
            <w:r>
              <w:rPr>
                <w:rFonts w:hint="eastAsia" w:ascii="宋体" w:hAnsi="宋体" w:cs="宋体"/>
                <w:color w:val="000000"/>
                <w:spacing w:val="-5"/>
                <w:kern w:val="0"/>
                <w:szCs w:val="21"/>
              </w:rPr>
              <w:t>出</w:t>
            </w:r>
          </w:p>
        </w:tc>
        <w:tc>
          <w:tcPr>
            <w:tcW w:w="155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14.79</w:t>
            </w:r>
          </w:p>
        </w:tc>
        <w:tc>
          <w:tcPr>
            <w:tcW w:w="170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14.79</w:t>
            </w:r>
          </w:p>
        </w:tc>
      </w:tr>
      <w:tr>
        <w:tblPrEx>
          <w:tblCellMar>
            <w:top w:w="0" w:type="dxa"/>
            <w:left w:w="0" w:type="dxa"/>
            <w:bottom w:w="0" w:type="dxa"/>
            <w:right w:w="0" w:type="dxa"/>
          </w:tblCellMar>
        </w:tblPrEx>
        <w:trPr>
          <w:trHeight w:val="323" w:hRule="exac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878"/>
        <w:gridCol w:w="559"/>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87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5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无极县住房和城乡建设局</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87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5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8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776.56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Cambria Math" w:hAnsi="Cambria Math" w:cs="宋体"/>
                <w:color w:val="000000"/>
                <w:sz w:val="16"/>
                <w:szCs w:val="16"/>
                <w:oMath/>
              </w:rPr>
            </w:pPr>
            <w:r>
              <w:rPr>
                <w:rFonts w:hint="eastAsia" w:ascii="宋体" w:hAnsi="宋体" w:cs="宋体"/>
                <w:color w:val="000000"/>
                <w:sz w:val="16"/>
                <w:szCs w:val="16"/>
              </w:rPr>
              <w:t>112.47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483.14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78.09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115.6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15.05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11.69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12.08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21.23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36.06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12.75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16.49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9.77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43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812.62</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Cambria Math" w:hAnsi="Cambria Math" w:cs="宋体"/>
                <w:color w:val="000000"/>
                <w:sz w:val="16"/>
                <w:szCs w:val="16"/>
                <w:oMath/>
              </w:rPr>
            </w:pPr>
            <w:r>
              <w:rPr>
                <w:rFonts w:hint="eastAsia" w:ascii="宋体" w:hAnsi="宋体" w:cs="宋体"/>
                <w:color w:val="000000"/>
                <w:sz w:val="16"/>
                <w:szCs w:val="16"/>
              </w:rPr>
              <w:t>112.47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部门：无极县住房和城乡建设局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0.7</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2.07</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0.39</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387" w:type="dxa"/>
        <w:tblInd w:w="0" w:type="dxa"/>
        <w:tblLayout w:type="fixed"/>
        <w:tblCellMar>
          <w:top w:w="0" w:type="dxa"/>
          <w:left w:w="0" w:type="dxa"/>
          <w:bottom w:w="0" w:type="dxa"/>
          <w:right w:w="0" w:type="dxa"/>
        </w:tblCellMar>
      </w:tblPr>
      <w:tblGrid>
        <w:gridCol w:w="296"/>
        <w:gridCol w:w="191"/>
        <w:gridCol w:w="479"/>
        <w:gridCol w:w="669"/>
        <w:gridCol w:w="2633"/>
        <w:gridCol w:w="567"/>
        <w:gridCol w:w="850"/>
        <w:gridCol w:w="50"/>
        <w:gridCol w:w="801"/>
        <w:gridCol w:w="391"/>
        <w:gridCol w:w="318"/>
        <w:gridCol w:w="850"/>
        <w:gridCol w:w="24"/>
        <w:gridCol w:w="741"/>
        <w:gridCol w:w="527"/>
      </w:tblGrid>
      <w:tr>
        <w:tblPrEx>
          <w:tblCellMar>
            <w:top w:w="0" w:type="dxa"/>
            <w:left w:w="0" w:type="dxa"/>
            <w:bottom w:w="0" w:type="dxa"/>
            <w:right w:w="0" w:type="dxa"/>
          </w:tblCellMar>
        </w:tblPrEx>
        <w:trPr>
          <w:gridAfter w:val="1"/>
          <w:wAfter w:w="527" w:type="dxa"/>
          <w:trHeight w:val="707" w:hRule="atLeast"/>
        </w:trPr>
        <w:tc>
          <w:tcPr>
            <w:tcW w:w="8860" w:type="dxa"/>
            <w:gridSpan w:val="14"/>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320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5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4835"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无极县住房和城乡建设局</w:t>
            </w:r>
          </w:p>
        </w:tc>
        <w:tc>
          <w:tcPr>
            <w:tcW w:w="85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527" w:type="dxa"/>
          <w:trHeight w:val="324" w:hRule="atLeast"/>
        </w:trPr>
        <w:tc>
          <w:tcPr>
            <w:tcW w:w="426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2410"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76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gridAfter w:val="1"/>
          <w:wAfter w:w="527" w:type="dxa"/>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30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7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8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76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30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6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30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6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4268"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527" w:type="dxa"/>
          <w:trHeight w:val="324" w:hRule="atLeast"/>
        </w:trPr>
        <w:tc>
          <w:tcPr>
            <w:tcW w:w="4268"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1477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5340.8</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3817.8</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right="420"/>
              <w:rPr>
                <w:rFonts w:ascii="宋体" w:hAnsi="宋体" w:cs="宋体"/>
                <w:b/>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3817.8</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3000</w:t>
            </w: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1477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5340.8</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3817.8</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3817.8</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3000</w:t>
            </w: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w w:val="61"/>
                <w:kern w:val="0"/>
                <w:szCs w:val="21"/>
              </w:rPr>
              <w:t>国有土地使用权出让收入及对应专项债务收入安排的支</w:t>
            </w:r>
            <w:r>
              <w:rPr>
                <w:rFonts w:hint="eastAsia" w:ascii="宋体" w:hAnsi="宋体" w:cs="宋体"/>
                <w:color w:val="000000"/>
                <w:spacing w:val="26"/>
                <w:w w:val="61"/>
                <w:kern w:val="0"/>
                <w:szCs w:val="21"/>
              </w:rPr>
              <w:t>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1477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5225.99</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3702.99</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3702.99</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3000</w:t>
            </w: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2120801</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210" w:firstLineChars="100"/>
              <w:jc w:val="left"/>
              <w:rPr>
                <w:rFonts w:ascii="宋体" w:hAnsi="宋体" w:cs="宋体"/>
                <w:color w:val="000000"/>
                <w:szCs w:val="21"/>
              </w:rPr>
            </w:pPr>
            <w:r>
              <w:rPr>
                <w:rFonts w:hint="eastAsia" w:ascii="宋体" w:hAnsi="宋体" w:cs="宋体"/>
                <w:color w:val="000000"/>
                <w:szCs w:val="21"/>
              </w:rPr>
              <w:t>征地和拆迁补偿支出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1725.99</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1725.99</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1725.99</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2120803</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 xml:space="preserve">  城市建设支出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1477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1477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1477</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2120811</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 xml:space="preserve">  公共租赁住房支出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3500</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500</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500</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3000</w:t>
            </w: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w w:val="67"/>
                <w:kern w:val="0"/>
                <w:szCs w:val="21"/>
              </w:rPr>
              <w:t>城市基础设施配套费及对应专项债务收入安排的支</w:t>
            </w:r>
            <w:r>
              <w:rPr>
                <w:rFonts w:hint="eastAsia" w:ascii="宋体" w:hAnsi="宋体" w:cs="宋体"/>
                <w:color w:val="000000"/>
                <w:spacing w:val="22"/>
                <w:w w:val="67"/>
                <w:kern w:val="0"/>
                <w:szCs w:val="21"/>
              </w:rPr>
              <w:t>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114.81</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114.81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114.81</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2121301</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210" w:firstLineChars="100"/>
              <w:jc w:val="left"/>
              <w:rPr>
                <w:rFonts w:ascii="宋体" w:hAnsi="宋体" w:cs="宋体"/>
                <w:color w:val="000000"/>
                <w:szCs w:val="21"/>
              </w:rPr>
            </w:pPr>
            <w:r>
              <w:rPr>
                <w:rFonts w:hint="eastAsia" w:ascii="宋体" w:hAnsi="宋体" w:cs="宋体"/>
                <w:color w:val="000000"/>
                <w:szCs w:val="21"/>
              </w:rPr>
              <w:t>城市公共设施</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109.87</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109.87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109.87</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2121399</w:t>
            </w: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191" w:firstLineChars="100"/>
              <w:jc w:val="left"/>
              <w:rPr>
                <w:rFonts w:ascii="宋体" w:hAnsi="宋体" w:cs="宋体"/>
                <w:color w:val="000000"/>
                <w:szCs w:val="21"/>
              </w:rPr>
            </w:pPr>
            <w:r>
              <w:rPr>
                <w:rFonts w:hint="eastAsia" w:ascii="宋体" w:hAnsi="宋体" w:cs="宋体"/>
                <w:color w:val="000000"/>
                <w:w w:val="91"/>
                <w:kern w:val="0"/>
                <w:szCs w:val="21"/>
              </w:rPr>
              <w:t>其他城市基础设施配套费安排的支</w:t>
            </w:r>
            <w:r>
              <w:rPr>
                <w:rFonts w:hint="eastAsia" w:ascii="宋体" w:hAnsi="宋体" w:cs="宋体"/>
                <w:color w:val="000000"/>
                <w:spacing w:val="11"/>
                <w:w w:val="91"/>
                <w:kern w:val="0"/>
                <w:szCs w:val="21"/>
              </w:rPr>
              <w:t>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4.93</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4.93</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4.93</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3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527" w:type="dxa"/>
          <w:trHeight w:val="324" w:hRule="atLeast"/>
        </w:trPr>
        <w:tc>
          <w:tcPr>
            <w:tcW w:w="8860" w:type="dxa"/>
            <w:gridSpan w:val="14"/>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无极县住房和城乡建设局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 xml:space="preserve">本部门本年度无相关支出情况，按要求空表列示。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无极县住房和城乡建设局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24166.92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24166.92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24166.92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1491.97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1491.97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1491.97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15551.8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15551.8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15551.8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7123.15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7123.15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7123.15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23853.73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23853.73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23853.73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1426.79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1426.79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1426.79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15386.06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15386.06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15386.06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7040.88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7040.88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7040.88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-999490</wp:posOffset>
            </wp:positionH>
            <wp:positionV relativeFrom="paragraph">
              <wp:posOffset>-1309370</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240" w:lineRule="auto"/>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360" w:lineRule="auto"/>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本部门2018年度收支总计（含结转和结余）2784</w:t>
      </w:r>
      <w:r>
        <w:rPr>
          <w:rFonts w:hint="eastAsia" w:ascii="仿宋" w:hAnsi="仿宋" w:eastAsia="仿宋" w:cs="宋体"/>
          <w:sz w:val="32"/>
          <w:szCs w:val="32"/>
        </w:rPr>
        <w:t>9</w:t>
      </w:r>
      <w:r>
        <w:rPr>
          <w:rFonts w:hint="eastAsia" w:ascii="仿宋" w:hAnsi="仿宋" w:eastAsia="仿宋" w:cs="DengXian-Regular"/>
          <w:sz w:val="32"/>
          <w:szCs w:val="32"/>
        </w:rPr>
        <w:t>.</w:t>
      </w:r>
      <w:r>
        <w:rPr>
          <w:rFonts w:hint="eastAsia" w:ascii="仿宋" w:hAnsi="仿宋" w:eastAsia="仿宋" w:cs="宋体"/>
          <w:sz w:val="32"/>
          <w:szCs w:val="32"/>
        </w:rPr>
        <w:t>57</w:t>
      </w:r>
      <w:r>
        <w:rPr>
          <w:rFonts w:hint="eastAsia" w:ascii="仿宋" w:hAnsi="仿宋" w:eastAsia="仿宋" w:cs="DengXian-Regular"/>
          <w:sz w:val="32"/>
          <w:szCs w:val="32"/>
        </w:rPr>
        <w:t>万元。与2017年度决算相比，收支各增加185</w:t>
      </w:r>
      <w:r>
        <w:rPr>
          <w:rFonts w:hint="eastAsia" w:ascii="仿宋" w:hAnsi="仿宋" w:eastAsia="仿宋" w:cs="宋体"/>
          <w:sz w:val="32"/>
          <w:szCs w:val="32"/>
        </w:rPr>
        <w:t>90.48</w:t>
      </w:r>
      <w:r>
        <w:rPr>
          <w:rFonts w:hint="eastAsia" w:ascii="仿宋" w:hAnsi="仿宋" w:eastAsia="仿宋" w:cs="DengXian-Regular"/>
          <w:sz w:val="32"/>
          <w:szCs w:val="32"/>
        </w:rPr>
        <w:t>万元，增长200.78%，主要原因是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收支增加</w:t>
      </w:r>
      <w:r>
        <w:rPr>
          <w:rFonts w:hint="eastAsia" w:ascii="仿宋" w:hAnsi="仿宋" w:eastAsia="仿宋" w:cs="DengXian-Regular"/>
          <w:sz w:val="32"/>
          <w:szCs w:val="32"/>
        </w:rPr>
        <w:t>。</w:t>
      </w:r>
    </w:p>
    <w:p>
      <w:pPr>
        <w:pStyle w:val="3"/>
        <w:spacing w:before="0" w:after="0" w:line="240" w:lineRule="auto"/>
        <w:ind w:firstLine="640" w:firstLineChars="200"/>
        <w:rPr>
          <w:rFonts w:ascii="黑体" w:eastAsia="黑体"/>
          <w:b w:val="0"/>
          <w:bCs w:val="0"/>
        </w:rPr>
      </w:pPr>
      <w:r>
        <w:rPr>
          <w:rFonts w:hint="eastAsia" w:ascii="黑体" w:eastAsia="黑体"/>
          <w:b w:val="0"/>
          <w:bCs w:val="0"/>
        </w:rPr>
        <w:t>二、收入决算情况说明</w:t>
      </w:r>
    </w:p>
    <w:p>
      <w:pPr>
        <w:pStyle w:val="3"/>
        <w:spacing w:before="0" w:after="0" w:line="240" w:lineRule="auto"/>
        <w:ind w:firstLine="640" w:firstLineChars="200"/>
        <w:rPr>
          <w:rFonts w:ascii="仿宋" w:hAnsi="仿宋" w:eastAsia="仿宋"/>
          <w:b w:val="0"/>
          <w:bCs w:val="0"/>
        </w:rPr>
      </w:pPr>
      <w:r>
        <w:rPr>
          <w:rFonts w:hint="eastAsia" w:ascii="仿宋" w:hAnsi="仿宋" w:eastAsia="仿宋" w:cs="DengXian-Regular"/>
          <w:b w:val="0"/>
        </w:rPr>
        <w:t>本部门2018年度本年收入合计24615.5</w:t>
      </w:r>
      <w:r>
        <w:rPr>
          <w:rFonts w:hint="eastAsia" w:ascii="仿宋" w:hAnsi="仿宋" w:eastAsia="仿宋" w:cs="宋体"/>
          <w:b w:val="0"/>
        </w:rPr>
        <w:t>9</w:t>
      </w:r>
      <w:r>
        <w:rPr>
          <w:rFonts w:hint="eastAsia" w:ascii="仿宋" w:hAnsi="仿宋" w:eastAsia="仿宋" w:cs="DengXian-Regular"/>
          <w:b w:val="0"/>
        </w:rPr>
        <w:t>万元，其中：财政拨款收入24615.5</w:t>
      </w:r>
      <w:r>
        <w:rPr>
          <w:rFonts w:hint="eastAsia" w:ascii="仿宋" w:hAnsi="仿宋" w:eastAsia="仿宋" w:cs="宋体"/>
          <w:b w:val="0"/>
        </w:rPr>
        <w:t>9</w:t>
      </w:r>
      <w:r>
        <w:rPr>
          <w:rFonts w:hint="eastAsia" w:ascii="仿宋" w:hAnsi="仿宋" w:eastAsia="仿宋" w:cs="DengXian-Regular"/>
          <w:b w:val="0"/>
        </w:rPr>
        <w:t>万元，占100%；事业收入0万元，占0%；经营收入0万元，占0%；其他收入0万元，占0%。如图所示：</w:t>
      </w:r>
      <w:r>
        <w:rPr>
          <w:rFonts w:ascii="仿宋" w:hAnsi="仿宋" w:eastAsia="仿宋"/>
          <w:b w:val="0"/>
        </w:rPr>
        <w:pict>
          <v:group id="_x0000_s1040" o:spid="_x0000_s1040" o:spt="203" style="position:absolute;left:0pt;margin-left:73.8pt;margin-top:8.3pt;height:247.35pt;width:303.05pt;z-index:251650048;mso-width-relative:page;mso-height-relative:page;" coordorigin="68,1800" coordsize="51,-21474836"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42" o:spid="_x0000_s1042" o:spt="75" type="#_x0000_t75" style="position:absolute;left:68;top:1800;height:29;width:51;"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12" cropleft="2131f" croptop="1490f" cropright="1218f" cropbottom="5217f" o:title=""/>
              <o:lock v:ext="edit" aspectratio="t"/>
            </v:shape>
            <v:shape id="_x0000_s1041" o:spid="_x0000_s1041" o:spt="202" type="#_x0000_t202" style="position:absolute;left:76;top:1829;height:4;width:3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pStyle w:val="3"/>
        <w:spacing w:before="0" w:after="0" w:line="240" w:lineRule="auto"/>
        <w:ind w:firstLine="643" w:firstLineChars="200"/>
        <w:rPr>
          <w:rFonts w:ascii="黑体" w:eastAsia="黑体"/>
        </w:rPr>
      </w:pPr>
      <w:r>
        <w:rPr>
          <w:rFonts w:ascii="黑体" w:eastAsia="黑体"/>
        </w:rPr>
        <w:pict>
          <v:shape id="_x0000_i1025" o:spt="75" type="#_x0000_t75" style="height:224.25pt;width:331.5pt;" filled="f" o:preferrelative="t" stroked="f" coordsize="21600,21600">
            <v:path/>
            <v:fill on="f" focussize="0,0"/>
            <v:stroke on="f" joinstyle="miter"/>
            <v:imagedata r:id="rId13" o:title=""/>
            <o:lock v:ext="edit" aspectratio="t"/>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DengXian-Regular"/>
          <w:sz w:val="32"/>
          <w:szCs w:val="32"/>
        </w:rPr>
        <w:t>本部门2018年度本年支出合计20544.08万元，其中：基本支出</w:t>
      </w:r>
      <w:r>
        <w:rPr>
          <w:rFonts w:hint="eastAsia" w:ascii="仿宋" w:hAnsi="仿宋" w:eastAsia="仿宋" w:cs="宋体"/>
          <w:sz w:val="32"/>
          <w:szCs w:val="32"/>
        </w:rPr>
        <w:t>925.09</w:t>
      </w:r>
      <w:r>
        <w:rPr>
          <w:rFonts w:hint="eastAsia" w:ascii="仿宋" w:hAnsi="仿宋" w:eastAsia="仿宋" w:cs="DengXian-Regular"/>
          <w:sz w:val="32"/>
          <w:szCs w:val="32"/>
        </w:rPr>
        <w:t>万元，占4.5%；项目支出1</w:t>
      </w:r>
      <w:r>
        <w:rPr>
          <w:rFonts w:hint="eastAsia" w:ascii="仿宋" w:hAnsi="仿宋" w:eastAsia="仿宋" w:cs="宋体"/>
          <w:sz w:val="32"/>
          <w:szCs w:val="32"/>
        </w:rPr>
        <w:t>9618.98</w:t>
      </w:r>
      <w:r>
        <w:rPr>
          <w:rFonts w:hint="eastAsia" w:ascii="仿宋" w:hAnsi="仿宋" w:eastAsia="仿宋" w:cs="DengXian-Regular"/>
          <w:sz w:val="32"/>
          <w:szCs w:val="32"/>
        </w:rPr>
        <w:t>万元，占</w:t>
      </w:r>
      <w:r>
        <w:rPr>
          <w:rFonts w:hint="eastAsia" w:ascii="仿宋" w:hAnsi="仿宋" w:eastAsia="仿宋" w:cs="宋体"/>
          <w:sz w:val="32"/>
          <w:szCs w:val="32"/>
        </w:rPr>
        <w:t>95.5</w:t>
      </w:r>
      <w:r>
        <w:rPr>
          <w:rFonts w:hint="eastAsia" w:ascii="仿宋" w:hAnsi="仿宋" w:eastAsia="仿宋" w:cs="DengXian-Regular"/>
          <w:sz w:val="32"/>
          <w:szCs w:val="32"/>
        </w:rPr>
        <w:t>%；经营支出0万元，占0%。如图所示：</w:t>
      </w:r>
      <w:r>
        <w:rPr>
          <w:rFonts w:ascii="仿宋_GB2312" w:eastAsia="仿宋_GB2312" w:cs="DengXian-Regular"/>
          <w:sz w:val="32"/>
          <w:szCs w:val="32"/>
        </w:rPr>
        <w:pict>
          <v:group id="_x0000_s1037" o:spid="_x0000_s1037" o:spt="203" style="position:absolute;left:0pt;margin-left:59.55pt;margin-top:6.75pt;height:230.55pt;width:274.45pt;z-index:-251667456;mso-width-relative:page;mso-height-relative:page;" coordorigin="70,1907" coordsize="46,-21474836"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39" o:spid="_x0000_s1039"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12" cropleft="2131f" croptop="1490f" cropright="1218f" cropbottom="5217f" o:title=""/>
              <o:lock v:ext="edit" aspectratio="t"/>
            </v:shape>
            <v:shape id="_x0000_s1038" o:spid="_x0000_s1038" o:spt="202" type="#_x0000_t202" style="position:absolute;left:72;top:1936;height:7;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360" w:lineRule="auto"/>
        <w:rPr>
          <w:rFonts w:ascii="仿宋_GB2312" w:eastAsia="仿宋_GB2312" w:cs="DengXian-Regular"/>
          <w:sz w:val="32"/>
          <w:szCs w:val="32"/>
        </w:rPr>
      </w:pPr>
      <w:r>
        <w:rPr>
          <w:rFonts w:ascii="仿宋_GB2312" w:eastAsia="仿宋_GB2312" w:cs="DengXian-Regular"/>
          <w:sz w:val="32"/>
          <w:szCs w:val="32"/>
        </w:rPr>
        <w:pict>
          <v:shape id="_x0000_s1047" o:spid="_x0000_s1047" o:spt="75" type="#_x0000_t75" style="position:absolute;left:0pt;margin-top:0.3pt;height:199.2pt;width:292.2pt;mso-position-horizontal:center;mso-wrap-distance-bottom:0pt;mso-wrap-distance-top:0pt;z-index:251684864;mso-width-relative:page;mso-height-relative:page;" filled="f" o:preferrelative="t" stroked="f" coordsize="21600,21600">
            <v:path/>
            <v:fill on="f" focussize="0,0"/>
            <v:stroke on="f" joinstyle="miter"/>
            <v:imagedata r:id="rId14" o:title=""/>
            <o:lock v:ext="edit" aspectratio="t"/>
            <w10:wrap type="topAndBottom"/>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w:t>
      </w:r>
      <w:r>
        <w:rPr>
          <w:rFonts w:hint="eastAsia" w:ascii="楷体" w:hAnsi="楷体" w:eastAsia="楷体" w:cs="DengXian-Bold"/>
          <w:b/>
          <w:bCs/>
          <w:sz w:val="32"/>
          <w:szCs w:val="32"/>
        </w:rPr>
        <w:t>财政拨款收支与</w:t>
      </w:r>
      <w:r>
        <w:rPr>
          <w:rFonts w:hint="eastAsia" w:ascii="楷体" w:hAnsi="楷体" w:eastAsia="楷体" w:cs="宋体"/>
          <w:b/>
          <w:bCs/>
          <w:sz w:val="32"/>
          <w:szCs w:val="32"/>
        </w:rPr>
        <w:t>2017</w:t>
      </w:r>
      <w:r>
        <w:rPr>
          <w:rFonts w:hint="eastAsia" w:ascii="楷体" w:hAnsi="楷体" w:eastAsia="楷体" w:cs="DengXian-Bold"/>
          <w:b/>
          <w:bCs/>
          <w:sz w:val="32"/>
          <w:szCs w:val="32"/>
        </w:rPr>
        <w:t xml:space="preserve"> 年度决算对比情况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本部门2018年度财政拨款本年收入24615.5</w:t>
      </w:r>
      <w:r>
        <w:rPr>
          <w:rFonts w:hint="eastAsia" w:ascii="仿宋" w:hAnsi="仿宋" w:eastAsia="仿宋" w:cs="宋体"/>
          <w:sz w:val="32"/>
          <w:szCs w:val="32"/>
        </w:rPr>
        <w:t>9</w:t>
      </w:r>
      <w:r>
        <w:rPr>
          <w:rFonts w:hint="eastAsia" w:ascii="仿宋" w:hAnsi="仿宋" w:eastAsia="仿宋" w:cs="DengXian-Regular"/>
          <w:sz w:val="32"/>
          <w:szCs w:val="32"/>
        </w:rPr>
        <w:t>万元,比2017年度增加17203.14万元，增长232.08%，主要是因为</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收入增加</w:t>
      </w:r>
      <w:r>
        <w:rPr>
          <w:rFonts w:hint="eastAsia" w:ascii="仿宋" w:hAnsi="仿宋" w:eastAsia="仿宋" w:cs="DengXian-Regular"/>
          <w:sz w:val="32"/>
          <w:szCs w:val="32"/>
        </w:rPr>
        <w:t>；本年支出20544.08万元，增加145</w:t>
      </w:r>
      <w:r>
        <w:rPr>
          <w:rFonts w:hint="eastAsia" w:ascii="仿宋" w:hAnsi="仿宋" w:eastAsia="仿宋" w:cs="宋体"/>
          <w:sz w:val="32"/>
          <w:szCs w:val="32"/>
        </w:rPr>
        <w:t>98</w:t>
      </w:r>
      <w:r>
        <w:rPr>
          <w:rFonts w:hint="eastAsia" w:ascii="仿宋" w:hAnsi="仿宋" w:eastAsia="仿宋" w:cs="DengXian-Regular"/>
          <w:sz w:val="32"/>
          <w:szCs w:val="32"/>
        </w:rPr>
        <w:t>万元，增长245.5%，主要是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支出增加</w:t>
      </w:r>
      <w:r>
        <w:rPr>
          <w:rFonts w:hint="eastAsia" w:ascii="仿宋" w:hAnsi="仿宋" w:eastAsia="仿宋" w:cs="DengXian-Regular"/>
          <w:sz w:val="32"/>
          <w:szCs w:val="32"/>
        </w:rPr>
        <w:t>。</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其中：一般公共预算财政拨款本年收入1</w:t>
      </w:r>
      <w:r>
        <w:rPr>
          <w:rFonts w:hint="eastAsia" w:ascii="仿宋" w:hAnsi="仿宋" w:eastAsia="仿宋" w:cs="宋体"/>
          <w:sz w:val="32"/>
          <w:szCs w:val="32"/>
        </w:rPr>
        <w:t>9274.79</w:t>
      </w:r>
      <w:r>
        <w:rPr>
          <w:rFonts w:hint="eastAsia" w:ascii="仿宋" w:hAnsi="仿宋" w:eastAsia="仿宋" w:cs="DengXian-Regular"/>
          <w:sz w:val="32"/>
          <w:szCs w:val="32"/>
        </w:rPr>
        <w:t>万元，比上年增加14808.31万元；主要是</w:t>
      </w:r>
      <w:r>
        <w:rPr>
          <w:rFonts w:hint="eastAsia" w:ascii="仿宋" w:hAnsi="仿宋" w:eastAsia="仿宋" w:cs="宋体"/>
          <w:sz w:val="32"/>
          <w:szCs w:val="32"/>
        </w:rPr>
        <w:t>城乡道路保洁及城乡社区基础设施建设收入增加</w:t>
      </w:r>
      <w:r>
        <w:rPr>
          <w:rFonts w:hint="eastAsia" w:ascii="仿宋" w:hAnsi="仿宋" w:eastAsia="仿宋" w:cs="DengXian-Regular"/>
          <w:sz w:val="32"/>
          <w:szCs w:val="32"/>
        </w:rPr>
        <w:t>；本年支出16726.28万元，比上年增加124</w:t>
      </w:r>
      <w:r>
        <w:rPr>
          <w:rFonts w:hint="eastAsia" w:ascii="仿宋" w:hAnsi="仿宋" w:eastAsia="仿宋" w:cs="宋体"/>
          <w:sz w:val="32"/>
          <w:szCs w:val="32"/>
        </w:rPr>
        <w:t>94.6</w:t>
      </w:r>
      <w:r>
        <w:rPr>
          <w:rFonts w:hint="eastAsia" w:ascii="仿宋" w:hAnsi="仿宋" w:eastAsia="仿宋" w:cs="DengXian-Regular"/>
          <w:sz w:val="32"/>
          <w:szCs w:val="32"/>
        </w:rPr>
        <w:t>万元，增长2</w:t>
      </w:r>
      <w:r>
        <w:rPr>
          <w:rFonts w:hint="eastAsia" w:ascii="仿宋" w:hAnsi="仿宋" w:eastAsia="仿宋" w:cs="宋体"/>
          <w:sz w:val="32"/>
          <w:szCs w:val="32"/>
        </w:rPr>
        <w:t>95.26</w:t>
      </w:r>
      <w:r>
        <w:rPr>
          <w:rFonts w:hint="eastAsia" w:ascii="仿宋" w:hAnsi="仿宋" w:eastAsia="仿宋" w:cs="DengXian-Regular"/>
          <w:sz w:val="32"/>
          <w:szCs w:val="32"/>
        </w:rPr>
        <w:t>%，主要是</w:t>
      </w:r>
      <w:r>
        <w:rPr>
          <w:rFonts w:hint="eastAsia" w:ascii="仿宋" w:hAnsi="仿宋" w:eastAsia="仿宋" w:cs="宋体"/>
          <w:sz w:val="32"/>
          <w:szCs w:val="32"/>
        </w:rPr>
        <w:t>城乡道路保洁及城乡社区基础设施建设支出增加</w:t>
      </w:r>
      <w:r>
        <w:rPr>
          <w:rFonts w:hint="eastAsia" w:ascii="仿宋" w:hAnsi="仿宋" w:eastAsia="仿宋" w:cs="DengXian-Regular"/>
          <w:sz w:val="32"/>
          <w:szCs w:val="32"/>
        </w:rPr>
        <w:t>。政府性基金预算财政拨款本年收入5340.8万元，比上年增加23</w:t>
      </w:r>
      <w:r>
        <w:rPr>
          <w:rFonts w:hint="eastAsia" w:ascii="仿宋" w:hAnsi="仿宋" w:eastAsia="仿宋" w:cs="宋体"/>
          <w:sz w:val="32"/>
          <w:szCs w:val="32"/>
        </w:rPr>
        <w:t>94.83</w:t>
      </w:r>
      <w:r>
        <w:rPr>
          <w:rFonts w:hint="eastAsia" w:ascii="仿宋" w:hAnsi="仿宋" w:eastAsia="仿宋" w:cs="DengXian-Regular"/>
          <w:sz w:val="32"/>
          <w:szCs w:val="32"/>
        </w:rPr>
        <w:t>万元，增长81.2</w:t>
      </w:r>
      <w:r>
        <w:rPr>
          <w:rFonts w:hint="eastAsia" w:ascii="仿宋" w:hAnsi="仿宋" w:eastAsia="仿宋" w:cs="宋体"/>
          <w:sz w:val="32"/>
          <w:szCs w:val="32"/>
        </w:rPr>
        <w:t>9</w:t>
      </w:r>
      <w:r>
        <w:rPr>
          <w:rFonts w:hint="eastAsia" w:ascii="仿宋" w:hAnsi="仿宋" w:eastAsia="仿宋" w:cs="DengXian-Regular"/>
          <w:sz w:val="32"/>
          <w:szCs w:val="32"/>
        </w:rPr>
        <w:t>%，主要原因是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收入增加</w:t>
      </w:r>
      <w:r>
        <w:rPr>
          <w:rFonts w:hint="eastAsia" w:ascii="仿宋" w:hAnsi="仿宋" w:eastAsia="仿宋" w:cs="DengXian-Regular"/>
          <w:sz w:val="32"/>
          <w:szCs w:val="32"/>
        </w:rPr>
        <w:t>；本年支出3817.8万元，比上年增加233</w:t>
      </w:r>
      <w:r>
        <w:rPr>
          <w:rFonts w:hint="eastAsia" w:ascii="仿宋" w:hAnsi="仿宋" w:eastAsia="仿宋" w:cs="宋体"/>
          <w:sz w:val="32"/>
          <w:szCs w:val="32"/>
        </w:rPr>
        <w:t>9.01</w:t>
      </w:r>
      <w:r>
        <w:rPr>
          <w:rFonts w:hint="eastAsia" w:ascii="仿宋" w:hAnsi="仿宋" w:eastAsia="仿宋" w:cs="DengXian-Regular"/>
          <w:sz w:val="32"/>
          <w:szCs w:val="32"/>
        </w:rPr>
        <w:t>万元，增长158.17%，主要是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支出增加</w:t>
      </w:r>
      <w:r>
        <w:rPr>
          <w:rFonts w:hint="eastAsia" w:ascii="仿宋" w:hAnsi="仿宋" w:eastAsia="仿宋" w:cs="DengXian-Regular"/>
          <w:sz w:val="32"/>
          <w:szCs w:val="32"/>
        </w:rPr>
        <w:t>。</w:t>
      </w:r>
    </w:p>
    <w:p>
      <w:pPr>
        <w:adjustRightInd w:val="0"/>
        <w:snapToGrid w:val="0"/>
        <w:spacing w:after="0" w:line="360" w:lineRule="auto"/>
        <w:ind w:firstLine="640" w:firstLineChars="200"/>
        <w:rPr>
          <w:rFonts w:ascii="仿宋_GB2312" w:eastAsia="仿宋_GB2312" w:cs="DengXian-Regular"/>
          <w:sz w:val="32"/>
          <w:szCs w:val="32"/>
        </w:rPr>
      </w:pPr>
      <w:r>
        <w:rPr>
          <w:rFonts w:ascii="仿宋_GB2312" w:eastAsia="仿宋_GB2312" w:cs="DengXian-Regular"/>
          <w:sz w:val="32"/>
          <w:szCs w:val="32"/>
        </w:rPr>
        <w:pict>
          <v:shape id="_x0000_i1026" o:spt="75" type="#_x0000_t75" style="height:236.25pt;width:318pt;" filled="f" o:preferrelative="t" stroked="f" coordsize="21600,21600">
            <v:path/>
            <v:fill on="f" focussize="0,0"/>
            <v:stroke on="f" joinstyle="miter"/>
            <v:imagedata r:id="rId15" o:title=""/>
            <o:lock v:ext="edit" aspectratio="t"/>
            <w10:wrap type="none"/>
            <w10:anchorlock/>
          </v:shape>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w:t>
      </w:r>
      <w:r>
        <w:rPr>
          <w:rFonts w:hint="eastAsia" w:ascii="楷体" w:hAnsi="楷体" w:eastAsia="楷体" w:cs="DengXian-Bold"/>
          <w:b/>
          <w:bCs/>
          <w:sz w:val="32"/>
          <w:szCs w:val="32"/>
        </w:rPr>
        <w:t>财政拨款收支与年初预算数对比情况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本部门2018年度财政拨款本年收入24615.5</w:t>
      </w:r>
      <w:r>
        <w:rPr>
          <w:rFonts w:hint="eastAsia" w:ascii="仿宋" w:hAnsi="仿宋" w:eastAsia="仿宋" w:cs="宋体"/>
          <w:sz w:val="32"/>
          <w:szCs w:val="32"/>
        </w:rPr>
        <w:t>9</w:t>
      </w:r>
      <w:r>
        <w:rPr>
          <w:rFonts w:hint="eastAsia" w:ascii="仿宋" w:hAnsi="仿宋" w:eastAsia="仿宋" w:cs="DengXian-Regular"/>
          <w:sz w:val="32"/>
          <w:szCs w:val="32"/>
        </w:rPr>
        <w:t>万元，完成年初预算的27</w:t>
      </w:r>
      <w:r>
        <w:rPr>
          <w:rFonts w:hint="eastAsia" w:ascii="仿宋" w:hAnsi="仿宋" w:eastAsia="仿宋" w:cs="宋体"/>
          <w:sz w:val="32"/>
          <w:szCs w:val="32"/>
        </w:rPr>
        <w:t>9.86</w:t>
      </w:r>
      <w:r>
        <w:rPr>
          <w:rFonts w:hint="eastAsia" w:ascii="仿宋" w:hAnsi="仿宋" w:eastAsia="仿宋" w:cs="DengXian-Regular"/>
          <w:sz w:val="32"/>
          <w:szCs w:val="32"/>
        </w:rPr>
        <w:t>%,比年初预算增加1581</w:t>
      </w:r>
      <w:r>
        <w:rPr>
          <w:rFonts w:hint="eastAsia" w:ascii="仿宋" w:hAnsi="仿宋" w:eastAsia="仿宋" w:cs="宋体"/>
          <w:sz w:val="32"/>
          <w:szCs w:val="32"/>
        </w:rPr>
        <w:t>9.98</w:t>
      </w:r>
      <w:r>
        <w:rPr>
          <w:rFonts w:hint="eastAsia" w:ascii="仿宋" w:hAnsi="仿宋" w:eastAsia="仿宋" w:cs="DengXian-Regular"/>
          <w:sz w:val="32"/>
          <w:szCs w:val="32"/>
        </w:rPr>
        <w:t>万元，决算数大于预算数主要原因是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收入增加</w:t>
      </w:r>
      <w:r>
        <w:rPr>
          <w:rFonts w:hint="eastAsia" w:ascii="仿宋" w:hAnsi="仿宋" w:eastAsia="仿宋" w:cs="DengXian-Regular"/>
          <w:sz w:val="32"/>
          <w:szCs w:val="32"/>
        </w:rPr>
        <w:t>；本年支出20544.08万元，完成年初预算的133.57%,比年初预算增加11748.47万元，决算数大于预算数主要原因是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支出增加</w:t>
      </w:r>
      <w:r>
        <w:rPr>
          <w:rFonts w:hint="eastAsia" w:ascii="仿宋" w:hAnsi="仿宋" w:eastAsia="仿宋" w:cs="DengXian-Regular"/>
          <w:sz w:val="32"/>
          <w:szCs w:val="32"/>
        </w:rPr>
        <w:t>。</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其中，一般公共预算财政拨款本年收入1</w:t>
      </w:r>
      <w:r>
        <w:rPr>
          <w:rFonts w:hint="eastAsia" w:ascii="仿宋" w:hAnsi="仿宋" w:eastAsia="仿宋" w:cs="宋体"/>
          <w:sz w:val="32"/>
          <w:szCs w:val="32"/>
        </w:rPr>
        <w:t>9274.79</w:t>
      </w:r>
      <w:r>
        <w:rPr>
          <w:rFonts w:hint="eastAsia" w:ascii="仿宋" w:hAnsi="仿宋" w:eastAsia="仿宋" w:cs="DengXian-Regular"/>
          <w:sz w:val="32"/>
          <w:szCs w:val="32"/>
        </w:rPr>
        <w:t>万元，完成年初预算21</w:t>
      </w:r>
      <w:r>
        <w:rPr>
          <w:rFonts w:hint="eastAsia" w:ascii="仿宋" w:hAnsi="仿宋" w:eastAsia="仿宋" w:cs="宋体"/>
          <w:sz w:val="32"/>
          <w:szCs w:val="32"/>
        </w:rPr>
        <w:t>9.14</w:t>
      </w:r>
      <w:r>
        <w:rPr>
          <w:rFonts w:hint="eastAsia" w:ascii="仿宋" w:hAnsi="仿宋" w:eastAsia="仿宋" w:cs="DengXian-Regular"/>
          <w:sz w:val="32"/>
          <w:szCs w:val="32"/>
        </w:rPr>
        <w:t>%，比年初预算增加1047</w:t>
      </w:r>
      <w:r>
        <w:rPr>
          <w:rFonts w:hint="eastAsia" w:ascii="仿宋" w:hAnsi="仿宋" w:eastAsia="仿宋" w:cs="宋体"/>
          <w:sz w:val="32"/>
          <w:szCs w:val="32"/>
        </w:rPr>
        <w:t>9.18</w:t>
      </w:r>
      <w:r>
        <w:rPr>
          <w:rFonts w:hint="eastAsia" w:ascii="仿宋" w:hAnsi="仿宋" w:eastAsia="仿宋" w:cs="DengXian-Regular"/>
          <w:sz w:val="32"/>
          <w:szCs w:val="32"/>
        </w:rPr>
        <w:t>万元，主要是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收入增加</w:t>
      </w:r>
      <w:r>
        <w:rPr>
          <w:rFonts w:hint="eastAsia" w:ascii="仿宋" w:hAnsi="仿宋" w:eastAsia="仿宋" w:cs="DengXian-Regular"/>
          <w:sz w:val="32"/>
          <w:szCs w:val="32"/>
        </w:rPr>
        <w:t>；支出16726.28万元，完成年初预算1</w:t>
      </w:r>
      <w:r>
        <w:rPr>
          <w:rFonts w:hint="eastAsia" w:ascii="仿宋" w:hAnsi="仿宋" w:eastAsia="仿宋" w:cs="宋体"/>
          <w:sz w:val="32"/>
          <w:szCs w:val="32"/>
        </w:rPr>
        <w:t>90.17</w:t>
      </w:r>
      <w:r>
        <w:rPr>
          <w:rFonts w:hint="eastAsia" w:ascii="仿宋" w:hAnsi="仿宋" w:eastAsia="仿宋" w:cs="DengXian-Regular"/>
          <w:sz w:val="32"/>
          <w:szCs w:val="32"/>
        </w:rPr>
        <w:t>%，比年初预算增加7</w:t>
      </w:r>
      <w:r>
        <w:rPr>
          <w:rFonts w:hint="eastAsia" w:ascii="仿宋" w:hAnsi="仿宋" w:eastAsia="仿宋" w:cs="宋体"/>
          <w:sz w:val="32"/>
          <w:szCs w:val="32"/>
        </w:rPr>
        <w:t>930.67</w:t>
      </w:r>
      <w:r>
        <w:rPr>
          <w:rFonts w:hint="eastAsia" w:ascii="仿宋" w:hAnsi="仿宋" w:eastAsia="仿宋" w:cs="DengXian-Regular"/>
          <w:sz w:val="32"/>
          <w:szCs w:val="32"/>
        </w:rPr>
        <w:t>万元，主要是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支出增加</w:t>
      </w:r>
      <w:r>
        <w:rPr>
          <w:rFonts w:hint="eastAsia" w:ascii="仿宋" w:hAnsi="仿宋" w:eastAsia="仿宋" w:cs="DengXian-Regular"/>
          <w:sz w:val="32"/>
          <w:szCs w:val="32"/>
        </w:rPr>
        <w:t>。政府性基金预算财政拨款本年收入5340.8万元，年初预算</w:t>
      </w:r>
      <w:r>
        <w:rPr>
          <w:rFonts w:hint="eastAsia" w:ascii="仿宋" w:hAnsi="仿宋" w:eastAsia="仿宋" w:cs="宋体"/>
          <w:sz w:val="32"/>
          <w:szCs w:val="32"/>
        </w:rPr>
        <w:t>未安排</w:t>
      </w:r>
      <w:r>
        <w:rPr>
          <w:rFonts w:hint="eastAsia" w:ascii="仿宋" w:hAnsi="仿宋" w:eastAsia="仿宋" w:cs="DengXian-Regular"/>
          <w:sz w:val="32"/>
          <w:szCs w:val="32"/>
        </w:rPr>
        <w:t>，比年初预算增加5340.8万元，主要是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收入增加</w:t>
      </w:r>
      <w:r>
        <w:rPr>
          <w:rFonts w:hint="eastAsia" w:ascii="仿宋" w:hAnsi="仿宋" w:eastAsia="仿宋" w:cs="DengXian-Regular"/>
          <w:sz w:val="32"/>
          <w:szCs w:val="32"/>
        </w:rPr>
        <w:t>；支出3817.8万元，年初预算</w:t>
      </w:r>
      <w:r>
        <w:rPr>
          <w:rFonts w:hint="eastAsia" w:ascii="仿宋" w:hAnsi="仿宋" w:eastAsia="仿宋" w:cs="宋体"/>
          <w:sz w:val="32"/>
          <w:szCs w:val="32"/>
        </w:rPr>
        <w:t>未安排</w:t>
      </w:r>
      <w:r>
        <w:rPr>
          <w:rFonts w:hint="eastAsia" w:ascii="仿宋" w:hAnsi="仿宋" w:eastAsia="仿宋" w:cs="DengXian-Regular"/>
          <w:sz w:val="32"/>
          <w:szCs w:val="32"/>
        </w:rPr>
        <w:t>，比年初预算增加3817.8万元，主要是</w:t>
      </w:r>
      <w:r>
        <w:rPr>
          <w:rFonts w:hint="eastAsia" w:ascii="仿宋" w:hAnsi="仿宋" w:eastAsia="仿宋" w:cs="宋体"/>
          <w:sz w:val="32"/>
          <w:szCs w:val="32"/>
        </w:rPr>
        <w:t>城乡道路保洁、城乡社区基础设施建设</w:t>
      </w:r>
      <w:r>
        <w:rPr>
          <w:rFonts w:hint="eastAsia" w:ascii="仿宋" w:hAnsi="仿宋" w:eastAsia="仿宋" w:cs="DengXian-Regular"/>
          <w:sz w:val="32"/>
          <w:szCs w:val="32"/>
        </w:rPr>
        <w:t>及保障性住房</w:t>
      </w:r>
      <w:r>
        <w:rPr>
          <w:rFonts w:hint="eastAsia" w:ascii="仿宋" w:hAnsi="仿宋" w:eastAsia="仿宋" w:cs="宋体"/>
          <w:sz w:val="32"/>
          <w:szCs w:val="32"/>
        </w:rPr>
        <w:t>支出增加</w:t>
      </w:r>
      <w:r>
        <w:rPr>
          <w:rFonts w:hint="eastAsia" w:ascii="仿宋" w:hAnsi="仿宋" w:eastAsia="仿宋" w:cs="DengXian-Regular"/>
          <w:sz w:val="32"/>
          <w:szCs w:val="32"/>
        </w:rPr>
        <w:t>。</w:t>
      </w:r>
    </w:p>
    <w:p>
      <w:pPr>
        <w:adjustRightInd w:val="0"/>
        <w:snapToGrid w:val="0"/>
        <w:spacing w:after="0" w:line="36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inline distT="0" distB="0" distL="0" distR="0">
            <wp:extent cx="4674870" cy="3550920"/>
            <wp:effectExtent l="42545" t="0" r="45085" b="10668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 w:hAnsi="楷体" w:eastAsia="楷体" w:cs="DengXian-Bold"/>
          <w:b/>
          <w:bCs/>
          <w:sz w:val="32"/>
          <w:szCs w:val="32"/>
        </w:rPr>
        <w:t>财政拨款支出决算结构情况</w:t>
      </w:r>
      <w:r>
        <w:rPr>
          <w:rFonts w:hint="eastAsia" w:ascii="楷体_GB2312" w:eastAsia="楷体_GB2312" w:cs="DengXian-Bold"/>
          <w:b/>
          <w:bCs/>
          <w:sz w:val="32"/>
          <w:szCs w:val="32"/>
        </w:rPr>
        <w:t>。</w:t>
      </w:r>
    </w:p>
    <w:p>
      <w:pPr>
        <w:adjustRightInd w:val="0"/>
        <w:snapToGrid w:val="0"/>
        <w:spacing w:after="0" w:line="360" w:lineRule="auto"/>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年度财政拨款支出20544.08万元，主要用于以下方面：社会保障和就业（类）支出25.11万元，占0.12%；住房保障（类）支出35</w:t>
      </w:r>
      <w:r>
        <w:rPr>
          <w:rFonts w:hint="eastAsia" w:ascii="宋体" w:hAnsi="宋体" w:cs="宋体"/>
          <w:sz w:val="32"/>
          <w:szCs w:val="32"/>
        </w:rPr>
        <w:t>94.65</w:t>
      </w:r>
      <w:r>
        <w:rPr>
          <w:rFonts w:hint="eastAsia" w:ascii="仿宋_GB2312" w:eastAsia="仿宋_GB2312" w:cs="DengXian-Regular"/>
          <w:sz w:val="32"/>
          <w:szCs w:val="32"/>
        </w:rPr>
        <w:t>万元，占 17.5%;城乡社区（类）支出16</w:t>
      </w:r>
      <w:r>
        <w:rPr>
          <w:rFonts w:hint="eastAsia" w:ascii="宋体" w:hAnsi="宋体" w:cs="宋体"/>
          <w:sz w:val="32"/>
          <w:szCs w:val="32"/>
        </w:rPr>
        <w:t>924.32万元，占82.38%</w:t>
      </w:r>
      <w:r>
        <w:rPr>
          <w:rFonts w:hint="eastAsia" w:ascii="仿宋_GB2312" w:eastAsia="仿宋_GB2312" w:cs="DengXian-Regular"/>
          <w:sz w:val="32"/>
          <w:szCs w:val="32"/>
        </w:rPr>
        <w:t>。</w:t>
      </w:r>
      <w:r>
        <w:rPr>
          <w:rFonts w:ascii="楷体_GB2312" w:eastAsia="楷体_GB2312" w:cs="DengXian-Bold"/>
          <w:b/>
          <w:bCs/>
          <w:sz w:val="32"/>
          <w:szCs w:val="32"/>
        </w:rPr>
        <w:pict>
          <v:group id="_x0000_s1028" o:spid="_x0000_s1028" o:spt="203" style="position:absolute;left:0pt;margin-left:86.35pt;margin-top:15.9pt;height:195.05pt;width:296.35pt;z-index:-251637760;mso-width-relative:page;mso-height-relative:page;" coordorigin="69,1802" coordsize="53,-21474836"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30"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2" cropleft="2131f" croptop="1490f" cropright="1218f" cropbottom="5217f" o:title=""/>
              <o:lock v:ext="edit" aspectratio="t"/>
            </v:shape>
            <v:shape id="文本框 32" o:spid="_x0000_s1029" o:spt="202" type="#_x0000_t202" style="position:absolute;left:69;top:1831;height:10;width:53;"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240" w:lineRule="auto"/>
        <w:ind w:left="420" w:leftChars="200"/>
        <w:rPr>
          <w:rFonts w:ascii="楷体_GB2312" w:eastAsia="楷体_GB2312" w:cs="DengXian-Bold"/>
          <w:b/>
          <w:bCs/>
          <w:sz w:val="32"/>
          <w:szCs w:val="32"/>
        </w:rPr>
      </w:pPr>
      <w:r>
        <w:rPr>
          <w:rFonts w:ascii="楷体_GB2312" w:eastAsia="楷体_GB2312" w:cs="DengXian-Bold"/>
          <w:b/>
          <w:bCs/>
          <w:sz w:val="32"/>
          <w:szCs w:val="32"/>
        </w:rPr>
        <w:pict>
          <v:shape id="_x0000_i1027" o:spt="75" type="#_x0000_t75" style="height:211.5pt;width:311.25pt;" filled="f" o:preferrelative="t" stroked="f" coordsize="21600,21600">
            <v:path/>
            <v:fill on="f" focussize="0,0"/>
            <v:stroke on="f" joinstyle="miter"/>
            <v:imagedata r:id="rId17" o:title=""/>
            <o:lock v:ext="edit" aspectratio="t"/>
            <w10:wrap type="none"/>
            <w10:anchorlock/>
          </v:shape>
        </w:pic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w:t>
      </w:r>
      <w:r>
        <w:rPr>
          <w:rFonts w:hint="eastAsia" w:ascii="楷体" w:hAnsi="楷体" w:eastAsia="楷体" w:cs="DengXian-Bold"/>
          <w:b/>
          <w:bCs/>
          <w:sz w:val="32"/>
          <w:szCs w:val="32"/>
        </w:rPr>
        <w:t>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宋体" w:hAnsi="宋体" w:cs="宋体"/>
          <w:sz w:val="32"/>
          <w:szCs w:val="32"/>
        </w:rPr>
        <w:t>925.09</w:t>
      </w:r>
      <w:r>
        <w:rPr>
          <w:rFonts w:hint="eastAsia" w:ascii="仿宋_GB2312" w:eastAsia="仿宋_GB2312" w:cs="DengXian-Regular"/>
          <w:sz w:val="32"/>
          <w:szCs w:val="32"/>
        </w:rPr>
        <w:t>万元，其中：人员经费812.62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112.47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“三公”经费支出共计2.46万元，</w:t>
      </w:r>
      <w:r>
        <w:rPr>
          <w:rFonts w:hint="eastAsia" w:ascii="仿宋_GB2312" w:eastAsia="仿宋_GB2312" w:cs="DengXian-Regular"/>
          <w:bCs/>
          <w:sz w:val="32"/>
          <w:szCs w:val="32"/>
        </w:rPr>
        <w:t>较年初预算减少1.24万元，降低33.51%，</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w:t>
      </w:r>
      <w:r>
        <w:rPr>
          <w:rFonts w:hint="eastAsia" w:ascii="楷体_GB2312" w:hAnsi="楷体" w:eastAsia="楷体_GB2312" w:cs="DengXian-Bold"/>
          <w:b/>
          <w:bCs/>
          <w:sz w:val="32"/>
          <w:szCs w:val="32"/>
        </w:rPr>
        <w:t>因</w:t>
      </w:r>
      <w:r>
        <w:rPr>
          <w:rFonts w:hint="eastAsia" w:ascii="楷体_GB2312" w:hAnsi="楷体" w:eastAsia="楷体_GB2312" w:cs="DengXian-Bold"/>
          <w:bCs/>
          <w:sz w:val="32"/>
          <w:szCs w:val="32"/>
        </w:rPr>
        <w:t>公出</w:t>
      </w:r>
      <w:r>
        <w:rPr>
          <w:rFonts w:hint="eastAsia" w:ascii="楷体_GB2312" w:hAnsi="楷体" w:eastAsia="楷体_GB2312" w:cs="DengXian-Bold"/>
          <w:b/>
          <w:bCs/>
          <w:sz w:val="32"/>
          <w:szCs w:val="32"/>
        </w:rPr>
        <w:t>国（境）费支出</w:t>
      </w:r>
      <w:r>
        <w:rPr>
          <w:rFonts w:hint="eastAsia" w:ascii="楷体_GB2312" w:hAnsi="楷体" w:eastAsia="楷体_GB2312" w:cs="宋体"/>
          <w:b/>
          <w:bCs/>
          <w:sz w:val="32"/>
          <w:szCs w:val="32"/>
        </w:rPr>
        <w:t>0</w:t>
      </w:r>
      <w:r>
        <w:rPr>
          <w:rFonts w:hint="eastAsia" w:ascii="楷体_GB2312" w:hAnsi="楷体" w:eastAsia="楷体_GB2312"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本部门2018年度因公出国（境）团组0个、共0人。因公出国（境）费支出较年初预算无增减变化。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w:t>
      </w:r>
      <w:r>
        <w:rPr>
          <w:rFonts w:hint="eastAsia" w:ascii="楷体_GB2312" w:hAnsi="楷体" w:eastAsia="楷体_GB2312" w:cs="DengXian-Bold"/>
          <w:bCs/>
          <w:sz w:val="32"/>
          <w:szCs w:val="32"/>
        </w:rPr>
        <w:t>公</w:t>
      </w:r>
      <w:r>
        <w:rPr>
          <w:rFonts w:hint="eastAsia" w:ascii="楷体_GB2312" w:hAnsi="楷体" w:eastAsia="楷体_GB2312" w:cs="DengXian-Bold"/>
          <w:b/>
          <w:bCs/>
          <w:sz w:val="32"/>
          <w:szCs w:val="32"/>
        </w:rPr>
        <w:t>务</w:t>
      </w:r>
      <w:r>
        <w:rPr>
          <w:rFonts w:hint="eastAsia" w:ascii="楷体_GB2312" w:hAnsi="楷体" w:eastAsia="楷体_GB2312" w:cs="DengXian-Bold"/>
          <w:bCs/>
          <w:sz w:val="32"/>
          <w:szCs w:val="32"/>
        </w:rPr>
        <w:t>用</w:t>
      </w:r>
      <w:r>
        <w:rPr>
          <w:rFonts w:hint="eastAsia" w:ascii="楷体_GB2312" w:hAnsi="楷体" w:eastAsia="楷体_GB2312" w:cs="DengXian-Bold"/>
          <w:b/>
          <w:bCs/>
          <w:sz w:val="32"/>
          <w:szCs w:val="32"/>
        </w:rPr>
        <w:t>车购置及运行维护费支出</w:t>
      </w:r>
      <w:r>
        <w:rPr>
          <w:rFonts w:hint="eastAsia" w:ascii="楷体_GB2312" w:hAnsi="楷体" w:eastAsia="楷体_GB2312" w:cs="宋体"/>
          <w:b/>
          <w:bCs/>
          <w:sz w:val="32"/>
          <w:szCs w:val="32"/>
        </w:rPr>
        <w:t>2.07</w:t>
      </w:r>
      <w:r>
        <w:rPr>
          <w:rFonts w:hint="eastAsia" w:ascii="楷体_GB2312" w:hAnsi="楷体" w:eastAsia="楷体_GB2312"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本部门2018年度公务用车购置及运行维护费支出2.07万元，较年初预算减少0.</w:t>
      </w:r>
      <w:r>
        <w:rPr>
          <w:rFonts w:hint="eastAsia" w:ascii="宋体" w:hAnsi="宋体" w:cs="宋体"/>
          <w:sz w:val="32"/>
          <w:szCs w:val="32"/>
        </w:rPr>
        <w:t>93</w:t>
      </w:r>
      <w:r>
        <w:rPr>
          <w:rFonts w:hint="eastAsia" w:ascii="仿宋_GB2312" w:eastAsia="仿宋_GB2312" w:cs="DengXian-Regular"/>
          <w:sz w:val="32"/>
          <w:szCs w:val="32"/>
        </w:rPr>
        <w:t>万元，降低31%,主要是认真贯彻落实中央八项规定精神和厉行节约要求，从严控制“三公”经费开支。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本部门2018年度公务用车购置量0辆，发生“公务用车购置”经费支出0万元。公务用车购置费支出较年初预算增加0万元，增长0%,主要是未发生公务用车购置。</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本部门2018年度单位公务用车保有量1辆。公车运行维护费支出2.07万元，较年初预算减少0.</w:t>
      </w:r>
      <w:r>
        <w:rPr>
          <w:rFonts w:hint="eastAsia" w:ascii="宋体" w:hAnsi="宋体" w:cs="宋体"/>
          <w:sz w:val="32"/>
          <w:szCs w:val="32"/>
        </w:rPr>
        <w:t>93</w:t>
      </w:r>
      <w:r>
        <w:rPr>
          <w:rFonts w:hint="eastAsia" w:ascii="仿宋_GB2312" w:eastAsia="仿宋_GB2312" w:cs="DengXian-Regular"/>
          <w:sz w:val="32"/>
          <w:szCs w:val="32"/>
        </w:rPr>
        <w:t>万元，降低31%,主要是认真贯彻落实中央八项规定精神和厉行节约要求，从严控制“三公”经费开支。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w:t>
      </w:r>
      <w:r>
        <w:rPr>
          <w:rFonts w:hint="eastAsia" w:ascii="楷体_GB2312" w:hAnsi="楷体" w:eastAsia="楷体_GB2312" w:cs="DengXian-Bold"/>
          <w:b/>
          <w:bCs/>
          <w:sz w:val="32"/>
          <w:szCs w:val="32"/>
        </w:rPr>
        <w:t>公务接待费支出</w:t>
      </w:r>
      <w:r>
        <w:rPr>
          <w:rFonts w:hint="eastAsia" w:ascii="楷体_GB2312" w:hAnsi="楷体" w:eastAsia="楷体_GB2312" w:cs="宋体"/>
          <w:b/>
          <w:bCs/>
          <w:sz w:val="32"/>
          <w:szCs w:val="32"/>
        </w:rPr>
        <w:t>0.39</w:t>
      </w:r>
      <w:r>
        <w:rPr>
          <w:rFonts w:hint="eastAsia" w:ascii="楷体_GB2312" w:hAnsi="楷体" w:eastAsia="楷体_GB2312"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本部门2018年度公务接待共4批次、41人次。公务接待费支出0.39万元，较年初预算减少0.31万元，降低44.2</w:t>
      </w:r>
      <w:r>
        <w:rPr>
          <w:rFonts w:hint="eastAsia" w:ascii="宋体" w:hAnsi="宋体" w:cs="宋体"/>
          <w:sz w:val="32"/>
          <w:szCs w:val="32"/>
        </w:rPr>
        <w:t>9</w:t>
      </w:r>
      <w:r>
        <w:rPr>
          <w:rFonts w:hint="eastAsia" w:ascii="仿宋_GB2312" w:eastAsia="仿宋_GB2312" w:cs="DengXian-Regular"/>
          <w:sz w:val="32"/>
          <w:szCs w:val="32"/>
        </w:rPr>
        <w:t>%,主要是认真贯彻落实中央</w:t>
      </w:r>
      <w:bookmarkStart w:id="0" w:name="_GoBack"/>
      <w:bookmarkEnd w:id="0"/>
      <w:r>
        <w:rPr>
          <w:rFonts w:hint="eastAsia" w:ascii="仿宋_GB2312" w:eastAsia="仿宋_GB2312" w:cs="DengXian-Regular"/>
          <w:sz w:val="32"/>
          <w:szCs w:val="32"/>
        </w:rPr>
        <w:t>八项规定精神和厉行节约要求，从严控制“三公”经费开支。</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（二）预算项目绩效评价开展情况根据预算绩效管理要求，本单位组织对2018年度项目支出全面开展绩效自评</w:t>
      </w:r>
      <w:r>
        <w:rPr>
          <w:rFonts w:hint="eastAsia" w:ascii="仿宋" w:hAnsi="仿宋" w:eastAsia="仿宋" w:cs="DengXian-Regular"/>
          <w:sz w:val="32"/>
          <w:szCs w:val="32"/>
        </w:rPr>
        <w:t>，涉及涉及城乡社区管理事务支出、城乡社区规划与管理支出、城乡社区公共设施支出、城乡社区环境卫生支出、征地和拆迁补偿支出、城市建设支出、城市公共设施支出、其他城乡社区支出、新型墙体材料资金支出、保障性安居工程支出等项目，涉及资金17310.1万元。</w:t>
      </w:r>
      <w:r>
        <w:rPr>
          <w:rFonts w:hint="eastAsia" w:ascii="仿宋_GB2312" w:eastAsia="仿宋_GB2312" w:cs="DengXian-Regular"/>
          <w:sz w:val="32"/>
          <w:szCs w:val="32"/>
        </w:rPr>
        <w:t>从评价情况看，</w:t>
      </w:r>
      <w:r>
        <w:rPr>
          <w:rFonts w:hint="eastAsia" w:ascii="仿宋" w:hAnsi="仿宋" w:eastAsia="仿宋" w:cs="DengXian-Regular"/>
          <w:sz w:val="32"/>
          <w:szCs w:val="32"/>
        </w:rPr>
        <w:t>评价结果为一般的项目有1个，其它全部 为优秀。</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本单位</w:t>
      </w:r>
      <w:r>
        <w:rPr>
          <w:rFonts w:hint="eastAsia" w:ascii="仿宋" w:hAnsi="仿宋" w:eastAsia="仿宋" w:cs="宋体"/>
          <w:sz w:val="32"/>
          <w:szCs w:val="32"/>
        </w:rPr>
        <w:t>城乡社区环境卫生</w:t>
      </w:r>
      <w:r>
        <w:rPr>
          <w:rFonts w:hint="eastAsia" w:ascii="仿宋" w:hAnsi="仿宋" w:eastAsia="仿宋" w:cs="DengXian-Regular"/>
          <w:sz w:val="32"/>
          <w:szCs w:val="32"/>
        </w:rPr>
        <w:t>类项目绩效自评：根据年初设定的绩效目标，</w:t>
      </w:r>
      <w:r>
        <w:rPr>
          <w:rFonts w:hint="eastAsia" w:ascii="仿宋" w:hAnsi="仿宋" w:eastAsia="仿宋" w:cs="宋体"/>
          <w:sz w:val="32"/>
          <w:szCs w:val="32"/>
        </w:rPr>
        <w:t>城乡社区环境卫生</w:t>
      </w:r>
      <w:r>
        <w:rPr>
          <w:rFonts w:hint="eastAsia" w:ascii="仿宋" w:hAnsi="仿宋" w:eastAsia="仿宋" w:cs="DengXian-Regular"/>
          <w:sz w:val="32"/>
          <w:szCs w:val="32"/>
        </w:rPr>
        <w:t>类项目绩效自评结果为优秀。项目全年预算数为2758.56万元，执行数为3341.</w:t>
      </w:r>
      <w:r>
        <w:rPr>
          <w:rFonts w:hint="eastAsia" w:ascii="仿宋" w:hAnsi="仿宋" w:eastAsia="仿宋" w:cs="宋体"/>
          <w:sz w:val="32"/>
          <w:szCs w:val="32"/>
        </w:rPr>
        <w:t>95</w:t>
      </w:r>
      <w:r>
        <w:rPr>
          <w:rFonts w:hint="eastAsia" w:ascii="仿宋" w:hAnsi="仿宋" w:eastAsia="仿宋" w:cs="DengXian-Regular"/>
          <w:sz w:val="32"/>
          <w:szCs w:val="32"/>
        </w:rPr>
        <w:t>万元，完成预算的121.15%。主要产出和效果是改善了县城容貌，</w:t>
      </w:r>
      <w:r>
        <w:rPr>
          <w:rFonts w:hint="eastAsia" w:ascii="仿宋" w:hAnsi="仿宋" w:eastAsia="仿宋" w:cs="DengXian-Regular"/>
          <w:sz w:val="32"/>
          <w:szCs w:val="32"/>
          <w:lang w:eastAsia="zh-CN"/>
        </w:rPr>
        <w:t>提升城市品位</w:t>
      </w:r>
      <w:r>
        <w:rPr>
          <w:rFonts w:hint="eastAsia" w:ascii="仿宋" w:hAnsi="仿宋" w:eastAsia="仿宋" w:cs="DengXian-Regular"/>
          <w:sz w:val="32"/>
          <w:szCs w:val="32"/>
        </w:rPr>
        <w:t>，改善农村人居环境。</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本单位</w:t>
      </w:r>
      <w:r>
        <w:rPr>
          <w:rFonts w:hint="eastAsia" w:ascii="仿宋" w:hAnsi="仿宋" w:eastAsia="仿宋" w:cs="宋体"/>
          <w:sz w:val="32"/>
          <w:szCs w:val="32"/>
        </w:rPr>
        <w:t>城乡社区公共设施</w:t>
      </w:r>
      <w:r>
        <w:rPr>
          <w:rFonts w:hint="eastAsia" w:ascii="仿宋" w:hAnsi="仿宋" w:eastAsia="仿宋" w:cs="DengXian-Regular"/>
          <w:sz w:val="32"/>
          <w:szCs w:val="32"/>
        </w:rPr>
        <w:t>类项目绩效自评：根据年初设定的绩效目标，</w:t>
      </w:r>
      <w:r>
        <w:rPr>
          <w:rFonts w:hint="eastAsia" w:ascii="仿宋" w:hAnsi="仿宋" w:eastAsia="仿宋" w:cs="宋体"/>
          <w:sz w:val="32"/>
          <w:szCs w:val="32"/>
        </w:rPr>
        <w:t>城乡社区公共设施</w:t>
      </w:r>
      <w:r>
        <w:rPr>
          <w:rFonts w:hint="eastAsia" w:ascii="仿宋" w:hAnsi="仿宋" w:eastAsia="仿宋" w:cs="DengXian-Regular"/>
          <w:sz w:val="32"/>
          <w:szCs w:val="32"/>
        </w:rPr>
        <w:t>类项目绩效自评结果为优秀。项目全年预算数为3634.7万元，执行数为6865.02万元，完成预算的188.87%。主要产出和效果是方便了人们的出行，打造宜居的人文环境，满足了人们的休闲需求。</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本单位</w:t>
      </w:r>
      <w:r>
        <w:rPr>
          <w:rFonts w:hint="eastAsia" w:ascii="仿宋" w:hAnsi="仿宋" w:eastAsia="仿宋" w:cs="宋体"/>
          <w:sz w:val="32"/>
          <w:szCs w:val="32"/>
        </w:rPr>
        <w:t>工程建设</w:t>
      </w:r>
      <w:r>
        <w:rPr>
          <w:rFonts w:hint="eastAsia" w:ascii="仿宋" w:hAnsi="仿宋" w:eastAsia="仿宋" w:cs="DengXian-Regular"/>
          <w:sz w:val="32"/>
          <w:szCs w:val="32"/>
        </w:rPr>
        <w:t>类项目绩效自评：根据年初设定的绩效目标，</w:t>
      </w:r>
      <w:r>
        <w:rPr>
          <w:rFonts w:hint="eastAsia" w:ascii="仿宋" w:hAnsi="仿宋" w:eastAsia="仿宋" w:cs="宋体"/>
          <w:sz w:val="32"/>
          <w:szCs w:val="32"/>
        </w:rPr>
        <w:t>工程建设</w:t>
      </w:r>
      <w:r>
        <w:rPr>
          <w:rFonts w:hint="eastAsia" w:ascii="仿宋" w:hAnsi="仿宋" w:eastAsia="仿宋" w:cs="DengXian-Regular"/>
          <w:sz w:val="32"/>
          <w:szCs w:val="32"/>
        </w:rPr>
        <w:t>类项目绩效自评结果为一般。项目全年预算数为1000万元，执行数为400万元，完成预算的40%。主要产出和效果是有效降低了噪音和粉尘污染，使空气质量有所改善。</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w:t>
      </w:r>
      <w:r>
        <w:rPr>
          <w:rFonts w:hint="eastAsia" w:ascii="楷体_GB2312" w:hAnsi="楷体" w:eastAsia="楷体_GB2312" w:cs="DengXian-Bold"/>
        </w:rPr>
        <w:t>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本部门2018年度机关运行经费支出83.06万元，比年初预算数</w:t>
      </w:r>
      <w:r>
        <w:rPr>
          <w:rFonts w:hint="eastAsia" w:ascii="宋体" w:hAnsi="宋体" w:cs="宋体"/>
          <w:sz w:val="32"/>
          <w:szCs w:val="32"/>
        </w:rPr>
        <w:t>增加70.04</w:t>
      </w:r>
      <w:r>
        <w:rPr>
          <w:rFonts w:hint="eastAsia" w:ascii="仿宋_GB2312" w:eastAsia="仿宋_GB2312" w:cs="DengXian-Regular"/>
          <w:sz w:val="32"/>
          <w:szCs w:val="32"/>
        </w:rPr>
        <w:t>万元，增长537.</w:t>
      </w:r>
      <w:r>
        <w:rPr>
          <w:rFonts w:hint="eastAsia" w:ascii="宋体" w:hAnsi="宋体" w:cs="宋体"/>
          <w:sz w:val="32"/>
          <w:szCs w:val="32"/>
        </w:rPr>
        <w:t>94</w:t>
      </w:r>
      <w:r>
        <w:rPr>
          <w:rFonts w:hint="eastAsia" w:ascii="仿宋_GB2312" w:eastAsia="仿宋_GB2312" w:cs="DengXian-Regular"/>
          <w:sz w:val="32"/>
          <w:szCs w:val="32"/>
        </w:rPr>
        <w:t>%。主要原因是除其他交通费列入年初预算，</w:t>
      </w:r>
      <w:r>
        <w:rPr>
          <w:rFonts w:hint="eastAsia" w:ascii="仿宋" w:hAnsi="仿宋" w:eastAsia="仿宋" w:cs="DengXian-Regular"/>
          <w:sz w:val="32"/>
          <w:szCs w:val="32"/>
        </w:rPr>
        <w:t>其它机关运行费用全部列入项目支出。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w:t>
      </w:r>
      <w:r>
        <w:rPr>
          <w:rFonts w:hint="eastAsia" w:ascii="楷体_GB2312" w:hAnsi="楷体" w:eastAsia="楷体_GB2312" w:cs="DengXian-Bold"/>
        </w:rPr>
        <w:t>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本部门2018年度政府采购支出总额23853.73万元，从采购类型来看，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1426.7</w:t>
      </w:r>
      <w:r>
        <w:rPr>
          <w:rFonts w:hint="eastAsia" w:ascii="宋体" w:hAnsi="宋体" w:cs="宋体"/>
          <w:color w:val="000000"/>
          <w:kern w:val="0"/>
          <w:sz w:val="32"/>
          <w:szCs w:val="32"/>
        </w:rPr>
        <w:t>9</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15386.06</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7040.88</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23354.35</w:t>
      </w:r>
      <w:r>
        <w:rPr>
          <w:rFonts w:ascii="仿宋_GB2312" w:hAnsi="仿宋_GB2312" w:eastAsia="仿宋_GB2312" w:cs="仿宋_GB2312"/>
          <w:color w:val="000000"/>
          <w:kern w:val="0"/>
          <w:sz w:val="32"/>
          <w:szCs w:val="32"/>
        </w:rPr>
        <w:t>万元，占政府采购支出总额的</w:t>
      </w:r>
      <w:r>
        <w:rPr>
          <w:rFonts w:hint="eastAsia" w:ascii="宋体" w:hAnsi="宋体" w:cs="宋体"/>
          <w:color w:val="000000"/>
          <w:kern w:val="0"/>
          <w:sz w:val="32"/>
          <w:szCs w:val="32"/>
        </w:rPr>
        <w:t>97.91</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4</w:t>
      </w:r>
      <w:r>
        <w:rPr>
          <w:rFonts w:hint="eastAsia" w:ascii="宋体" w:hAnsi="宋体" w:cs="宋体"/>
          <w:color w:val="000000"/>
          <w:kern w:val="0"/>
          <w:sz w:val="32"/>
          <w:szCs w:val="32"/>
        </w:rPr>
        <w:t>99.38</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2.0</w:t>
      </w:r>
      <w:r>
        <w:rPr>
          <w:rFonts w:hint="eastAsia" w:ascii="宋体" w:hAnsi="宋体" w:cs="宋体"/>
          <w:color w:val="000000"/>
          <w:kern w:val="0"/>
          <w:sz w:val="32"/>
          <w:szCs w:val="32"/>
        </w:rPr>
        <w:t>9</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w:t>
      </w:r>
      <w:r>
        <w:rPr>
          <w:rFonts w:hint="eastAsia" w:ascii="楷体_GB2312" w:hAnsi="楷体" w:eastAsia="楷体_GB2312" w:cs="DengXian-Bold"/>
        </w:rPr>
        <w:t>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截至2018年12月31日，本部门共有车辆75辆，比上年增加48辆，主要是</w:t>
      </w:r>
      <w:r>
        <w:rPr>
          <w:rFonts w:hint="eastAsia" w:ascii="仿宋" w:hAnsi="仿宋" w:eastAsia="仿宋" w:cs="宋体"/>
          <w:sz w:val="32"/>
          <w:szCs w:val="32"/>
        </w:rPr>
        <w:t>环卫保洁车辆增加</w:t>
      </w:r>
      <w:r>
        <w:rPr>
          <w:rFonts w:hint="eastAsia" w:ascii="仿宋_GB2312" w:eastAsia="仿宋_GB2312" w:cs="DengXian-Regular"/>
          <w:sz w:val="32"/>
          <w:szCs w:val="32"/>
        </w:rPr>
        <w:t>。其中，副部（省）级及以上领导用车0辆，主要领导干部用车0辆，机要通信用车0辆，应急保障用车1辆，执法执勤用车0辆，特种专业技术用车0辆，离退休干部用车0辆，其他用车74辆，其他用车主要是</w:t>
      </w:r>
      <w:r>
        <w:rPr>
          <w:rFonts w:hint="eastAsia" w:ascii="仿宋" w:hAnsi="仿宋" w:eastAsia="仿宋" w:cs="宋体"/>
          <w:sz w:val="32"/>
          <w:szCs w:val="32"/>
        </w:rPr>
        <w:t>环卫保洁车辆</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w:t>
      </w:r>
      <w:r>
        <w:rPr>
          <w:rFonts w:hint="eastAsia" w:ascii="楷体_GB2312" w:hAnsi="楷体" w:eastAsia="楷体_GB2312" w:cs="DengXian-Bold"/>
        </w:rPr>
        <w:t>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1、本部门2018年度无国有资产经营财政拨款收支及结转结余情况，故国有资产经营财政拨款支出决算表以空表列示。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-999490</wp:posOffset>
            </wp:positionH>
            <wp:positionV relativeFrom="paragraph">
              <wp:posOffset>-1328420</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8"/>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59F4C03-FBD5-4F51-8F40-B616FA90F98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A74A93E9-745D-4D12-8BE3-A12C2F964BC5}"/>
  </w:font>
  <w:font w:name="楷体">
    <w:panose1 w:val="02010609060101010101"/>
    <w:charset w:val="86"/>
    <w:family w:val="modern"/>
    <w:pitch w:val="default"/>
    <w:sig w:usb0="800002BF" w:usb1="38CF7CFA" w:usb2="00000016" w:usb3="00000000" w:csb0="00040001" w:csb1="00000000"/>
    <w:embedRegular r:id="rId3" w:fontKey="{DF52EAEF-8B01-4DCB-ADCF-09D559CCED63}"/>
  </w:font>
  <w:font w:name="楷体_GB2312">
    <w:panose1 w:val="02010609030101010101"/>
    <w:charset w:val="86"/>
    <w:family w:val="modern"/>
    <w:pitch w:val="default"/>
    <w:sig w:usb0="00000001" w:usb1="080E0000" w:usb2="00000000" w:usb3="00000000" w:csb0="00040000" w:csb1="00000000"/>
    <w:embedRegular r:id="rId4" w:fontKey="{5B003CFB-CBEA-4B00-936D-F2EB47CA6C68}"/>
  </w:font>
  <w:font w:name="仿宋_GB2312">
    <w:panose1 w:val="02010609030101010101"/>
    <w:charset w:val="86"/>
    <w:family w:val="modern"/>
    <w:pitch w:val="default"/>
    <w:sig w:usb0="00000001" w:usb1="080E0000" w:usb2="00000000" w:usb3="00000000" w:csb0="00040000" w:csb1="00000000"/>
    <w:embedRegular r:id="rId5" w:fontKey="{6C9733A3-38ED-4192-98FA-F6A9B8564D33}"/>
  </w:font>
  <w:font w:name="ArialUnicodeMS">
    <w:altName w:val="Malgun Gothic"/>
    <w:panose1 w:val="00000000000000000000"/>
    <w:charset w:val="81"/>
    <w:family w:val="auto"/>
    <w:pitch w:val="default"/>
    <w:sig w:usb0="00000000" w:usb1="00000000" w:usb2="00000010" w:usb3="00000000" w:csb0="00080001" w:csb1="00000000"/>
    <w:embedRegular r:id="rId6" w:fontKey="{E4B13AE7-C49D-4997-98E4-7D280D2CFFCB}"/>
  </w:font>
  <w:font w:name="仿宋">
    <w:panose1 w:val="02010609060101010101"/>
    <w:charset w:val="86"/>
    <w:family w:val="modern"/>
    <w:pitch w:val="default"/>
    <w:sig w:usb0="800002BF" w:usb1="38CF7CFA" w:usb2="00000016" w:usb3="00000000" w:csb0="00040001" w:csb1="00000000"/>
    <w:embedRegular r:id="rId7" w:fontKey="{BA18C8C1-A2D5-47A0-B29E-320AE208DC71}"/>
  </w:font>
  <w:font w:name="MS-UIGothic,Bold">
    <w:altName w:val="Malgun Gothic"/>
    <w:panose1 w:val="00000000000000000000"/>
    <w:charset w:val="81"/>
    <w:family w:val="auto"/>
    <w:pitch w:val="default"/>
    <w:sig w:usb0="00000000" w:usb1="00000000" w:usb2="00000010" w:usb3="00000000" w:csb0="00080000" w:csb1="00000000"/>
    <w:embedRegular r:id="rId8" w:fontKey="{DB6E4918-0E41-4060-9B6F-69C414D1CB12}"/>
  </w:font>
  <w:font w:name="Arial">
    <w:panose1 w:val="020B0604020202020204"/>
    <w:charset w:val="00"/>
    <w:family w:val="swiss"/>
    <w:pitch w:val="default"/>
    <w:sig w:usb0="E0002AFF" w:usb1="C0007843" w:usb2="00000009" w:usb3="00000000" w:csb0="400001FF" w:csb1="FFFF0000"/>
    <w:embedRegular r:id="rId9" w:fontKey="{7F45D413-E372-43EF-B40D-88A67359568A}"/>
  </w:font>
  <w:font w:name="Cambria Math">
    <w:panose1 w:val="02040503050406030204"/>
    <w:charset w:val="00"/>
    <w:family w:val="roman"/>
    <w:pitch w:val="default"/>
    <w:sig w:usb0="E00002FF" w:usb1="420024FF" w:usb2="00000000" w:usb3="00000000" w:csb0="2000019F" w:csb1="00000000"/>
    <w:embedRegular r:id="rId10" w:fontKey="{D7354041-2207-4AFB-80B0-114EC6833332}"/>
  </w:font>
  <w:font w:name="DengXian-Regular">
    <w:altName w:val="宋体"/>
    <w:panose1 w:val="00000000000000000000"/>
    <w:charset w:val="86"/>
    <w:family w:val="auto"/>
    <w:pitch w:val="default"/>
    <w:sig w:usb0="00000000" w:usb1="00000000" w:usb2="00000010" w:usb3="00000000" w:csb0="00040001" w:csb1="00000000"/>
    <w:embedRegular r:id="rId11" w:fontKey="{AD409E91-3F73-4A0C-8EA2-B72CE7493D90}"/>
  </w:font>
  <w:font w:name="DengXian-Bold">
    <w:altName w:val="宋体"/>
    <w:panose1 w:val="00000000000000000000"/>
    <w:charset w:val="86"/>
    <w:family w:val="auto"/>
    <w:pitch w:val="default"/>
    <w:sig w:usb0="00000000" w:usb1="00000000" w:usb2="00000010" w:usb3="00000000" w:csb0="00040001" w:csb1="00000000"/>
    <w:embedRegular r:id="rId12" w:fontKey="{200895C8-DF0B-40E2-BB1D-607F6D4A1056}"/>
  </w:font>
  <w:font w:name="TimesNewRomanPSMT">
    <w:altName w:val="Arial"/>
    <w:panose1 w:val="00000000000000000000"/>
    <w:charset w:val="00"/>
    <w:family w:val="swiss"/>
    <w:pitch w:val="default"/>
    <w:sig w:usb0="00000000" w:usb1="00000000" w:usb2="00000000" w:usb3="00000000" w:csb0="0000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1151D"/>
    <w:rsid w:val="00020522"/>
    <w:rsid w:val="00024E7F"/>
    <w:rsid w:val="00031624"/>
    <w:rsid w:val="000327B0"/>
    <w:rsid w:val="000475A0"/>
    <w:rsid w:val="000838C3"/>
    <w:rsid w:val="00090EEB"/>
    <w:rsid w:val="000B0EC4"/>
    <w:rsid w:val="000B2446"/>
    <w:rsid w:val="000D7C65"/>
    <w:rsid w:val="000E2F81"/>
    <w:rsid w:val="00117946"/>
    <w:rsid w:val="00117E2C"/>
    <w:rsid w:val="00146C47"/>
    <w:rsid w:val="00152FB8"/>
    <w:rsid w:val="001545AC"/>
    <w:rsid w:val="00176658"/>
    <w:rsid w:val="0017744F"/>
    <w:rsid w:val="0018239E"/>
    <w:rsid w:val="00184C64"/>
    <w:rsid w:val="001B1F3E"/>
    <w:rsid w:val="001B3410"/>
    <w:rsid w:val="001B7E26"/>
    <w:rsid w:val="001C030D"/>
    <w:rsid w:val="001C4A84"/>
    <w:rsid w:val="001D4829"/>
    <w:rsid w:val="001D4B28"/>
    <w:rsid w:val="001D4D72"/>
    <w:rsid w:val="001E5902"/>
    <w:rsid w:val="00203A03"/>
    <w:rsid w:val="00206844"/>
    <w:rsid w:val="00210944"/>
    <w:rsid w:val="00221B5E"/>
    <w:rsid w:val="00224E91"/>
    <w:rsid w:val="00233705"/>
    <w:rsid w:val="0024218B"/>
    <w:rsid w:val="00252F04"/>
    <w:rsid w:val="00275CA2"/>
    <w:rsid w:val="002A65A5"/>
    <w:rsid w:val="002C04C4"/>
    <w:rsid w:val="002C06E8"/>
    <w:rsid w:val="002D08B0"/>
    <w:rsid w:val="002D16A9"/>
    <w:rsid w:val="002D1AE3"/>
    <w:rsid w:val="002D3BA3"/>
    <w:rsid w:val="002F2ECE"/>
    <w:rsid w:val="002F685D"/>
    <w:rsid w:val="003245BB"/>
    <w:rsid w:val="00341C8F"/>
    <w:rsid w:val="00354079"/>
    <w:rsid w:val="0035463A"/>
    <w:rsid w:val="00387320"/>
    <w:rsid w:val="00391D9D"/>
    <w:rsid w:val="00391E1D"/>
    <w:rsid w:val="0039647A"/>
    <w:rsid w:val="003A5876"/>
    <w:rsid w:val="003B6C51"/>
    <w:rsid w:val="003C1413"/>
    <w:rsid w:val="003C549F"/>
    <w:rsid w:val="003D15BD"/>
    <w:rsid w:val="003D5A16"/>
    <w:rsid w:val="003E7DB3"/>
    <w:rsid w:val="003F7EC9"/>
    <w:rsid w:val="00406627"/>
    <w:rsid w:val="004107BB"/>
    <w:rsid w:val="00431175"/>
    <w:rsid w:val="0045768E"/>
    <w:rsid w:val="004660F2"/>
    <w:rsid w:val="004769BB"/>
    <w:rsid w:val="004B6E37"/>
    <w:rsid w:val="004B7889"/>
    <w:rsid w:val="004C13BA"/>
    <w:rsid w:val="004C32BA"/>
    <w:rsid w:val="004E4156"/>
    <w:rsid w:val="00501551"/>
    <w:rsid w:val="00502871"/>
    <w:rsid w:val="00503083"/>
    <w:rsid w:val="005038F0"/>
    <w:rsid w:val="00504110"/>
    <w:rsid w:val="005220E1"/>
    <w:rsid w:val="00565C07"/>
    <w:rsid w:val="00575922"/>
    <w:rsid w:val="005A6C90"/>
    <w:rsid w:val="005B309C"/>
    <w:rsid w:val="005E3FB0"/>
    <w:rsid w:val="005E6E13"/>
    <w:rsid w:val="005F4B66"/>
    <w:rsid w:val="005F5208"/>
    <w:rsid w:val="00602D42"/>
    <w:rsid w:val="0060549B"/>
    <w:rsid w:val="00624D08"/>
    <w:rsid w:val="006336C3"/>
    <w:rsid w:val="00641318"/>
    <w:rsid w:val="0064405D"/>
    <w:rsid w:val="00652018"/>
    <w:rsid w:val="00685302"/>
    <w:rsid w:val="00695557"/>
    <w:rsid w:val="006A3838"/>
    <w:rsid w:val="006B69D9"/>
    <w:rsid w:val="006C178E"/>
    <w:rsid w:val="006D4EA7"/>
    <w:rsid w:val="006E08B2"/>
    <w:rsid w:val="0070012A"/>
    <w:rsid w:val="0070664B"/>
    <w:rsid w:val="007071B8"/>
    <w:rsid w:val="007072A8"/>
    <w:rsid w:val="00723A9C"/>
    <w:rsid w:val="007414DE"/>
    <w:rsid w:val="0074209C"/>
    <w:rsid w:val="007438C1"/>
    <w:rsid w:val="00752387"/>
    <w:rsid w:val="00754BFF"/>
    <w:rsid w:val="007637FC"/>
    <w:rsid w:val="00764906"/>
    <w:rsid w:val="00776FC3"/>
    <w:rsid w:val="0078226A"/>
    <w:rsid w:val="007905A9"/>
    <w:rsid w:val="007B76A2"/>
    <w:rsid w:val="007D79F8"/>
    <w:rsid w:val="007E0C00"/>
    <w:rsid w:val="007E5500"/>
    <w:rsid w:val="007F055B"/>
    <w:rsid w:val="007F68B0"/>
    <w:rsid w:val="0080644C"/>
    <w:rsid w:val="00811C2F"/>
    <w:rsid w:val="00833D46"/>
    <w:rsid w:val="00840A97"/>
    <w:rsid w:val="0085096F"/>
    <w:rsid w:val="008558A3"/>
    <w:rsid w:val="00876277"/>
    <w:rsid w:val="008A49A1"/>
    <w:rsid w:val="008C0149"/>
    <w:rsid w:val="008C689C"/>
    <w:rsid w:val="008C696E"/>
    <w:rsid w:val="008D2A3F"/>
    <w:rsid w:val="008D5DED"/>
    <w:rsid w:val="008D71B9"/>
    <w:rsid w:val="008E2293"/>
    <w:rsid w:val="008E25CA"/>
    <w:rsid w:val="008E3BD2"/>
    <w:rsid w:val="008F34FC"/>
    <w:rsid w:val="00903064"/>
    <w:rsid w:val="009109F0"/>
    <w:rsid w:val="00935058"/>
    <w:rsid w:val="00944CD7"/>
    <w:rsid w:val="00956823"/>
    <w:rsid w:val="00960055"/>
    <w:rsid w:val="00981DCF"/>
    <w:rsid w:val="009831B2"/>
    <w:rsid w:val="009A1ABE"/>
    <w:rsid w:val="009C3B0E"/>
    <w:rsid w:val="009C62BF"/>
    <w:rsid w:val="009E21A4"/>
    <w:rsid w:val="009E3E7A"/>
    <w:rsid w:val="009F22C6"/>
    <w:rsid w:val="00A07E50"/>
    <w:rsid w:val="00A11F0A"/>
    <w:rsid w:val="00A15397"/>
    <w:rsid w:val="00A334B7"/>
    <w:rsid w:val="00A35CE0"/>
    <w:rsid w:val="00A445DA"/>
    <w:rsid w:val="00A4462E"/>
    <w:rsid w:val="00A44AA4"/>
    <w:rsid w:val="00A61623"/>
    <w:rsid w:val="00A631EA"/>
    <w:rsid w:val="00A84687"/>
    <w:rsid w:val="00A97D9E"/>
    <w:rsid w:val="00AB03DB"/>
    <w:rsid w:val="00AB0A0E"/>
    <w:rsid w:val="00AD3B6E"/>
    <w:rsid w:val="00AF6348"/>
    <w:rsid w:val="00B04A06"/>
    <w:rsid w:val="00B05149"/>
    <w:rsid w:val="00B0594A"/>
    <w:rsid w:val="00B06347"/>
    <w:rsid w:val="00B07AD5"/>
    <w:rsid w:val="00B1751F"/>
    <w:rsid w:val="00B176CB"/>
    <w:rsid w:val="00B17AF3"/>
    <w:rsid w:val="00B26739"/>
    <w:rsid w:val="00B3113A"/>
    <w:rsid w:val="00B56722"/>
    <w:rsid w:val="00B71014"/>
    <w:rsid w:val="00B74D39"/>
    <w:rsid w:val="00B77AF3"/>
    <w:rsid w:val="00B91DA4"/>
    <w:rsid w:val="00B95143"/>
    <w:rsid w:val="00B9592B"/>
    <w:rsid w:val="00BA4569"/>
    <w:rsid w:val="00BB3261"/>
    <w:rsid w:val="00BB3831"/>
    <w:rsid w:val="00BD142C"/>
    <w:rsid w:val="00BD79DE"/>
    <w:rsid w:val="00C07D31"/>
    <w:rsid w:val="00C12630"/>
    <w:rsid w:val="00C20336"/>
    <w:rsid w:val="00C259DC"/>
    <w:rsid w:val="00C34562"/>
    <w:rsid w:val="00C3774E"/>
    <w:rsid w:val="00C57456"/>
    <w:rsid w:val="00C65387"/>
    <w:rsid w:val="00C67D41"/>
    <w:rsid w:val="00C87FAB"/>
    <w:rsid w:val="00C91FF7"/>
    <w:rsid w:val="00C927C3"/>
    <w:rsid w:val="00C94E53"/>
    <w:rsid w:val="00CA61E2"/>
    <w:rsid w:val="00CA7EC9"/>
    <w:rsid w:val="00CC1AEE"/>
    <w:rsid w:val="00D0048E"/>
    <w:rsid w:val="00D23E7A"/>
    <w:rsid w:val="00D24072"/>
    <w:rsid w:val="00D527EA"/>
    <w:rsid w:val="00D61063"/>
    <w:rsid w:val="00D730C0"/>
    <w:rsid w:val="00D7536F"/>
    <w:rsid w:val="00D765A9"/>
    <w:rsid w:val="00DA33D0"/>
    <w:rsid w:val="00DB35AF"/>
    <w:rsid w:val="00DD72D7"/>
    <w:rsid w:val="00DE1602"/>
    <w:rsid w:val="00DE20EA"/>
    <w:rsid w:val="00DF5B88"/>
    <w:rsid w:val="00E0589E"/>
    <w:rsid w:val="00E05A9F"/>
    <w:rsid w:val="00E0732A"/>
    <w:rsid w:val="00E241FA"/>
    <w:rsid w:val="00E2595E"/>
    <w:rsid w:val="00E35374"/>
    <w:rsid w:val="00E50C19"/>
    <w:rsid w:val="00E57391"/>
    <w:rsid w:val="00E62294"/>
    <w:rsid w:val="00E623C3"/>
    <w:rsid w:val="00E62764"/>
    <w:rsid w:val="00E64655"/>
    <w:rsid w:val="00E73081"/>
    <w:rsid w:val="00E856C9"/>
    <w:rsid w:val="00E8744D"/>
    <w:rsid w:val="00EA56DD"/>
    <w:rsid w:val="00EB26F1"/>
    <w:rsid w:val="00EB6A8B"/>
    <w:rsid w:val="00EB728E"/>
    <w:rsid w:val="00EC034E"/>
    <w:rsid w:val="00ED02E3"/>
    <w:rsid w:val="00EF2830"/>
    <w:rsid w:val="00EF38C6"/>
    <w:rsid w:val="00F05A8F"/>
    <w:rsid w:val="00F450EE"/>
    <w:rsid w:val="00F465C8"/>
    <w:rsid w:val="00F56A33"/>
    <w:rsid w:val="00F679C7"/>
    <w:rsid w:val="00F7632D"/>
    <w:rsid w:val="00F7711A"/>
    <w:rsid w:val="00FA0D58"/>
    <w:rsid w:val="00FA56F4"/>
    <w:rsid w:val="00FB17FA"/>
    <w:rsid w:val="00FB4EDA"/>
    <w:rsid w:val="00FB4EF3"/>
    <w:rsid w:val="00FB6CFD"/>
    <w:rsid w:val="00FC22CF"/>
    <w:rsid w:val="00FC4A14"/>
    <w:rsid w:val="00FD3BD5"/>
    <w:rsid w:val="00FE3DC8"/>
    <w:rsid w:val="04073F84"/>
    <w:rsid w:val="0B60750A"/>
    <w:rsid w:val="10686488"/>
    <w:rsid w:val="10DF728A"/>
    <w:rsid w:val="1264200E"/>
    <w:rsid w:val="141C5B77"/>
    <w:rsid w:val="18D8339D"/>
    <w:rsid w:val="1A21388F"/>
    <w:rsid w:val="1A570D2F"/>
    <w:rsid w:val="28B517DD"/>
    <w:rsid w:val="28FB0B8D"/>
    <w:rsid w:val="2A9870FC"/>
    <w:rsid w:val="2D2B7942"/>
    <w:rsid w:val="2D46481D"/>
    <w:rsid w:val="2E3D3486"/>
    <w:rsid w:val="2E733B28"/>
    <w:rsid w:val="31852B5A"/>
    <w:rsid w:val="32D01238"/>
    <w:rsid w:val="3DFC59A8"/>
    <w:rsid w:val="3ECF245E"/>
    <w:rsid w:val="3FB96314"/>
    <w:rsid w:val="40BB1108"/>
    <w:rsid w:val="4CCD789E"/>
    <w:rsid w:val="53A44FAF"/>
    <w:rsid w:val="594329EC"/>
    <w:rsid w:val="5BEE1540"/>
    <w:rsid w:val="5CC726AE"/>
    <w:rsid w:val="5DE61A5D"/>
    <w:rsid w:val="63C04243"/>
    <w:rsid w:val="644239DA"/>
    <w:rsid w:val="649C01C7"/>
    <w:rsid w:val="699A3F60"/>
    <w:rsid w:val="711141AA"/>
    <w:rsid w:val="72902E62"/>
    <w:rsid w:val="73C61104"/>
    <w:rsid w:val="752B1106"/>
    <w:rsid w:val="776452EA"/>
    <w:rsid w:val="7BA757C0"/>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3.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8.jpeg"/><Relationship Id="rId17" Type="http://schemas.openxmlformats.org/officeDocument/2006/relationships/image" Target="media/image7.emf"/><Relationship Id="rId16" Type="http://schemas.openxmlformats.org/officeDocument/2006/relationships/chart" Target="charts/chart1.xml"/><Relationship Id="rId15" Type="http://schemas.openxmlformats.org/officeDocument/2006/relationships/image" Target="media/image6.emf"/><Relationship Id="rId14" Type="http://schemas.openxmlformats.org/officeDocument/2006/relationships/image" Target="media/image5.emf"/><Relationship Id="rId13" Type="http://schemas.openxmlformats.org/officeDocument/2006/relationships/image" Target="media/image4.emf"/><Relationship Id="rId12" Type="http://schemas.openxmlformats.org/officeDocument/2006/relationships/image" Target="media/image3.pn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H:\&#32463;&#24314;&#20915;&#3163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8795.61</c:v>
                </c:pt>
                <c:pt idx="1">
                  <c:v>8795.61</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24615.59</c:v>
                </c:pt>
                <c:pt idx="1">
                  <c:v>20544.08</c:v>
                </c:pt>
              </c:numCache>
            </c:numRef>
          </c:val>
        </c:ser>
        <c:dLbls>
          <c:showLegendKey val="0"/>
          <c:showVal val="1"/>
          <c:showCatName val="0"/>
          <c:showSerName val="0"/>
          <c:showPercent val="0"/>
          <c:showBubbleSize val="0"/>
        </c:dLbls>
        <c:gapWidth val="75"/>
        <c:axId val="138905472"/>
        <c:axId val="144552704"/>
      </c:barChart>
      <c:catAx>
        <c:axId val="13890547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4552704"/>
        <c:crosses val="autoZero"/>
        <c:auto val="1"/>
        <c:lblAlgn val="ctr"/>
        <c:lblOffset val="100"/>
        <c:noMultiLvlLbl val="0"/>
      </c:catAx>
      <c:valAx>
        <c:axId val="14455270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8905472"/>
        <c:crosses val="autoZero"/>
        <c:crossBetween val="between"/>
      </c:valAx>
    </c:plotArea>
    <c:legend>
      <c:legendPos val="b"/>
      <c:layout>
        <c:manualLayout>
          <c:xMode val="edge"/>
          <c:yMode val="edge"/>
          <c:x val="0.346718285214349"/>
          <c:y val="0.848750340633651"/>
          <c:w val="0.339896544181978"/>
          <c:h val="0.093367246619945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0" cap="flat" cmpd="sng" algn="ctr">
      <a:no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47"/>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E1AB98D-B754-4D58-AEEF-3E58191E2951}">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2227</Words>
  <Characters>12700</Characters>
  <Lines>105</Lines>
  <Paragraphs>29</Paragraphs>
  <TotalTime>3</TotalTime>
  <ScaleCrop>false</ScaleCrop>
  <LinksUpToDate>false</LinksUpToDate>
  <CharactersWithSpaces>14898</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2019-09-16T01:40:00Z</dcterms:created>
  <dc:creator>User</dc:creator>
  <cp:lastModifiedBy>Administrator</cp:lastModifiedBy>
  <cp:lastPrinted>2019-09-16T00:51:00Z</cp:lastPrinted>
  <dcterms:modified xsi:type="dcterms:W3CDTF">2024-01-03T07:42:51Z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