
<file path=[Content_Types].xml><?xml version="1.0" encoding="utf-8"?>
<Types xmlns="http://schemas.openxmlformats.org/package/2006/content-types">
  <Default Extension="xml" ContentType="application/xm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8480;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62336;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41" o:spt="1" style="position:absolute;left:0pt;margin-left:33.6pt;margin-top:256.75pt;height:69.6pt;width:160.65pt;z-index:251670528;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69504;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66432;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3.35pt;height:69.6pt;width:600.25pt;z-index:-251644928;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7456;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shd w:val="clear" w:color="FFFFFF" w:fill="D9D9D9"/>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中国共产党无极县委员会老干部局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w:t>
      </w: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257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27" w:firstLineChars="196"/>
        <w:jc w:val="left"/>
        <w:outlineLvl w:val="0"/>
        <w:rPr>
          <w:rFonts w:ascii="仿宋" w:hAnsi="仿宋" w:eastAsia="仿宋" w:cs="仿宋"/>
          <w:b/>
          <w:sz w:val="32"/>
          <w:szCs w:val="32"/>
        </w:rPr>
      </w:pPr>
      <w:r>
        <w:rPr>
          <w:rFonts w:hint="eastAsia" w:ascii="仿宋" w:hAnsi="仿宋" w:eastAsia="仿宋" w:cs="仿宋"/>
          <w:sz w:val="32"/>
          <w:szCs w:val="32"/>
        </w:rPr>
        <w:t>根据《中国共产党无极县委员会老干部局职能配置、内设机构和人员编制方案》规定，老干部局的主要职责是：</w:t>
      </w:r>
    </w:p>
    <w:p>
      <w:pPr>
        <w:spacing w:line="600" w:lineRule="exact"/>
        <w:ind w:firstLine="681"/>
        <w:rPr>
          <w:rFonts w:ascii="仿宋" w:hAnsi="仿宋" w:eastAsia="仿宋" w:cs="仿宋"/>
          <w:sz w:val="32"/>
        </w:rPr>
      </w:pPr>
      <w:r>
        <w:rPr>
          <w:rFonts w:ascii="仿宋" w:hAnsi="仿宋" w:eastAsia="仿宋" w:cs="仿宋"/>
          <w:sz w:val="32"/>
        </w:rPr>
        <w:t>（一）调查了解离退休老干部政治待遇和生活待遇的落实情况，提出解决问题的意见和办法。</w:t>
      </w:r>
    </w:p>
    <w:p>
      <w:pPr>
        <w:spacing w:line="600" w:lineRule="exact"/>
        <w:ind w:left="1" w:firstLine="640" w:firstLineChars="200"/>
        <w:textAlignment w:val="bottom"/>
        <w:rPr>
          <w:rFonts w:ascii="仿宋" w:hAnsi="仿宋" w:eastAsia="仿宋" w:cs="仿宋"/>
          <w:sz w:val="32"/>
        </w:rPr>
      </w:pPr>
      <w:r>
        <w:rPr>
          <w:rFonts w:ascii="仿宋" w:hAnsi="仿宋" w:eastAsia="仿宋" w:cs="仿宋"/>
          <w:sz w:val="32"/>
        </w:rPr>
        <w:t>（二）组织离退休老干部发挥余热。</w:t>
      </w:r>
    </w:p>
    <w:p>
      <w:pPr>
        <w:spacing w:line="600" w:lineRule="exact"/>
        <w:ind w:left="1" w:firstLine="640" w:firstLineChars="200"/>
        <w:textAlignment w:val="bottom"/>
        <w:rPr>
          <w:rFonts w:ascii="仿宋" w:hAnsi="仿宋" w:eastAsia="仿宋" w:cs="仿宋"/>
          <w:sz w:val="32"/>
        </w:rPr>
      </w:pPr>
      <w:r>
        <w:rPr>
          <w:rFonts w:ascii="仿宋" w:hAnsi="仿宋" w:eastAsia="仿宋" w:cs="仿宋"/>
          <w:sz w:val="32"/>
        </w:rPr>
        <w:t>（三）协助有关部门做好离退休老干部的思想政治工作。</w:t>
      </w:r>
    </w:p>
    <w:p>
      <w:pPr>
        <w:spacing w:line="600" w:lineRule="exact"/>
        <w:ind w:left="1" w:firstLine="640" w:firstLineChars="200"/>
        <w:textAlignment w:val="bottom"/>
        <w:rPr>
          <w:rFonts w:ascii="仿宋" w:hAnsi="仿宋" w:eastAsia="仿宋" w:cs="仿宋"/>
          <w:sz w:val="32"/>
        </w:rPr>
      </w:pPr>
      <w:r>
        <w:rPr>
          <w:rFonts w:ascii="仿宋" w:hAnsi="仿宋" w:eastAsia="仿宋" w:cs="仿宋"/>
          <w:sz w:val="32"/>
        </w:rPr>
        <w:t>（四）协助有关部门做好离退休老干部医疗保健和故后有关事宜的处理工作。</w:t>
      </w:r>
    </w:p>
    <w:p>
      <w:pPr>
        <w:spacing w:line="600" w:lineRule="exact"/>
        <w:ind w:left="1" w:firstLine="640" w:firstLineChars="200"/>
        <w:textAlignment w:val="bottom"/>
        <w:rPr>
          <w:rFonts w:ascii="仿宋" w:hAnsi="仿宋" w:eastAsia="仿宋" w:cs="仿宋"/>
          <w:sz w:val="32"/>
        </w:rPr>
      </w:pPr>
      <w:r>
        <w:rPr>
          <w:rFonts w:ascii="仿宋" w:hAnsi="仿宋" w:eastAsia="仿宋" w:cs="仿宋"/>
          <w:sz w:val="32"/>
        </w:rPr>
        <w:t>（五）做好离退休老干部公用经费和特需经费的筹集、使用工作。</w:t>
      </w:r>
    </w:p>
    <w:p>
      <w:pPr>
        <w:spacing w:line="600" w:lineRule="exact"/>
        <w:ind w:left="1" w:firstLine="640" w:firstLineChars="200"/>
        <w:textAlignment w:val="bottom"/>
        <w:rPr>
          <w:rFonts w:ascii="仿宋_GB2312" w:hAnsi="Calibri" w:eastAsia="仿宋_GB2312" w:cs="ArialUnicodeMS"/>
          <w:kern w:val="0"/>
          <w:sz w:val="32"/>
          <w:szCs w:val="32"/>
        </w:rPr>
      </w:pPr>
      <w:r>
        <w:rPr>
          <w:rFonts w:ascii="仿宋" w:hAnsi="仿宋" w:eastAsia="仿宋" w:cs="仿宋"/>
          <w:sz w:val="32"/>
        </w:rPr>
        <w:t>（六）搞好外地离退休老干部来我</w:t>
      </w:r>
      <w:r>
        <w:rPr>
          <w:rFonts w:hint="eastAsia" w:ascii="仿宋" w:hAnsi="仿宋" w:eastAsia="仿宋" w:cs="仿宋"/>
          <w:sz w:val="32"/>
        </w:rPr>
        <w:t>县</w:t>
      </w:r>
      <w:r>
        <w:rPr>
          <w:rFonts w:ascii="仿宋" w:hAnsi="仿宋" w:eastAsia="仿宋" w:cs="仿宋"/>
          <w:sz w:val="32"/>
        </w:rPr>
        <w:t>参观、探亲、访友等有关事宜的接待工作。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中国共产党无极县委员会老干部局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36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7564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本部门2019年度收支总计（含结转和结余）639.89万元。与2018年度决算相比，收支各增加42.74万元，增长7.16%，主要原因是</w:t>
      </w:r>
      <w:r>
        <w:rPr>
          <w:rFonts w:hint="eastAsia" w:ascii="仿宋" w:hAnsi="仿宋" w:eastAsia="仿宋" w:cs="仿宋"/>
          <w:sz w:val="30"/>
          <w:szCs w:val="30"/>
        </w:rPr>
        <w:t>工资调整以及工作开展所需经费增加</w:t>
      </w:r>
      <w:r>
        <w:rPr>
          <w:rFonts w:hint="eastAsia" w:ascii="仿宋_GB2312"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本部门2019年度本年收入合计635.53万元，其中：财政拨款收入635.53万元，占100%；事业收入0万元；经营收入0万元；其他收入0万元。如图所示</w:t>
      </w:r>
    </w:p>
    <w:p>
      <w:pPr>
        <w:adjustRightInd w:val="0"/>
        <w:snapToGrid w:val="0"/>
        <w:ind w:firstLine="1260" w:firstLineChars="600"/>
        <w:rPr>
          <w:rFonts w:ascii="黑体" w:hAnsi="Calibri" w:eastAsia="黑体" w:cs="Times New Roman"/>
          <w:b/>
          <w:bCs/>
          <w:sz w:val="32"/>
          <w:szCs w:val="32"/>
        </w:rPr>
      </w:pPr>
      <w:r>
        <w:drawing>
          <wp:inline distT="0" distB="0" distL="114300" distR="114300">
            <wp:extent cx="4517390" cy="2675890"/>
            <wp:effectExtent l="0" t="0" r="16510" b="10160"/>
            <wp:docPr id="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pic:cNvPicPr>
                      <a:picLocks noChangeAspect="1"/>
                    </pic:cNvPicPr>
                  </pic:nvPicPr>
                  <pic:blipFill>
                    <a:blip r:embed="rId31"/>
                    <a:stretch>
                      <a:fillRect/>
                    </a:stretch>
                  </pic:blipFill>
                  <pic:spPr>
                    <a:xfrm>
                      <a:off x="0" y="0"/>
                      <a:ext cx="4517390" cy="2675890"/>
                    </a:xfrm>
                    <a:prstGeom prst="rect">
                      <a:avLst/>
                    </a:prstGeom>
                    <a:noFill/>
                    <a:ln>
                      <a:noFill/>
                    </a:ln>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本部门2019年度本年支出合计636.74万元，其中：基本支出612.44万元，占96.18%；项目支出24.3万元，占3.82%；经营支出0万元。如图所示：</w:t>
      </w:r>
    </w:p>
    <w:p>
      <w:pPr>
        <w:adjustRightInd w:val="0"/>
        <w:snapToGrid w:val="0"/>
        <w:ind w:firstLine="1260" w:firstLineChars="600"/>
        <w:rPr>
          <w:rFonts w:ascii="黑体" w:hAnsi="Calibri" w:eastAsia="黑体" w:cs="Times New Roman"/>
          <w:b/>
          <w:bCs/>
          <w:sz w:val="32"/>
          <w:szCs w:val="32"/>
        </w:rPr>
      </w:pPr>
      <w:r>
        <w:drawing>
          <wp:inline distT="0" distB="0" distL="114300" distR="114300">
            <wp:extent cx="4346575" cy="2633345"/>
            <wp:effectExtent l="0" t="0" r="15875" b="14605"/>
            <wp:docPr id="3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2"/>
                    <pic:cNvPicPr>
                      <a:picLocks noChangeAspect="1"/>
                    </pic:cNvPicPr>
                  </pic:nvPicPr>
                  <pic:blipFill>
                    <a:blip r:embed="rId32"/>
                    <a:stretch>
                      <a:fillRect/>
                    </a:stretch>
                  </pic:blipFill>
                  <pic:spPr>
                    <a:xfrm>
                      <a:off x="0" y="0"/>
                      <a:ext cx="4346575" cy="2633345"/>
                    </a:xfrm>
                    <a:prstGeom prst="rect">
                      <a:avLst/>
                    </a:prstGeom>
                    <a:noFill/>
                    <a:ln>
                      <a:noFill/>
                    </a:ln>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本部门2019年度形成的财政拨款收支均为一般公共预算财政拨款，其中本年收入635.53万元,比2018年度增加46.61万元，增长7.91%，主要是</w:t>
      </w:r>
      <w:r>
        <w:rPr>
          <w:rFonts w:hint="eastAsia" w:ascii="仿宋" w:hAnsi="仿宋" w:eastAsia="仿宋" w:cs="仿宋"/>
          <w:sz w:val="30"/>
          <w:szCs w:val="30"/>
        </w:rPr>
        <w:t>工资调整以及工作开展所需项目经费增加</w:t>
      </w:r>
      <w:r>
        <w:rPr>
          <w:rFonts w:hint="eastAsia" w:ascii="仿宋_GB2312" w:hAnsi="Times New Roman" w:eastAsia="仿宋_GB2312" w:cs="DengXian-Regular"/>
          <w:sz w:val="32"/>
          <w:szCs w:val="32"/>
        </w:rPr>
        <w:t>；本年支出636.74万元，增加43.95万元，增长7.41%，主要是</w:t>
      </w:r>
      <w:r>
        <w:rPr>
          <w:rFonts w:hint="eastAsia" w:ascii="仿宋" w:hAnsi="仿宋" w:eastAsia="仿宋" w:cs="仿宋"/>
          <w:sz w:val="30"/>
          <w:szCs w:val="30"/>
        </w:rPr>
        <w:t>工资调整以及工作开展所需经费增加</w:t>
      </w:r>
      <w:r>
        <w:rPr>
          <w:rFonts w:hint="eastAsia" w:ascii="仿宋_GB2312" w:hAnsi="Times New Roman" w:eastAsia="仿宋_GB2312" w:cs="DengXian-Regular"/>
          <w:sz w:val="32"/>
          <w:szCs w:val="32"/>
        </w:rPr>
        <w:t>。</w:t>
      </w:r>
    </w:p>
    <w:p>
      <w:pPr>
        <w:adjustRightInd w:val="0"/>
        <w:snapToGrid w:val="0"/>
        <w:ind w:firstLine="420" w:firstLineChars="200"/>
        <w:rPr>
          <w:rFonts w:ascii="仿宋_GB2312" w:hAnsi="Times New Roman" w:eastAsia="仿宋_GB2312" w:cs="DengXian-Regular"/>
          <w:sz w:val="32"/>
          <w:szCs w:val="32"/>
          <w:highlight w:val="yellow"/>
        </w:rPr>
      </w:pPr>
      <w:r>
        <w:drawing>
          <wp:inline distT="0" distB="0" distL="114300" distR="114300">
            <wp:extent cx="4572000" cy="2981325"/>
            <wp:effectExtent l="47625" t="4445" r="47625" b="100330"/>
            <wp:docPr id="2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本部门2019年度一般公共预算财政拨款收入635.53万元，完成年初预算的130.83%（如图4）,比年初预算增加149.78万元，决算数大于预算数主要原因是</w:t>
      </w:r>
      <w:r>
        <w:rPr>
          <w:rFonts w:hint="eastAsia" w:ascii="仿宋" w:hAnsi="仿宋" w:eastAsia="仿宋" w:cs="仿宋"/>
          <w:sz w:val="30"/>
          <w:szCs w:val="30"/>
        </w:rPr>
        <w:t>工资调整以及工作开展所需经费增加</w:t>
      </w:r>
      <w:r>
        <w:rPr>
          <w:rFonts w:hint="eastAsia" w:ascii="仿宋_GB2312" w:hAnsi="Times New Roman" w:eastAsia="仿宋_GB2312" w:cs="DengXian-Regular"/>
          <w:sz w:val="32"/>
          <w:szCs w:val="32"/>
        </w:rPr>
        <w:t>；本年支出636.74元，完成年初预算的131.08%,比年初预算增加150.99万元，决算数大于预算数主要原因是主要是</w:t>
      </w:r>
      <w:r>
        <w:rPr>
          <w:rFonts w:hint="eastAsia" w:ascii="仿宋" w:hAnsi="仿宋" w:eastAsia="仿宋" w:cs="仿宋"/>
          <w:sz w:val="30"/>
          <w:szCs w:val="30"/>
        </w:rPr>
        <w:t>工资调整以及工作开展所需经费增加</w:t>
      </w:r>
      <w:r>
        <w:rPr>
          <w:rFonts w:hint="eastAsia" w:ascii="仿宋_GB2312" w:eastAsia="仿宋_GB2312" w:cs="DengXian-Regular"/>
          <w:sz w:val="32"/>
          <w:szCs w:val="32"/>
        </w:rPr>
        <w:t>。</w:t>
      </w:r>
    </w:p>
    <w:p>
      <w:pPr>
        <w:adjustRightInd w:val="0"/>
        <w:snapToGrid w:val="0"/>
        <w:rPr>
          <w:rFonts w:ascii="仿宋_GB2312" w:hAnsi="Times New Roman" w:eastAsia="仿宋_GB2312" w:cs="DengXian-Regular"/>
          <w:sz w:val="32"/>
          <w:szCs w:val="32"/>
          <w:highlight w:val="yellow"/>
        </w:rPr>
      </w:pPr>
      <w:r>
        <w:drawing>
          <wp:inline distT="0" distB="0" distL="114300" distR="114300">
            <wp:extent cx="4572000" cy="3486150"/>
            <wp:effectExtent l="47625" t="4445" r="47625" b="109855"/>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年度财政拨款支出636.74万元，主要用于以下方面:一般公共服务（类）支出266.64万元，占41.88%；社会保障和就业（类）支出364.32万元，占57.22%；卫生健康（类）支出5.78万元，占0.91%。</w:t>
      </w:r>
    </w:p>
    <w:p>
      <w:pPr>
        <w:adjustRightInd w:val="0"/>
        <w:snapToGrid w:val="0"/>
        <w:rPr>
          <w:rFonts w:ascii="楷体_GB2312" w:hAnsi="Times New Roman" w:eastAsia="楷体_GB2312" w:cs="DengXian-Bold"/>
          <w:b/>
          <w:bCs/>
          <w:sz w:val="32"/>
          <w:szCs w:val="32"/>
        </w:rPr>
      </w:pPr>
      <w:r>
        <w:drawing>
          <wp:inline distT="0" distB="0" distL="114300" distR="114300">
            <wp:extent cx="3181350" cy="2609850"/>
            <wp:effectExtent l="57150" t="0" r="57150" b="76200"/>
            <wp:docPr id="3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612.44万元，其中：人员经费446.44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166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本部门2019年度“三公”经费支出共计6万元，完成预算的100%,较预算增加0万元与年初预算</w:t>
      </w:r>
      <w:r>
        <w:rPr>
          <w:rFonts w:hint="eastAsia" w:ascii="仿宋_GB2312" w:eastAsia="仿宋_GB2312" w:cs="DengXian-Regular"/>
          <w:sz w:val="32"/>
          <w:szCs w:val="32"/>
        </w:rPr>
        <w:t>持平，无增减变化。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认真贯彻落实中央八项规定精神和厉行节约要求，严控制“三公”经费开支</w:t>
      </w:r>
      <w:r>
        <w:rPr>
          <w:rFonts w:hint="eastAsia" w:ascii="仿宋_GB2312" w:hAnsi="Times New Roman" w:eastAsia="仿宋_GB2312" w:cs="DengXian-Regular"/>
          <w:sz w:val="32"/>
          <w:szCs w:val="32"/>
        </w:rPr>
        <w:t>；较2018年度</w:t>
      </w:r>
      <w:r>
        <w:rPr>
          <w:rFonts w:hint="eastAsia" w:ascii="仿宋_GB2312" w:eastAsia="仿宋_GB2312" w:cs="DengXian-Regular"/>
          <w:sz w:val="32"/>
          <w:szCs w:val="32"/>
        </w:rPr>
        <w:t>持平，无增减变化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严控制“三公”经费开支</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本部门2019年度因公出国（境）团组0个、共0人。参加其他单位组织的因公出国（境）团组0个、共0人/无本单位组织的出国（境）团组。因公出国（境）费支出较预算增加0万元，较上年增加0万元，增长0%，</w:t>
      </w:r>
      <w:r>
        <w:rPr>
          <w:rFonts w:hint="eastAsia" w:ascii="仿宋_GB2312" w:eastAsia="仿宋_GB2312" w:cs="DengXian-Regular"/>
          <w:sz w:val="32"/>
          <w:szCs w:val="32"/>
        </w:rPr>
        <w:t>与年初预算持平，与去年无增减变化。</w:t>
      </w:r>
    </w:p>
    <w:p>
      <w:pPr>
        <w:numPr>
          <w:ilvl w:val="0"/>
          <w:numId w:val="2"/>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公务用车购置及运行维护费支出6万元。</w:t>
      </w:r>
      <w:r>
        <w:rPr>
          <w:rFonts w:hint="eastAsia" w:ascii="仿宋_GB2312" w:hAnsi="Times New Roman" w:eastAsia="仿宋_GB2312" w:cs="DengXian-Regular"/>
          <w:sz w:val="32"/>
          <w:szCs w:val="32"/>
        </w:rPr>
        <w:t>本部门2019年度公务用车购置及运行维护费较预算减少0万元</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认真贯彻落实中央八项规定精神和厉行节约要求，严控制“三公”经费开支</w:t>
      </w:r>
      <w:r>
        <w:rPr>
          <w:rFonts w:hint="eastAsia" w:ascii="仿宋_GB2312" w:hAnsi="Times New Roman" w:eastAsia="仿宋_GB2312" w:cs="DengXian-Regular"/>
          <w:sz w:val="32"/>
          <w:szCs w:val="32"/>
        </w:rPr>
        <w:t>；较上年</w:t>
      </w:r>
      <w:r>
        <w:rPr>
          <w:rFonts w:hint="eastAsia" w:ascii="仿宋_GB2312" w:eastAsia="仿宋_GB2312" w:cs="DengXian-Regular"/>
          <w:sz w:val="32"/>
          <w:szCs w:val="32"/>
        </w:rPr>
        <w:t>持平，无增减变化，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w:t>
      </w:r>
      <w:bookmarkStart w:id="0" w:name="_GoBack"/>
      <w:bookmarkEnd w:id="0"/>
      <w:r>
        <w:rPr>
          <w:rFonts w:hint="eastAsia" w:ascii="仿宋_GB2312" w:eastAsia="仿宋_GB2312" w:cs="DengXian-Regular"/>
          <w:sz w:val="32"/>
          <w:szCs w:val="32"/>
        </w:rPr>
        <w:t>八项规定精神和厉行节约要求，严控制“三公”经费开支。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本部门2019年度公务用车购置量0辆，发生“公务用车购置”经费支出0万元。公务用车购置费支出与预算</w:t>
      </w:r>
      <w:r>
        <w:rPr>
          <w:rFonts w:hint="eastAsia" w:ascii="仿宋_GB2312" w:eastAsia="仿宋_GB2312" w:cs="DengXian-Regular"/>
          <w:sz w:val="32"/>
          <w:szCs w:val="32"/>
        </w:rPr>
        <w:t>持平，无增减变化</w:t>
      </w:r>
      <w:r>
        <w:rPr>
          <w:rFonts w:hint="eastAsia" w:ascii="仿宋_GB2312" w:hAnsi="Times New Roman" w:eastAsia="仿宋_GB2312" w:cs="DengXian-Regular"/>
          <w:sz w:val="32"/>
          <w:szCs w:val="32"/>
        </w:rPr>
        <w:t>；与2018年度决算支出持平，无增减变化。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本部门2019年度单位公务用车保有量2辆，</w:t>
      </w:r>
      <w:r>
        <w:rPr>
          <w:rFonts w:hint="eastAsia" w:ascii="仿宋_GB2312" w:eastAsia="仿宋_GB2312" w:cs="DengXian-Regular"/>
          <w:sz w:val="32"/>
          <w:szCs w:val="32"/>
        </w:rPr>
        <w:t>公务用车运行维护费6万元</w:t>
      </w:r>
      <w:r>
        <w:rPr>
          <w:rFonts w:hint="eastAsia" w:ascii="仿宋_GB2312" w:hAnsi="Times New Roman" w:eastAsia="仿宋_GB2312" w:cs="DengXian-Regular"/>
          <w:sz w:val="32"/>
          <w:szCs w:val="32"/>
        </w:rPr>
        <w:t>。公车运行维护费支出</w:t>
      </w:r>
      <w:r>
        <w:rPr>
          <w:rFonts w:hint="eastAsia" w:ascii="仿宋_GB2312" w:eastAsia="仿宋_GB2312" w:cs="DengXian-Regular"/>
          <w:sz w:val="32"/>
          <w:szCs w:val="32"/>
        </w:rPr>
        <w:t>与预算持平，无增减变化</w:t>
      </w:r>
      <w:r>
        <w:rPr>
          <w:rFonts w:hint="eastAsia" w:ascii="仿宋_GB2312" w:hAnsi="Times New Roman" w:eastAsia="仿宋_GB2312" w:cs="DengXian-Regular"/>
          <w:sz w:val="32"/>
          <w:szCs w:val="32"/>
        </w:rPr>
        <w:t>；与2018年度决算支出持平，无增减变化。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w:t>
      </w:r>
      <w:r>
        <w:rPr>
          <w:rFonts w:hint="eastAsia" w:ascii="仿宋_GB2312" w:eastAsia="仿宋_GB2312" w:cs="DengXian-Regular"/>
          <w:sz w:val="32"/>
          <w:szCs w:val="32"/>
        </w:rPr>
        <w:t>预算持平，无增减变化</w:t>
      </w:r>
      <w:r>
        <w:rPr>
          <w:rFonts w:hint="eastAsia" w:ascii="仿宋_GB2312" w:hAnsi="Times New Roman" w:eastAsia="仿宋_GB2312" w:cs="DengXian-Regular"/>
          <w:sz w:val="32"/>
          <w:szCs w:val="32"/>
        </w:rPr>
        <w:t>；与2018年度决算支出持平，无增减变化。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个，共涉及资金,24.3万元，占一般公共预算项目支出总额的100%。组织对“无极县革命历史文化资料选编”1个项目开展了部门评价，涉及一般公共预算支出24.3万元。从评价情况来看，</w:t>
      </w:r>
      <w:r>
        <w:rPr>
          <w:rFonts w:hint="eastAsia" w:ascii="仿宋_GB2312" w:eastAsia="仿宋_GB2312" w:cs="DengXian-Regular"/>
          <w:sz w:val="32"/>
          <w:szCs w:val="32"/>
        </w:rPr>
        <w:t>评价结果为良好。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本部门在今年部门决算公开中反映“无极县革命历史文化资料选编”1个项目绩效自评结果。</w:t>
      </w:r>
    </w:p>
    <w:p>
      <w:pPr>
        <w:ind w:firstLine="640" w:firstLineChars="200"/>
        <w:rPr>
          <w:rFonts w:ascii="仿宋_GB2312" w:eastAsia="仿宋_GB2312"/>
          <w:sz w:val="32"/>
          <w:szCs w:val="32"/>
          <w:shd w:val="clear" w:color="auto" w:fill="FFFFFF"/>
        </w:rPr>
      </w:pPr>
      <w:r>
        <w:rPr>
          <w:rFonts w:hint="eastAsia" w:ascii="仿宋_GB2312" w:hAnsi="仿宋_GB2312" w:eastAsia="仿宋_GB2312" w:cs="仿宋_GB2312"/>
          <w:sz w:val="32"/>
          <w:szCs w:val="32"/>
        </w:rPr>
        <w:t>《无极县革命历史文化资料选编》项目自评综述：根据年初设定的绩效目标，《无极县革命历史文化资料选编》项目绩效自评得分为94分（绩效自评表附后）。全年预算数为30万元，执行数为24.3万元，完成预算的70%。项目绩效目标完成情况：</w:t>
      </w:r>
      <w:r>
        <w:rPr>
          <w:rFonts w:hint="eastAsia" w:ascii="仿宋_GB2312" w:eastAsia="仿宋_GB2312"/>
          <w:color w:val="000000"/>
          <w:sz w:val="32"/>
          <w:szCs w:val="32"/>
          <w:shd w:val="clear" w:color="auto" w:fill="FFFFFF"/>
        </w:rPr>
        <w:t>在部门整体绩效执行过程中，紧密结合老干部工作实际，把让党委政府放心、让老干部满意作为第一工作目标，建立健全了老干部工作“双联”责任制，不断提升老干部满意度和幸福指数。</w:t>
      </w:r>
      <w:r>
        <w:rPr>
          <w:rFonts w:hint="eastAsia" w:ascii="仿宋_GB2312" w:hAnsi="仿宋_GB2312" w:eastAsia="仿宋_GB2312" w:cs="仿宋_GB2312"/>
          <w:sz w:val="32"/>
          <w:szCs w:val="32"/>
        </w:rPr>
        <w:t>发现的主要问题及原因：</w:t>
      </w:r>
      <w:r>
        <w:rPr>
          <w:rFonts w:hint="eastAsia" w:ascii="仿宋_GB2312" w:eastAsia="仿宋_GB2312"/>
          <w:sz w:val="32"/>
          <w:szCs w:val="32"/>
        </w:rPr>
        <w:t>一是预算编制的合理性有待进一步提高。二是缺乏主动性，由于预算绩效管理的专业性、复杂性等特性，业务水平还不能满足绩效管理工作要求，专业素质有待提高。三是规范高效的预算绩效管理模式还处于起步阶段，预算绩效管理基础工作有待进一步加强</w:t>
      </w:r>
      <w:r>
        <w:rPr>
          <w:rFonts w:hint="eastAsia" w:ascii="仿宋_GB2312" w:hAnsi="仿宋_GB2312" w:eastAsia="仿宋_GB2312" w:cs="仿宋_GB2312"/>
          <w:sz w:val="32"/>
          <w:szCs w:val="32"/>
        </w:rPr>
        <w:t>。下一步改进措施：</w:t>
      </w:r>
      <w:r>
        <w:rPr>
          <w:rFonts w:hint="eastAsia" w:ascii="仿宋_GB2312" w:eastAsia="仿宋_GB2312"/>
          <w:sz w:val="32"/>
          <w:szCs w:val="32"/>
        </w:rPr>
        <w:t>一是细化预算编制工作，认真做好预算的编制。二是</w:t>
      </w:r>
      <w:r>
        <w:rPr>
          <w:rFonts w:hint="eastAsia" w:ascii="仿宋_GB2312" w:eastAsia="仿宋_GB2312"/>
          <w:sz w:val="32"/>
          <w:szCs w:val="32"/>
          <w:shd w:val="clear" w:color="auto" w:fill="FFFFFF"/>
        </w:rPr>
        <w:t>加强绩效评价队伍建设，对绩效目标表评价内容进行细化并系统培训。</w:t>
      </w:r>
    </w:p>
    <w:p>
      <w:pPr>
        <w:adjustRightInd w:val="0"/>
        <w:snapToGrid w:val="0"/>
        <w:spacing w:line="58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3、财政评价项目绩效评价结果。</w:t>
      </w:r>
    </w:p>
    <w:p>
      <w:pPr>
        <w:adjustRightInd w:val="0"/>
        <w:snapToGrid w:val="0"/>
        <w:spacing w:line="58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本部门2019年度机关运行经费支出166万元，比2018年度增加120.26万元，增长262.92%。主要原因是</w:t>
      </w:r>
      <w:r>
        <w:rPr>
          <w:rFonts w:hint="eastAsia" w:ascii="仿宋" w:hAnsi="仿宋" w:eastAsia="仿宋" w:cs="仿宋"/>
          <w:sz w:val="30"/>
          <w:szCs w:val="30"/>
        </w:rPr>
        <w:t>工作开展所需经费增加以及</w:t>
      </w:r>
      <w:r>
        <w:rPr>
          <w:rFonts w:hint="eastAsia" w:ascii="仿宋_GB2312" w:hAnsi="Times New Roman" w:eastAsia="仿宋_GB2312" w:cs="DengXian-Regular"/>
          <w:sz w:val="32"/>
          <w:szCs w:val="32"/>
        </w:rPr>
        <w:t>2018年</w:t>
      </w:r>
      <w:r>
        <w:rPr>
          <w:rFonts w:hint="eastAsia" w:ascii="仿宋_GB2312" w:eastAsia="仿宋_GB2312" w:cs="DengXian-Regular"/>
          <w:sz w:val="32"/>
          <w:szCs w:val="32"/>
        </w:rPr>
        <w:t>项目未全部完成，2019年仍需支付剩余经费</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w:t>
      </w:r>
    </w:p>
    <w:p>
      <w:pPr>
        <w:adjustRightInd w:val="0"/>
        <w:snapToGrid w:val="0"/>
        <w:spacing w:line="580" w:lineRule="exact"/>
        <w:ind w:firstLine="640" w:firstLineChars="200"/>
        <w:rPr>
          <w:rFonts w:ascii="楷体_GB2312" w:hAnsi="Times New Roman" w:eastAsia="仿宋_GB2312" w:cs="DengXian-Bold"/>
          <w:b/>
          <w:bCs/>
          <w:sz w:val="32"/>
          <w:szCs w:val="32"/>
        </w:rPr>
      </w:pPr>
      <w:r>
        <w:rPr>
          <w:rFonts w:hint="eastAsia" w:ascii="仿宋_GB2312" w:hAnsi="Times New Roman" w:eastAsia="仿宋_GB2312" w:cs="DengXian-Regular"/>
          <w:sz w:val="32"/>
          <w:szCs w:val="32"/>
        </w:rPr>
        <w:t>截至2019年12月31日，本部门共有车辆2辆，比上年</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。其中，副部（省）级及以上领导用车0辆，主要领导干部用车0辆，机要通信用车0辆，应急保障用车0辆，执法执勤用车0辆，特种专业技术用车0辆，离退休干部用车2辆，其他用车0辆；单位价值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w:t>
      </w:r>
      <w:r>
        <w:rPr>
          <w:rFonts w:hint="eastAsia" w:ascii="仿宋_GB2312" w:eastAsia="仿宋_GB2312" w:cs="DengXian-Regular"/>
          <w:sz w:val="32"/>
          <w:szCs w:val="32"/>
        </w:rPr>
        <w:t>比上年无增减变化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w:t>
      </w:r>
      <w:r>
        <w:rPr>
          <w:rFonts w:hint="eastAsia" w:ascii="仿宋_GB2312" w:eastAsia="仿宋_GB2312" w:cs="DengXian-Regular"/>
          <w:sz w:val="32"/>
          <w:szCs w:val="32"/>
        </w:rPr>
        <w:t>比上年无增减变化。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本部门2019年度政府性基金预算财政拨款收入支出决算表、国有资本经营预算无收支及结转结余情况，故政府性基金预算、国有资本经营预算以空表列示。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7667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7769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635.53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266.64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364.32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635.53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636.74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4.36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639.89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639.89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635.53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635.53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265.43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265.43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265.43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265.43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205.46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205.46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59.97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59.97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364.32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364.32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324.44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324.44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180.51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180.51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其他行政事业单位离退休支出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883"/>
        <w:gridCol w:w="990"/>
        <w:gridCol w:w="1215"/>
        <w:gridCol w:w="1050"/>
        <w:gridCol w:w="865"/>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4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98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2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8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88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98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98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636.74</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612.44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b/>
                <w:color w:val="000000"/>
                <w:sz w:val="22"/>
              </w:rPr>
            </w:pPr>
            <w:r>
              <w:rPr>
                <w:rFonts w:hint="eastAsia" w:ascii="宋体" w:hAnsi="宋体" w:eastAsia="宋体" w:cs="宋体"/>
                <w:b/>
                <w:color w:val="000000"/>
                <w:sz w:val="22"/>
              </w:rPr>
              <w:t>24.3</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2013601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206.67</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206.67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2013699</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59.97</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59.97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364.32</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340.02</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24.3</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324.44</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300.14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24.3</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180.51</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156.21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24.3</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15.07</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15.07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2080599</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其他行政事业单位离退休支出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122.63</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0.57</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0.36</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0.36</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2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117"/>
        <w:gridCol w:w="738"/>
        <w:gridCol w:w="789"/>
      </w:tblGrid>
      <w:tr>
        <w:tblPrEx>
          <w:tblCellMar>
            <w:top w:w="0" w:type="dxa"/>
            <w:left w:w="0" w:type="dxa"/>
            <w:bottom w:w="0" w:type="dxa"/>
            <w:right w:w="0" w:type="dxa"/>
          </w:tblCellMar>
        </w:tblPrEx>
        <w:trPr>
          <w:trHeight w:val="406" w:hRule="atLeast"/>
          <w:jc w:val="center"/>
        </w:trPr>
        <w:tc>
          <w:tcPr>
            <w:tcW w:w="9520" w:type="dxa"/>
            <w:gridSpan w:val="9"/>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5511"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531"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31"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635.53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r>
              <w:rPr>
                <w:rFonts w:hint="eastAsia" w:ascii="宋体" w:hAnsi="宋体" w:eastAsia="宋体" w:cs="宋体"/>
                <w:color w:val="000000"/>
                <w:sz w:val="11"/>
                <w:szCs w:val="11"/>
              </w:rPr>
              <w:t>266.64</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r>
              <w:rPr>
                <w:rFonts w:hint="eastAsia" w:ascii="宋体" w:hAnsi="宋体" w:eastAsia="宋体" w:cs="宋体"/>
                <w:color w:val="000000"/>
                <w:sz w:val="11"/>
                <w:szCs w:val="11"/>
              </w:rPr>
              <w:t>364.22</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364.22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r>
              <w:rPr>
                <w:rFonts w:hint="eastAsia" w:ascii="宋体" w:hAnsi="宋体" w:eastAsia="宋体" w:cs="宋体"/>
                <w:color w:val="000000"/>
                <w:sz w:val="11"/>
                <w:szCs w:val="11"/>
              </w:rPr>
              <w:t>5.78</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635.53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r>
              <w:rPr>
                <w:rFonts w:hint="eastAsia" w:ascii="宋体" w:hAnsi="宋体" w:eastAsia="宋体" w:cs="宋体"/>
                <w:color w:val="000000"/>
                <w:sz w:val="11"/>
                <w:szCs w:val="11"/>
              </w:rPr>
              <w:t>636.74</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636.74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4.36</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r>
              <w:rPr>
                <w:rFonts w:hint="eastAsia" w:ascii="宋体" w:hAnsi="宋体" w:eastAsia="宋体" w:cs="宋体"/>
                <w:color w:val="000000"/>
                <w:sz w:val="11"/>
                <w:szCs w:val="11"/>
              </w:rPr>
              <w:t>3.15</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3.15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4.36</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639.89</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1"/>
                <w:szCs w:val="11"/>
              </w:rPr>
            </w:pPr>
            <w:r>
              <w:rPr>
                <w:rFonts w:hint="eastAsia" w:ascii="宋体" w:hAnsi="宋体" w:eastAsia="宋体" w:cs="宋体"/>
                <w:color w:val="000000"/>
                <w:sz w:val="11"/>
                <w:szCs w:val="11"/>
              </w:rPr>
              <w:t>639.89</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639.89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9"/>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636.74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612.44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b/>
                <w:color w:val="000000"/>
                <w:sz w:val="22"/>
              </w:rPr>
            </w:pPr>
            <w:r>
              <w:rPr>
                <w:rFonts w:hint="eastAsia" w:ascii="宋体" w:hAnsi="宋体" w:eastAsia="宋体" w:cs="宋体"/>
                <w:b/>
                <w:color w:val="000000"/>
                <w:sz w:val="22"/>
              </w:rPr>
              <w:t>24.3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206.67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206.67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其他共产党事务支出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59.97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59.97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364.32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340.02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324.44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300.14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180.51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156.21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其他行政事业单位离退休支出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39.31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120.26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152.73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25.89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28.58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13.27</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10.47</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60.67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326.18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125.37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27.17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39.31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50.32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10.79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18.23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446.44</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166</w:t>
            </w:r>
          </w:p>
        </w:tc>
      </w:tr>
    </w:tbl>
    <w:p>
      <w:pPr>
        <w:widowControl/>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注：本表反映部门本年度一般公共预算财政拨款基本支出明细情况。        </w:t>
      </w:r>
    </w:p>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textAlignment w:val="center"/>
        <w:rPr>
          <w:rFonts w:ascii="宋体" w:hAnsi="宋体" w:eastAsia="宋体" w:cs="宋体"/>
          <w:color w:val="000000"/>
          <w:szCs w:val="21"/>
        </w:rPr>
      </w:pPr>
      <w:r>
        <w:rPr>
          <w:rFonts w:hint="eastAsia" w:ascii="宋体" w:hAnsi="宋体" w:eastAsia="宋体" w:cs="宋体"/>
          <w:color w:val="000000"/>
          <w:kern w:val="0"/>
          <w:szCs w:val="21"/>
        </w:rPr>
        <w:t xml:space="preserve">注：本表反映部门本年度政府性基金预算财政拨款收入、支出及结转和结余情况。  </w:t>
      </w:r>
      <w:r>
        <w:rPr>
          <w:rFonts w:hint="eastAsia" w:ascii="宋体" w:hAnsi="宋体" w:eastAsia="宋体" w:cs="宋体"/>
          <w:color w:val="000000"/>
          <w:kern w:val="0"/>
          <w:sz w:val="22"/>
        </w:rPr>
        <w:t>本部门本年度无相关收入（或支出、收支及结转结余等）情况，按要求空表列示</w:t>
      </w:r>
      <w:r>
        <w:rPr>
          <w:rFonts w:hint="eastAsia" w:ascii="宋体" w:hAnsi="宋体" w:eastAsia="宋体" w:cs="宋体"/>
          <w:color w:val="000000"/>
          <w:kern w:val="0"/>
          <w:szCs w:val="21"/>
        </w:rPr>
        <w:t xml:space="preserve">       </w:t>
      </w:r>
    </w:p>
    <w:p>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注：本表反映部门本年度国有资本经营预算财政拨款支出情况。本部门本年度无相关收入（或支出、收支及结转结余等）情况，按要求空表列示</w:t>
      </w:r>
    </w:p>
    <w:p>
      <w:r>
        <w:br w:type="page"/>
      </w:r>
    </w:p>
    <w:p>
      <w:r>
        <w:pict>
          <v:rect id="_x0000_s1027" o:spid="_x0000_s1027" o:spt="1" style="position:absolute;left:0pt;margin-left:-70.5pt;margin-top:-85.25pt;height:841.15pt;width:595.1pt;z-index:25167872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14" o:spid="_x0000_s2069" o:spt="202" type="#_x0000_t202" style="position:absolute;left:0pt;margin-left:205.45pt;margin-top:-18.75pt;height:31.45pt;width:30.15pt;mso-position-horizontal-relative:margin;z-index:2518906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DvRNJYbQIAABMFAAAOAAAAAAAAAAAA&#10;AAAAAC4CAABkcnMvZTJvRG9jLnhtbFBLAQItABQABgAIAAAAIQBPXJfA4QAAAAoBAAAPAAAAAAAA&#10;AAAAAAAAAMcEAABkcnMvZG93bnJldi54bWxQSwUGAAAAAAQABADzAAAA1Q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2056" o:spt="202" type="#_x0000_t202" style="position:absolute;left:0pt;margin-left:209.15pt;margin-top:-6pt;height:18.7pt;width:144pt;mso-position-horizontal-relative:margin;mso-wrap-style:none;z-index:252830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- 29 -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2093" o:spt="202" type="#_x0000_t202" style="position:absolute;left:0pt;margin-left:209.65pt;margin-top:-12.95pt;height:14.3pt;width:30.6pt;mso-position-horizontal-relative:margin;z-index:25188761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2092" o:spt="202" type="#_x0000_t202" style="position:absolute;left:0pt;margin-left:206.55pt;margin-top:-22.45pt;height:35.15pt;width:34pt;mso-position-horizontal-relative:margin;z-index:25188864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9.15pt;margin-top:-6pt;height:18.7pt;width:144pt;mso-position-horizontal-relative:margin;mso-wrap-style:none;z-index:2518896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BPE7n0awIAABA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59264;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82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1" o:spid="_x0000_s2081" o:spt="203" style="position:absolute;left:0pt;margin-left:0pt;margin-top:0pt;height:37.85pt;width:594.8pt;mso-position-horizontal-relative:page;mso-position-vertical-relative:page;z-index:25175449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84"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83"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82"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8" o:spid="_x0000_s2078" o:spt="203" style="position:absolute;left:0pt;margin-left:-2.15pt;margin-top:47.15pt;height:32pt;width:235.7pt;mso-position-horizontal-relative:page;mso-position-vertical-relative:page;z-index:25175552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80" o:spid="_x0000_s2080"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9"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4" o:spid="_x0000_s2074" o:spt="203" style="position:absolute;left:0pt;margin-top:29.75pt;height:32pt;width:157.5pt;mso-position-horizontal:left;mso-position-horizontal-relative:page;mso-position-vertical-relative:page;z-index:25175756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76" o:spid="_x0000_s207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75"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0" o:spid="_x0000_s2070" o:spt="203" style="position:absolute;left:0pt;margin-left:0pt;margin-top:0pt;height:58.95pt;width:596.5pt;mso-position-horizontal-relative:page;mso-position-vertical-relative:page;z-index:25175654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73"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72"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1"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283481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2.5pt;margin-top:28.75pt;height:35.25pt;width:594.8pt;mso-position-horizontal-relative:page;mso-position-vertical-relative:page;z-index:25283174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63"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left:0pt;margin-top:29.75pt;height:32pt;width:280pt;mso-position-horizontal-relative:page;mso-position-vertical-relative:page;z-index:25283276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9" o:spid="_x0000_s2059"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8"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2" o:spid="_x0000_s2052" o:spt="203" style="position:absolute;left:0pt;margin-left:0pt;margin-top:0pt;height:38.05pt;width:596.5pt;mso-position-horizontal-relative:page;mso-position-vertical-relative:page;z-index:25189171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55"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4"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3"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49" o:spid="_x0000_s2049" o:spt="203" style="position:absolute;left:0pt;margin-top:29.75pt;height:32pt;width:254.25pt;mso-position-horizontal:left;mso-position-horizontal-relative:page;mso-position-vertical-relative:page;z-index:25189273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1" o:spid="_x0000_s2051"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0"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7" o:spid="_x0000_s2097" o:spt="203" style="position:absolute;left:0pt;margin-left:0pt;margin-top:53.75pt;height:31.5pt;width:594.8pt;mso-position-horizontal-relative:page;mso-position-vertical-relative:page;z-index:25188556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00"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9"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8"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4" o:spid="_x0000_s2094" o:spt="203" style="position:absolute;left:0pt;margin-left:-2.15pt;margin-top:47.15pt;height:32pt;width:235.7pt;mso-position-horizontal-relative:page;mso-position-vertical-relative:page;z-index:25188659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6" o:spid="_x0000_s209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5"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706368;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70534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7807413C"/>
    <w:multiLevelType w:val="singleLevel"/>
    <w:tmpl w:val="7807413C"/>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46915"/>
    <w:rsid w:val="0007063E"/>
    <w:rsid w:val="00073392"/>
    <w:rsid w:val="00073F4E"/>
    <w:rsid w:val="00086C89"/>
    <w:rsid w:val="000A39FB"/>
    <w:rsid w:val="000F6833"/>
    <w:rsid w:val="001056FA"/>
    <w:rsid w:val="001144F1"/>
    <w:rsid w:val="00117746"/>
    <w:rsid w:val="00163F95"/>
    <w:rsid w:val="00180A9A"/>
    <w:rsid w:val="001829C0"/>
    <w:rsid w:val="00184809"/>
    <w:rsid w:val="00192112"/>
    <w:rsid w:val="001B0127"/>
    <w:rsid w:val="001C12D5"/>
    <w:rsid w:val="001C1588"/>
    <w:rsid w:val="001C69F7"/>
    <w:rsid w:val="001D6E7C"/>
    <w:rsid w:val="001D6F97"/>
    <w:rsid w:val="002229CB"/>
    <w:rsid w:val="00256F23"/>
    <w:rsid w:val="00260FFC"/>
    <w:rsid w:val="002650EC"/>
    <w:rsid w:val="00291785"/>
    <w:rsid w:val="002951C5"/>
    <w:rsid w:val="002A31FC"/>
    <w:rsid w:val="002A6C46"/>
    <w:rsid w:val="002B1CA5"/>
    <w:rsid w:val="002C19B5"/>
    <w:rsid w:val="003774C4"/>
    <w:rsid w:val="003922B2"/>
    <w:rsid w:val="003A4EE8"/>
    <w:rsid w:val="003B40B0"/>
    <w:rsid w:val="003B5885"/>
    <w:rsid w:val="003C2D7C"/>
    <w:rsid w:val="00401CFD"/>
    <w:rsid w:val="004341F1"/>
    <w:rsid w:val="00442CC2"/>
    <w:rsid w:val="00446244"/>
    <w:rsid w:val="00473C20"/>
    <w:rsid w:val="004A648E"/>
    <w:rsid w:val="004D61CB"/>
    <w:rsid w:val="004F002D"/>
    <w:rsid w:val="004F21BF"/>
    <w:rsid w:val="005011D6"/>
    <w:rsid w:val="00503F2E"/>
    <w:rsid w:val="00552226"/>
    <w:rsid w:val="00566120"/>
    <w:rsid w:val="00582E6D"/>
    <w:rsid w:val="005954D5"/>
    <w:rsid w:val="0059689A"/>
    <w:rsid w:val="005A53FA"/>
    <w:rsid w:val="005D1293"/>
    <w:rsid w:val="0061591C"/>
    <w:rsid w:val="00644D5F"/>
    <w:rsid w:val="00657F86"/>
    <w:rsid w:val="006727AD"/>
    <w:rsid w:val="00677C11"/>
    <w:rsid w:val="006842C0"/>
    <w:rsid w:val="00686B6F"/>
    <w:rsid w:val="00691425"/>
    <w:rsid w:val="006A516E"/>
    <w:rsid w:val="006B0830"/>
    <w:rsid w:val="006F381C"/>
    <w:rsid w:val="00716E2B"/>
    <w:rsid w:val="00736F5C"/>
    <w:rsid w:val="0075476E"/>
    <w:rsid w:val="00770F18"/>
    <w:rsid w:val="00773B74"/>
    <w:rsid w:val="0078290C"/>
    <w:rsid w:val="00790B74"/>
    <w:rsid w:val="007C06CA"/>
    <w:rsid w:val="007C3826"/>
    <w:rsid w:val="008163FB"/>
    <w:rsid w:val="0082605B"/>
    <w:rsid w:val="00826F54"/>
    <w:rsid w:val="00850F3B"/>
    <w:rsid w:val="00855C36"/>
    <w:rsid w:val="00857DBE"/>
    <w:rsid w:val="008701BC"/>
    <w:rsid w:val="00883D92"/>
    <w:rsid w:val="008A5362"/>
    <w:rsid w:val="008F21F1"/>
    <w:rsid w:val="008F221B"/>
    <w:rsid w:val="008F5A2D"/>
    <w:rsid w:val="009161D9"/>
    <w:rsid w:val="00921602"/>
    <w:rsid w:val="00925B40"/>
    <w:rsid w:val="00957EA1"/>
    <w:rsid w:val="00966E5B"/>
    <w:rsid w:val="009B4EF0"/>
    <w:rsid w:val="009D271F"/>
    <w:rsid w:val="00A36A17"/>
    <w:rsid w:val="00A929C2"/>
    <w:rsid w:val="00AD097F"/>
    <w:rsid w:val="00B52E61"/>
    <w:rsid w:val="00B844F4"/>
    <w:rsid w:val="00B86FBC"/>
    <w:rsid w:val="00BA06A1"/>
    <w:rsid w:val="00BA770A"/>
    <w:rsid w:val="00C054DE"/>
    <w:rsid w:val="00C14F7E"/>
    <w:rsid w:val="00C22080"/>
    <w:rsid w:val="00C365AA"/>
    <w:rsid w:val="00C403E0"/>
    <w:rsid w:val="00C679A9"/>
    <w:rsid w:val="00C7541C"/>
    <w:rsid w:val="00CA25B8"/>
    <w:rsid w:val="00CC0FAA"/>
    <w:rsid w:val="00CD0736"/>
    <w:rsid w:val="00D1570F"/>
    <w:rsid w:val="00D32830"/>
    <w:rsid w:val="00D51C43"/>
    <w:rsid w:val="00DA5760"/>
    <w:rsid w:val="00DB1737"/>
    <w:rsid w:val="00DB7153"/>
    <w:rsid w:val="00DB7F05"/>
    <w:rsid w:val="00DC2F28"/>
    <w:rsid w:val="00DC7043"/>
    <w:rsid w:val="00DE2332"/>
    <w:rsid w:val="00E028C3"/>
    <w:rsid w:val="00E14F77"/>
    <w:rsid w:val="00E3076B"/>
    <w:rsid w:val="00E36978"/>
    <w:rsid w:val="00E54102"/>
    <w:rsid w:val="00E55855"/>
    <w:rsid w:val="00E81FC8"/>
    <w:rsid w:val="00E82A1E"/>
    <w:rsid w:val="00EA05EC"/>
    <w:rsid w:val="00EA56DC"/>
    <w:rsid w:val="00EB5015"/>
    <w:rsid w:val="00EC06F4"/>
    <w:rsid w:val="00EE4E36"/>
    <w:rsid w:val="00F4688F"/>
    <w:rsid w:val="00F665F4"/>
    <w:rsid w:val="00F94CCC"/>
    <w:rsid w:val="00FD225F"/>
    <w:rsid w:val="04190726"/>
    <w:rsid w:val="05B00A30"/>
    <w:rsid w:val="085D0507"/>
    <w:rsid w:val="09EC1A78"/>
    <w:rsid w:val="0B011416"/>
    <w:rsid w:val="0B3F73B7"/>
    <w:rsid w:val="10293180"/>
    <w:rsid w:val="11173E4C"/>
    <w:rsid w:val="131950C0"/>
    <w:rsid w:val="15DC3C06"/>
    <w:rsid w:val="18A0799D"/>
    <w:rsid w:val="1C207AF1"/>
    <w:rsid w:val="1CBB124C"/>
    <w:rsid w:val="1ED240FE"/>
    <w:rsid w:val="212613B0"/>
    <w:rsid w:val="227E2362"/>
    <w:rsid w:val="22BF7518"/>
    <w:rsid w:val="22C34A26"/>
    <w:rsid w:val="2AA42505"/>
    <w:rsid w:val="2C237851"/>
    <w:rsid w:val="2D3D28C1"/>
    <w:rsid w:val="303F210E"/>
    <w:rsid w:val="31C2036A"/>
    <w:rsid w:val="320D02A5"/>
    <w:rsid w:val="348E566F"/>
    <w:rsid w:val="354E7052"/>
    <w:rsid w:val="367556B3"/>
    <w:rsid w:val="3A226944"/>
    <w:rsid w:val="3AEE6A48"/>
    <w:rsid w:val="3C1620AA"/>
    <w:rsid w:val="3CFE00C0"/>
    <w:rsid w:val="3D8F080F"/>
    <w:rsid w:val="3E531AC3"/>
    <w:rsid w:val="40A35473"/>
    <w:rsid w:val="414B5752"/>
    <w:rsid w:val="435176E4"/>
    <w:rsid w:val="43A2627B"/>
    <w:rsid w:val="43FD0789"/>
    <w:rsid w:val="44374D1C"/>
    <w:rsid w:val="44CE1FA4"/>
    <w:rsid w:val="45A61E55"/>
    <w:rsid w:val="45B50C41"/>
    <w:rsid w:val="487F73ED"/>
    <w:rsid w:val="498C450C"/>
    <w:rsid w:val="499F1D1E"/>
    <w:rsid w:val="4A347EAE"/>
    <w:rsid w:val="4B432AE3"/>
    <w:rsid w:val="4DE21D4A"/>
    <w:rsid w:val="50676E0F"/>
    <w:rsid w:val="52600405"/>
    <w:rsid w:val="529B4319"/>
    <w:rsid w:val="55EB63F4"/>
    <w:rsid w:val="563F35EB"/>
    <w:rsid w:val="57773DD6"/>
    <w:rsid w:val="578B79AB"/>
    <w:rsid w:val="58440DE2"/>
    <w:rsid w:val="5911257D"/>
    <w:rsid w:val="5ABB2DE5"/>
    <w:rsid w:val="5B5C596C"/>
    <w:rsid w:val="5CCD3FD5"/>
    <w:rsid w:val="5D5E3645"/>
    <w:rsid w:val="5D636AF0"/>
    <w:rsid w:val="5FDB2B61"/>
    <w:rsid w:val="61FA5F9D"/>
    <w:rsid w:val="6495419C"/>
    <w:rsid w:val="64CD6910"/>
    <w:rsid w:val="6789158D"/>
    <w:rsid w:val="67D81BA4"/>
    <w:rsid w:val="68F110CE"/>
    <w:rsid w:val="6AAF1C96"/>
    <w:rsid w:val="6E6C60AA"/>
    <w:rsid w:val="6F4A254B"/>
    <w:rsid w:val="6F671444"/>
    <w:rsid w:val="6FCE19FC"/>
    <w:rsid w:val="74380FC8"/>
    <w:rsid w:val="75681757"/>
    <w:rsid w:val="75A346A8"/>
    <w:rsid w:val="78EB443F"/>
    <w:rsid w:val="79B9382C"/>
    <w:rsid w:val="7A6858A9"/>
    <w:rsid w:val="7B043B76"/>
    <w:rsid w:val="7C041A6A"/>
    <w:rsid w:val="7E327570"/>
    <w:rsid w:val="7EB945D4"/>
    <w:rsid w:val="7ECB5790"/>
    <w:rsid w:val="7F550E3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3.png"/><Relationship Id="rId31" Type="http://schemas.openxmlformats.org/officeDocument/2006/relationships/image" Target="media/image2.png"/><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2020&#24180;&#20915;&#31639;\&#37096;&#38376;&#20915;&#31639;&#20844;&#24320;&#21046;&#22270;&#27169;&#26495;&#65288;&#20462;&#25913;&#29256;&#652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020&#24180;&#20915;&#31639;\&#37096;&#38376;&#20915;&#31639;&#20844;&#24320;&#21046;&#22270;&#27169;&#26495;&#65288;&#20462;&#25913;&#29256;&#6528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020&#24180;&#20915;&#31639;\&#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2"/>
          <c:h val="0.601993408970845"/>
        </c:manualLayout>
      </c:layout>
      <c:barChart>
        <c:barDir val="col"/>
        <c:grouping val="clustered"/>
        <c:varyColors val="0"/>
        <c:ser>
          <c:idx val="0"/>
          <c:order val="0"/>
          <c:tx>
            <c:strRef>
              <c:f>'[部门决算公开制图模板（修改版）.xlsx]收支与决算对比'!$A$5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'[部门决算公开制图模板（修改版）.xlsx]收支与决算对比'!$B$4:$C$4</c:f>
              <c:strCache>
                <c:ptCount val="2"/>
                <c:pt idx="0">
                  <c:v>财政拨款收入</c:v>
                </c:pt>
                <c:pt idx="1">
                  <c:v>财政拨款支出</c:v>
                </c:pt>
              </c:strCache>
            </c:strRef>
          </c:cat>
          <c:val>
            <c:numRef>
              <c:f>'[部门决算公开制图模板（修改版）.xlsx]收支与决算对比'!$B$5:$C$5</c:f>
              <c:numCache>
                <c:formatCode>General</c:formatCode>
                <c:ptCount val="2"/>
                <c:pt idx="0">
                  <c:v>588.92</c:v>
                </c:pt>
                <c:pt idx="1">
                  <c:v>592.790000000001</c:v>
                </c:pt>
              </c:numCache>
            </c:numRef>
          </c:val>
        </c:ser>
        <c:ser>
          <c:idx val="1"/>
          <c:order val="1"/>
          <c:tx>
            <c:strRef>
              <c:f>'[部门决算公开制图模板（修改版）.xlsx]收支与决算对比'!$A$6</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'[部门决算公开制图模板（修改版）.xlsx]收支与决算对比'!$B$4:$C$4</c:f>
              <c:strCache>
                <c:ptCount val="2"/>
                <c:pt idx="0">
                  <c:v>财政拨款收入</c:v>
                </c:pt>
                <c:pt idx="1">
                  <c:v>财政拨款支出</c:v>
                </c:pt>
              </c:strCache>
            </c:strRef>
          </c:cat>
          <c:val>
            <c:numRef>
              <c:f>'[部门决算公开制图模板（修改版）.xlsx]收支与决算对比'!$B$6:$C$6</c:f>
              <c:numCache>
                <c:formatCode>General</c:formatCode>
                <c:ptCount val="2"/>
                <c:pt idx="0">
                  <c:v>635.53</c:v>
                </c:pt>
                <c:pt idx="1">
                  <c:v>636.74</c:v>
                </c:pt>
              </c:numCache>
            </c:numRef>
          </c:val>
        </c:ser>
        <c:dLbls>
          <c:showLegendKey val="0"/>
          <c:showVal val="1"/>
          <c:showCatName val="0"/>
          <c:showSerName val="0"/>
          <c:showPercent val="0"/>
          <c:showBubbleSize val="0"/>
        </c:dLbls>
        <c:gapWidth val="75"/>
        <c:axId val="182793728"/>
        <c:axId val="182795648"/>
      </c:barChart>
      <c:catAx>
        <c:axId val="18279372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2795648"/>
        <c:crosses val="autoZero"/>
        <c:auto val="1"/>
        <c:lblAlgn val="ctr"/>
        <c:lblOffset val="100"/>
        <c:noMultiLvlLbl val="0"/>
      </c:catAx>
      <c:valAx>
        <c:axId val="18279564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2793728"/>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4"/>
        </c:manualLayout>
      </c:layout>
      <c:overlay val="0"/>
    </c:title>
    <c:autoTitleDeleted val="0"/>
    <c:plotArea>
      <c:layout>
        <c:manualLayout>
          <c:layoutTarget val="inner"/>
          <c:xMode val="edge"/>
          <c:yMode val="edge"/>
          <c:x val="0.100155074365704"/>
          <c:y val="0.0231156048675734"/>
          <c:w val="0.869289370078742"/>
          <c:h val="0.768818002863282"/>
        </c:manualLayout>
      </c:layout>
      <c:barChart>
        <c:barDir val="col"/>
        <c:grouping val="clustered"/>
        <c:varyColors val="0"/>
        <c:ser>
          <c:idx val="0"/>
          <c:order val="0"/>
          <c:tx>
            <c:strRef>
              <c:f>'[部门决算公开制图模板（修改版）.xlsx]收支与预算对比'!$A$5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'[部门决算公开制图模板（修改版）.xlsx]收支与预算对比'!$B$4:$C$4</c:f>
              <c:strCache>
                <c:ptCount val="2"/>
                <c:pt idx="0">
                  <c:v>财政拨款收入</c:v>
                </c:pt>
                <c:pt idx="1">
                  <c:v>财政拨款支出</c:v>
                </c:pt>
              </c:strCache>
            </c:strRef>
          </c:cat>
          <c:val>
            <c:numRef>
              <c:f>'[部门决算公开制图模板（修改版）.xlsx]收支与预算对比'!$B$5:$C$5</c:f>
              <c:numCache>
                <c:formatCode>General</c:formatCode>
                <c:ptCount val="2"/>
                <c:pt idx="0">
                  <c:v>485.75</c:v>
                </c:pt>
                <c:pt idx="1">
                  <c:v>485.75</c:v>
                </c:pt>
              </c:numCache>
            </c:numRef>
          </c:val>
        </c:ser>
        <c:ser>
          <c:idx val="1"/>
          <c:order val="1"/>
          <c:tx>
            <c:strRef>
              <c:f>'[部门决算公开制图模板（修改版）.xlsx]收支与预算对比'!$A$6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'[部门决算公开制图模板（修改版）.xlsx]收支与预算对比'!$B$4:$C$4</c:f>
              <c:strCache>
                <c:ptCount val="2"/>
                <c:pt idx="0">
                  <c:v>财政拨款收入</c:v>
                </c:pt>
                <c:pt idx="1">
                  <c:v>财政拨款支出</c:v>
                </c:pt>
              </c:strCache>
            </c:strRef>
          </c:cat>
          <c:val>
            <c:numRef>
              <c:f>'[部门决算公开制图模板（修改版）.xlsx]收支与预算对比'!$B$6:$C$6</c:f>
              <c:numCache>
                <c:formatCode>General</c:formatCode>
                <c:ptCount val="2"/>
                <c:pt idx="0">
                  <c:v>635.53</c:v>
                </c:pt>
                <c:pt idx="1">
                  <c:v>636.74</c:v>
                </c:pt>
              </c:numCache>
            </c:numRef>
          </c:val>
        </c:ser>
        <c:dLbls>
          <c:showLegendKey val="0"/>
          <c:showVal val="1"/>
          <c:showCatName val="0"/>
          <c:showSerName val="0"/>
          <c:showPercent val="0"/>
          <c:showBubbleSize val="0"/>
        </c:dLbls>
        <c:gapWidth val="75"/>
        <c:axId val="184240768"/>
        <c:axId val="184371456"/>
      </c:barChart>
      <c:catAx>
        <c:axId val="1842407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371456"/>
        <c:crosses val="autoZero"/>
        <c:auto val="1"/>
        <c:lblAlgn val="ctr"/>
        <c:lblOffset val="100"/>
        <c:noMultiLvlLbl val="0"/>
      </c:catAx>
      <c:valAx>
        <c:axId val="18437145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240768"/>
        <c:crosses val="autoZero"/>
        <c:crossBetween val="between"/>
      </c:valAx>
    </c:plotArea>
    <c:legend>
      <c:legendPos val="b"/>
      <c:layout>
        <c:manualLayout>
          <c:xMode val="edge"/>
          <c:yMode val="edge"/>
          <c:x val="0.34671828521435"/>
          <c:y val="0.848750340633652"/>
          <c:w val="0.339896544181979"/>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'[部门决算公开制图模板（修改版）.xlsx]支出决算结构'!$B$5:$B$23</c:f>
              <c:numCache>
                <c:formatCode>General</c:formatCode>
                <c:ptCount val="19"/>
                <c:pt idx="0">
                  <c:v>266.64</c:v>
                </c:pt>
                <c:pt idx="5">
                  <c:v>364.32</c:v>
                </c:pt>
                <c:pt idx="6">
                  <c:v>5.78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Info spid="_x0000_s2078"/>
    <customShpInfo spid="_x0000_s2076"/>
    <customShpInfo spid="_x0000_s2075"/>
    <customShpInfo spid="_x0000_s2074"/>
    <customShpInfo spid="_x0000_s2073"/>
    <customShpInfo spid="_x0000_s2072"/>
    <customShpInfo spid="_x0000_s2071"/>
    <customShpInfo spid="_x0000_s2070"/>
    <customShpInfo spid="_x0000_s2077"/>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5"/>
    <customShpInfo spid="_x0000_s2054"/>
    <customShpInfo spid="_x0000_s2053"/>
    <customShpInfo spid="_x0000_s2052"/>
    <customShpInfo spid="_x0000_s2051"/>
    <customShpInfo spid="_x0000_s2050"/>
    <customShpInfo spid="_x0000_s2049"/>
    <customShpInfo spid="_x0000_s2056"/>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F9F4AB-D343-4B83-9241-8B5A15EDDBD9}">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1704</Words>
  <Characters>9718</Characters>
  <Lines>80</Lines>
  <Paragraphs>22</Paragraphs>
  <TotalTime>90</TotalTime>
  <ScaleCrop>false</ScaleCrop>
  <LinksUpToDate>false</LinksUpToDate>
  <CharactersWithSpaces>11400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2024-01-03T02:04:09Z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