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g">
            <w:drawing>
              <wp:anchor distT="0" distB="0" distL="114300" distR="114300" simplePos="0" relativeHeight="251694080" behindDoc="1" locked="0" layoutInCell="1" allowOverlap="1">
                <wp:simplePos x="0" y="0"/>
                <wp:positionH relativeFrom="column">
                  <wp:posOffset>58420</wp:posOffset>
                </wp:positionH>
                <wp:positionV relativeFrom="paragraph">
                  <wp:posOffset>-641985</wp:posOffset>
                </wp:positionV>
                <wp:extent cx="7623175" cy="3765550"/>
                <wp:effectExtent l="0" t="0" r="15875" b="6350"/>
                <wp:wrapNone/>
                <wp:docPr id="21" name="组合 1"/>
                <wp:cNvGraphicFramePr/>
                <a:graphic xmlns:a="http://schemas.openxmlformats.org/drawingml/2006/main">
                  <a:graphicData uri="http://schemas.microsoft.com/office/word/2010/wordprocessingGroup">
                    <wpg:wgp>
                      <wpg:cNvGrpSpPr/>
                      <wpg:grpSpPr>
                        <a:xfrm>
                          <a:off x="-31750" y="0"/>
                          <a:ext cx="7623175" cy="3765295"/>
                          <a:chOff x="13622" y="283"/>
                          <a:chExt cx="12005" cy="6191"/>
                        </a:xfrm>
                        <a:effectLst/>
                      </wpg:grpSpPr>
                      <wps:wsp>
                        <wps:cNvPr id="22"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wps:wsp>
                      <wps:wsp>
                        <wps:cNvPr id="23" name="文本框 10"/>
                        <wps:cNvSpPr txBox="1"/>
                        <wps:spPr>
                          <a:xfrm>
                            <a:off x="17229" y="5021"/>
                            <a:ext cx="8083" cy="1453"/>
                          </a:xfrm>
                          <a:prstGeom prst="rect">
                            <a:avLst/>
                          </a:prstGeom>
                          <a:noFill/>
                          <a:ln>
                            <a:noFill/>
                          </a:ln>
                          <a:effectLst/>
                        </wps:spPr>
                        <wps:txbx>
                          <w:txbxContent>
                            <w:p>
                              <w:pPr>
                                <w:jc w:val="left"/>
                                <w:rPr>
                                  <w:b/>
                                  <w:bCs/>
                                  <w:color w:val="000000" w:themeColor="text1"/>
                                  <w:kern w:val="0"/>
                                  <w:sz w:val="92"/>
                                  <w:szCs w:val="92"/>
                                  <w14:textFill>
                                    <w14:solidFill>
                                      <w14:schemeClr w14:val="tx1"/>
                                    </w14:solidFill>
                                  </w14:textFill>
                                </w:rPr>
                              </w:pPr>
                              <w:r>
                                <w:rPr>
                                  <w:rFonts w:hint="eastAsia" w:ascii="思源黑体 HW Bold" w:hAnsi="思源黑体 HW Bold" w:eastAsia="思源黑体 HW Bold"/>
                                  <w:b/>
                                  <w:bCs/>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 o:spid="_x0000_s1026" o:spt="203" style="position:absolute;left:0pt;margin-left:4.6pt;margin-top:-50.55pt;height:296.5pt;width:600.25pt;z-index:-251622400;mso-width-relative:page;mso-height-relative:page;" coordorigin="13622,283" coordsize="12005,6191" o:gfxdata="UEsDBAoAAAAAAIdO4kAAAAAAAAAAAAAAAAAEAAAAZHJzL1BLAwQUAAAACACHTuJATG0L89oAAAAL&#10;AQAADwAAAGRycy9kb3ducmV2LnhtbE2Py2rDMBBF94X+g5hCd4kk92nX41BC21UINCmU7ib2xDax&#10;JGMpdvL3VVbtcriHe8/ki5PpxMiDb51F0HMFgm3pqtbWCF/b99kzCB/IVtQ5ywhn9rAorq9yyio3&#10;2U8eN6EWscT6jBCaEPpMSl82bMjPXc82Zns3GArxHGpZDTTFctPJRKlHaai1caGhnpcNl4fN0SB8&#10;TDS93um3cXXYL88/24f190oz4u2NVi8gAp/CHwwX/agORXTauaOtvOgQ0iSCCDOttAZxARKVPoHY&#10;IdynOgVZ5PL/D8UvUEsDBBQAAAAIAIdO4kBa9T4g1gIAAMYGAAAOAAAAZHJzL2Uyb0RvYy54bWy9&#10;Vctu1DAU3SPxD5b3bR7DPBo1U0GHdoOgUuEDPI7zkBzb2J5JukfAkhUrJAQ7JP4A8Tktv8G1k0yn&#10;Q5GqIjGLTPy6957HdQ6P2pqjNdOmkiLF0X6IERNUZpUoUvzq5cneDCNjicgIl4Kl+IIZfDR/+OCw&#10;UQmLZSl5xjSCIMIkjUpxaa1KgsDQktXE7EvFBCzmUtfEwlAXQaZJA9FrHsRhOAkaqTOlJWXGwOyi&#10;W8R9RH2XgDLPK8oWkq5qJmwXVTNOLEAyZaUMnvtq85xR+yLPDbOIpxiQWv+EJPC+dM9gfkiSQhNV&#10;VrQvgdylhB1MNakEJN2EWhBL0EpXf4SqK6qlkbndp7IOOiCeEUARhTvcnGq5Uh5LkTSF2pAOQu2w&#10;fu+w9Pn6TKMqS3EcYSRIDYr/+vHm8sN7FDlyGlUksOdUq3N1pvuJohs5vG2ua/cPSFCb4r1RNB0D&#10;txcbbllrEYWV6SR2axhRWBtNJ+P4YNyxT0uQyB2ORpM49mfj2WhYe9qfj8A7/elJdOBrC67TMy/1&#10;M2OhwsDVvCmxUWBTc82d+TfuzkuimJfEOF4G7qDsnrvP3y5/fkUemksNezbEmcQAh7ewdgvwgbYb&#10;sKfer1uwlTb2lMkauZcUa7C7dyFZ91SQZNji0hrJq+yk4twPdLE85hqtCbTGyeLJcTSQemMbF6gB&#10;aeJpCLJSAg2fQ6PBa63ANEYUGBFewE1Crfa5hXQZfF+53Atiyi6HD9vJWlcW7hBe1Smehe7npgEX&#10;F66yHTEH2hydS5ldAOfa8mPZdTQRtJTQ0C59J77X2zn3fwg/GoS/+vju6tP3qy9vUeTRbImPbPtE&#10;On+7At3832wwjeMD7/9xCN3oKRx8MAuhJXzvRI/Gvjnub4MthTrCNxN3kcC2y7bH0avRwPUJVni9&#10;IprhLW28y9TjlQVH9I05KOi7tBfK9ytcb94B/VXs7s/tsd9//fmZ/w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MbQvz2gAAAAsBAAAPAAAAAAAAAAEAIAAAACIAAABkcnMvZG93bnJldi54bWxQSwEC&#10;FAAUAAAACACHTuJAWvU+INYCAADGBgAADgAAAAAAAAABACAAAAApAQAAZHJzL2Uyb0RvYy54bWxQ&#10;SwUGAAAAAAYABgBZAQAAcQYAAAAA&#10;">
                <o:lock v:ext="edit" aspectratio="f"/>
                <v:rect id="矩形 5" o:spid="_x0000_s1026" o:spt="1" style="position:absolute;left:13622;top:283;height:6170;width:12005;v-text-anchor:middle;" fillcolor="#FDBC11" filled="t" stroked="f" coordsize="21600,21600" o:gfxdata="UEsDBAoAAAAAAIdO4kAAAAAAAAAAAAAAAAAEAAAAZHJzL1BLAwQUAAAACACHTuJApHHrLL0AAADb&#10;AAAADwAAAGRycy9kb3ducmV2LnhtbEWP3WoCMRSE74W+QziF3tXEBcWuRsGKUmgF3foAx81xd+nm&#10;ZE1Sf96+EQpeDjPzDTOdX20rzuRD41jDoK9AEJfONFxp2H+vXscgQkQ22DomDTcKMJ899aaYG3fh&#10;HZ2LWIkE4ZCjhjrGLpcylDVZDH3XESfv6LzFmKSvpPF4SXDbykypkbTYcFqosaP3msqf4tdq8MPC&#10;RnVabN5WDZWL9dfndrw8aP3yPFATEJGu8RH+b38YDVkG9y/pB8j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ces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文本框 10" o:spid="_x0000_s1026" o:spt="202" type="#_x0000_t202" style="position:absolute;left:17229;top:5021;height:1453;width:8083;" filled="f" stroked="f" coordsize="21600,21600" o:gfxdata="UEsDBAoAAAAAAIdO4kAAAAAAAAAAAAAAAAAEAAAAZHJzL1BLAwQUAAAACACHTuJA6w5g/bsAAADb&#10;AAAADwAAAGRycy9kb3ducmV2LnhtbEWPzWrDMBCE74G+g9hCb7HklJTgRgmlP5BDLk3c+2JtLVNr&#10;Zaxt7Lx9VSj0OMzMN8x2P4deXWhMXWQLZWFAETfRddxaqM9vyw2oJMgO+8hk4UoJ9rubxRYrFyd+&#10;p8tJWpUhnCq04EWGSuvUeAqYijgQZ+8zjgEly7HVbsQpw0OvV8Y86IAd5wWPAz17ar5O38GCiHsq&#10;r/VrSIeP+fgyedOssbb27rY0j6CEZvkP/7UPzsLqHn6/5B+gd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w5g/b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b/>
                            <w:bCs/>
                            <w:color w:val="000000" w:themeColor="text1"/>
                            <w:kern w:val="0"/>
                            <w:sz w:val="92"/>
                            <w:szCs w:val="92"/>
                            <w14:textFill>
                              <w14:solidFill>
                                <w14:schemeClr w14:val="tx1"/>
                              </w14:solidFill>
                            </w14:textFill>
                          </w:rPr>
                        </w:pPr>
                        <w:r>
                          <w:rPr>
                            <w:rFonts w:hint="eastAsia" w:ascii="思源黑体 HW Bold" w:hAnsi="思源黑体 HW Bold" w:eastAsia="思源黑体 HW Bold"/>
                            <w:b/>
                            <w:bCs/>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22"/>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1"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wps:wsp>
                      <wps:wsp>
                        <wps:cNvPr id="2"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wps:wsp>
                    </wpg:wgp>
                  </a:graphicData>
                </a:graphic>
              </wp:anchor>
            </w:drawing>
          </mc:Choice>
          <mc:Fallback>
            <w:pict>
              <v:group id="组合 22"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APFd/CmAIAAA4HAAAOAAAAZHJzL2Uyb0RvYy54bWzd&#10;Vc1u1DAQviPxDpbvND/d36jZSnTZXhBUKjyA6ziJJf/JdjfbOweOvAESN56h4nEqXoOxk01hqUQF&#10;ggN7yMYee76Z75uZnJzupEBbZh3XqsTZUYoRU1RXXDUlfvtm82yBkfNEVURoxUp8wxw+XT19ctKZ&#10;guW61aJiFoET5YrOlLj13hRJ4mjLJHFH2jAFxlpbSTwsbZNUlnTgXYokT9NZ0mlbGaspcw52170R&#10;Dx7tYxzquuaUrTW9lkz53qtlgnhIybXcOLyK0dY1o/51XTvmkSgxZOrjE0Dg/So8k9UJKRpLTMvp&#10;EAJ5TAgHOUnCFYCOrtbEE3Rt+U+uJKdWO137I6pl0icSGYEssvSAm3Orr03MpSm6xoykg1AHrP+2&#10;W/pqe2ERr6ASjjFSRILiX2/f3X14j/I8sNOZpoBD59Zcmgs7bDT9KiS8q60M/5AK2kVeb0Ze2c4j&#10;Cpvz6XQ5m08xomDL5/kkm/bE0xbUCdeyyQLgwZrNZsuISwravhjuZ9kyHW5P8mW4mtwDs6jyS+fD&#10;doh2DK4zUKHunjb3Z7RdtsSwqIYLjOxpG1n7+Pnuyyc060mLR0bGXOGAvAfoeijvPWtZlo9JLw6S&#10;Ntb5c6YlCi8ltlDnsfzIdiCCFPsjAdVpwasNFyIubHN1JizaEuiJzfr5WZYN3n84JhTqQI98nkKv&#10;UAKdXkOHwas0UC1ONRgR0cAIod5GbKUDAqjQY6+Ja3uM6DZAkEJyD8NDcFniRRp+A7JQwXog5Z61&#10;oOOVrm6AcevFme5bmSjaaujkAN9LH9UOFfsPZM8PZJ+HGAIyVMavZc9nKUzZodyPe2pG2dP5IjAO&#10;1kn+13TPNvlyum+l/0P32PwwJuN0GEZ6mMPfr+OIuP+Mrb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01yfJdoAAAAMAQAADwAAAAAAAAABACAAAAAiAAAAZHJzL2Rvd25yZXYueG1sUEsBAhQAFAAA&#10;AAgAh07iQA8V38KYAgAADgcAAA4AAAAAAAAAAQAgAAAAKQEAAGRycy9lMm9Eb2MueG1sUEsFBgAA&#10;AAAGAAYAWQEAADMGAAAAAA==&#10;">
                <o:lock v:ext="edit" aspectratio="f"/>
                <v:rect id="矩形 6" o:spid="_x0000_s1026" o:spt="1" style="position:absolute;left:1483;top:16692;height:428;width:1125;v-text-anchor:middle;" fillcolor="#FDBC11" filled="t" stroked="f" coordsize="21600,21600" o:gfxdata="UEsDBAoAAAAAAIdO4kAAAAAAAAAAAAAAAAAEAAAAZHJzL1BLAwQUAAAACACHTuJA2TZxLrkAAADa&#10;AAAADwAAAGRycy9kb3ducmV2LnhtbEVP22oCMRB9F/oPYQp900ShYlejYMUi2IJu/YBxM+4u3Uy2&#10;Sbz9vREEn4bDuc5kdrGNOJEPtWMN/Z4CQVw4U3OpYfe77I5AhIhssHFMGq4UYDZ96UwwM+7MWzrl&#10;sRQphEOGGqoY20zKUFRkMfRcS5y4g/MWY4K+lMbjOYXbRg6UGkqLNaeGClv6rKj4y49Wg3/PbVT/&#10;85+PZU3F/Ot7vRkt9lq/vfbVGESkS3yKH+6VSfPh/sr9yuk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k2cS65AAAA2g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3PsmqLcAAADa&#10;AAAADwAAAGRycy9kb3ducmV2LnhtbEWPSwvCMBCE74L/IazgTVMFRapRUBQ8ePEBXpdm+9BkU5pY&#10;9d8bQfA4zHwzzGL1ska01PjKsYLRMAFBnDldcaHgct4NZiB8QNZoHJOCN3lYLbudBabaPflI7SkU&#10;IpawT1FBGUKdSumzkiz6oauJo5e7xmKIsimkbvAZy62R4ySZSosVx4USa9qUlN1PD6tgHGaP9a26&#10;vk1tbi3mk/xw30ql+r1RMgcR6BX+4R+915GD75V4A+Ty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c+yaotwAAANoAAAAP&#10;AAAAAAAAAAEAIAAAACIAAABkcnMvZG93bnJldi54bWxQSwECFAAUAAAACACHTuJAMy8FnjsAAAA5&#10;AAAAEAAAAAAAAAABACAAAAAGAQAAZHJzL3NoYXBleG1sLnhtbFBLBQYAAAAABgAGAFsBAACwAwAA&#10;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Pr>
        <w:jc w:val="both"/>
        <w:rPr>
          <w:rFonts w:ascii="黑体" w:hAnsi="黑体" w:eastAsia="黑体" w:cs="黑体"/>
          <w:sz w:val="56"/>
          <w:szCs w:val="72"/>
        </w:rPr>
      </w:pPr>
      <w:r>
        <mc:AlternateContent>
          <mc:Choice Requires="wpg">
            <w:drawing>
              <wp:anchor distT="0" distB="0" distL="114300" distR="114300" simplePos="0" relativeHeight="251667456" behindDoc="1" locked="0" layoutInCell="1" allowOverlap="1">
                <wp:simplePos x="0" y="0"/>
                <wp:positionH relativeFrom="column">
                  <wp:posOffset>-374650</wp:posOffset>
                </wp:positionH>
                <wp:positionV relativeFrom="paragraph">
                  <wp:posOffset>685165</wp:posOffset>
                </wp:positionV>
                <wp:extent cx="7623175" cy="1534160"/>
                <wp:effectExtent l="0" t="0" r="15875" b="0"/>
                <wp:wrapNone/>
                <wp:docPr id="11" name="组合 4"/>
                <wp:cNvGraphicFramePr/>
                <a:graphic xmlns:a="http://schemas.openxmlformats.org/drawingml/2006/main">
                  <a:graphicData uri="http://schemas.microsoft.com/office/word/2010/wordprocessingGroup">
                    <wpg:wgp>
                      <wpg:cNvGrpSpPr/>
                      <wpg:grpSpPr>
                        <a:xfrm>
                          <a:off x="0" y="0"/>
                          <a:ext cx="7623175" cy="1534031"/>
                          <a:chOff x="13622" y="283"/>
                          <a:chExt cx="12005" cy="11180"/>
                        </a:xfrm>
                        <a:effectLst/>
                      </wpg:grpSpPr>
                      <wps:wsp>
                        <wps:cNvPr id="14"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wps:wsp>
                      <wps:wsp>
                        <wps:cNvPr id="16"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4" o:spid="_x0000_s1026" o:spt="203" style="position:absolute;left:0pt;margin-left:-29.5pt;margin-top:53.95pt;height:120.8pt;width:600.25pt;z-index:-251649024;mso-width-relative:page;mso-height-relative:page;" coordorigin="13622,283" coordsize="12005,11180" o:gfxdata="UEsDBAoAAAAAAIdO4kAAAAAAAAAAAAAAAAAEAAAAZHJzL1BLAwQUAAAACACHTuJAorooz9wAAAAM&#10;AQAADwAAAGRycy9kb3ducmV2LnhtbE2PwW7CMBBE75X6D9ZW6g1sF9KSNA6qUNsTQipUQr2ZeEki&#10;4nUUmwT+vubUHkczmnmTLy+2ZQP2vnGkQE4FMKTSmYYqBd+7j8kCmA+ajG4doYIrelgW93e5zowb&#10;6QuHbahYLCGfaQV1CF3GuS9rtNpPXYcUvaPrrQ5R9hU3vR5juW35kxDP3OqG4kKtO1zVWJ62Z6vg&#10;c9Tj20y+D+vTcXX92SWb/VqiUo8PUrwCC3gJf2G44Ud0KCLTwZ3JeNYqmCRp/BKiIV5SYLeEnMsE&#10;2EHBbJ4mwIuc/z9R/AJQSwMEFAAAAAgAh07iQJA857HWAgAAwgYAAA4AAABkcnMvZTJvRG9jLnht&#10;bL1VyW4TMRi+I/EOlu90lqyMOqloQ3tBUKnwAI7Hs0ge29hOJr0j4MiJExKCGxJvgHicltfgt2dp&#10;FIqoQCKHyXj7l2/xHB5ta442TJtKihRHByFGTFCZVaJI8Yvnpw/mGBlLREa4FCzFl8zgo8X9e4eN&#10;SlgsS8kzphEEESZpVIpLa1USBIaWrCbmQComYDGXuiYWhroIMk0aiF7zIA7DadBInSktKTMGZpft&#10;Iu4i6rsElHleUbaUdF0zYduomnFioSVTVsrgha82zxm1z/LcMIt4iqFT65+QBN5X7hksDklSaKLK&#10;inYlkLuUsNdTTSoBSYdQS2IJWuvql1B1RbU0MrcHVNZB24hHBLqIwj1szrRcK99LkTSFGkAHovZQ&#10;/+uw9OnmXKMqAyVEGAlSA+M/vr26evcWjR04jSoS2HOm1YU6191E0Y5cv9tc1+4fOkFbD+vlACvb&#10;WkRhcjaNR9FsghGFtWgyGoejqAWelsCOOxeNpnGMEazH81G/9rg7H4Fs+tNRNPekBTepmaf5ibFQ&#10;XeDqHcprFEjU3OBm/g23i5Io5ukwDpMet/GA28cvV98/o0mLm98zgGYSA/jdgtgtnfe47fQ9jWb7&#10;bStt7BmTNXIvKdYgda9AsumgIEm/xaU1klfZacW5H+hidcI12hCwxeny+ATId+jtbeMCNcBNPAvB&#10;LpSA2XMwGbzWCgRjRIER4QXcItRqn1tIlwEitbmXxJRtDp+95bWuLNwfvKpTPA/dr8vMhTu2R2YP&#10;m2NyJbNLwFxbfiJbNxNBSwlmdulb8j3fTrX/g/hpT/z1+zfXH75ef3qNIt+NSw8CceQjuz2WTuCu&#10;QDf/OxnM4vihN8AkjDt39DqYh+AJb57peBx3cPXG6zm+owx2GGoBHyaA/D9SYLerbddHx0YDVydI&#10;4eWaaIZ3uPEqU4/WFhTRGbNn0Lu0I8r7Fa42r73uGnZ35+7Y77/59Cx+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KK6KM/cAAAADAEAAA8AAAAAAAAAAQAgAAAAIgAAAGRycy9kb3ducmV2LnhtbFBL&#10;AQIUABQAAAAIAIdO4kCQPOex1gIAAMIGAAAOAAAAAAAAAAEAIAAAACsBAABkcnMvZTJvRG9jLnht&#10;bFBLBQYAAAAABgAGAFkBAABzBgAAAAA=&#10;">
                <o:lock v:ext="edit" aspectratio="f"/>
                <v:rect id="矩形 5" o:spid="_x0000_s1026" o:spt="1" style="position:absolute;left:13622;top:283;height:6170;width:12005;v-text-anchor:middle;" fillcolor="#FDBC11" filled="t" stroked="f" coordsize="21600,21600" o:gfxdata="UEsDBAoAAAAAAIdO4kAAAAAAAAAAAAAAAAAEAAAAZHJzL1BLAwQUAAAACACHTuJAirgcfrsAAADb&#10;AAAADwAAAGRycy9kb3ducmV2LnhtbEVP22oCMRB9F/yHMELf3ERpi12NghZFqAXd9gOmm3F3cTNZ&#10;k1Tt3zdCoW9zONeZLW62FRfyoXGsYZQpEMSlMw1XGj4/1sMJiBCRDbaOScMPBVjM+70Z5sZd+UCX&#10;IlYihXDIUUMdY5dLGcqaLIbMdcSJOzpvMSboK2k8XlO4beVYqWdpseHUUGNHq5rKU/FtNfinwkZ1&#10;Xr6/rBsql5vd237y+qX1w2CkpiAi3eK/+M+9NWn+I9x/SQfI+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rgcfrsAAADb&#10;AAAADwAAAAAAAAABACAAAAAiAAAAZHJzL2Rvd25yZXYueG1sUEsBAhQAFAAAAAgAh07iQDMvBZ47&#10;AAAAOQAAABAAAAAAAAAAAQAgAAAACgEAAGRycy9zaGFwZXhtbC54bWxQSwUGAAAAAAYABgBbAQAA&#10;tAM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NRUJ2LkAAADb&#10;AAAADwAAAGRycy9kb3ducmV2LnhtbEVPTWvCQBC9F/oflil4q7sRlBJdpbQVPHipjfchO2ZDs7Mh&#10;OzXx37uFQm/zeJ+z2U2hU1caUhvZQjE3oIjr6FpuLFRf++cXUEmQHXaRycKNEuy2jw8bLF0c+ZOu&#10;J2lUDuFUogUv0pdap9pTwDSPPXHmLnEIKBkOjXYDjjk8dHphzEoHbDk3eOzpzVP9ffoJFkTca3Gr&#10;PkI6nKfj++hNvcTK2tlTYdaghCb5F/+5Dy7PX8HvL/kAvb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UVCdi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p>
    <w:p>
      <w:pPr>
        <w:rPr>
          <w:rFonts w:ascii="黑体" w:hAnsi="Times New Roman" w:eastAsia="黑体" w:cs="Times New Roman"/>
          <w:sz w:val="48"/>
          <w:szCs w:val="48"/>
        </w:rPr>
      </w:pPr>
      <w:r>
        <mc:AlternateContent>
          <mc:Choice Requires="wpg">
            <w:drawing>
              <wp:anchor distT="0" distB="0" distL="114300" distR="114300" simplePos="0" relativeHeight="251695104" behindDoc="0" locked="0" layoutInCell="1" allowOverlap="1">
                <wp:simplePos x="0" y="0"/>
                <wp:positionH relativeFrom="column">
                  <wp:posOffset>-980440</wp:posOffset>
                </wp:positionH>
                <wp:positionV relativeFrom="paragraph">
                  <wp:posOffset>8764905</wp:posOffset>
                </wp:positionV>
                <wp:extent cx="7559675" cy="272415"/>
                <wp:effectExtent l="0" t="0" r="3175" b="13335"/>
                <wp:wrapNone/>
                <wp:docPr id="24" name="组合 13"/>
                <wp:cNvGraphicFramePr/>
                <a:graphic xmlns:a="http://schemas.openxmlformats.org/drawingml/2006/main">
                  <a:graphicData uri="http://schemas.microsoft.com/office/word/2010/wordprocessingGroup">
                    <wpg:wgp>
                      <wpg:cNvGrpSpPr/>
                      <wpg:grpSpPr>
                        <a:xfrm>
                          <a:off x="-8255" y="10292715"/>
                          <a:ext cx="7559675" cy="272415"/>
                          <a:chOff x="1483" y="16692"/>
                          <a:chExt cx="11905" cy="429"/>
                        </a:xfrm>
                        <a:effectLst/>
                      </wpg:grpSpPr>
                      <wps:wsp>
                        <wps:cNvPr id="25"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wps:wsp>
                      <wps:wsp>
                        <wps:cNvPr id="26"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wps:wsp>
                    </wpg:wgp>
                  </a:graphicData>
                </a:graphic>
              </wp:anchor>
            </w:drawing>
          </mc:Choice>
          <mc:Fallback>
            <w:pict>
              <v:group id="组合 13" o:spid="_x0000_s1026" o:spt="203" style="position:absolute;left:0pt;margin-left:-77.2pt;margin-top:690.15pt;height:21.45pt;width:595.25pt;z-index:251695104;mso-width-relative:page;mso-height-relative:page;" coordorigin="1483,16692" coordsize="11905,429" o:gfxdata="UEsDBAoAAAAAAIdO4kAAAAAAAAAAAAAAAAAEAAAAZHJzL1BLAwQUAAAACACHTuJAOyhJp90AAAAP&#10;AQAADwAAAGRycy9kb3ducmV2LnhtbE2PwWrDMAyG74O9g9Fgt9Z2kpaSxSmjbDuVwdrB2E2N1SQ0&#10;tkPsJu3bzz2tN4n/49enYn0xHRtp8K2zCuRcACNbOd3aWsH3/n22AuYDWo2ds6TgSh7W5eNDgbl2&#10;k/2icRdqFkusz1FBE0Kfc+6rhgz6uevJxuzoBoMhrkPN9YBTLDcdT4RYcoOtjRca7GnTUHXanY2C&#10;jwmn11S+jdvTcXP93S8+f7aSlHp+kuIFWKBL+Ifhph/VoYxOB3e22rNOwUwusiyyMUlXIgV2Y0S6&#10;lMAOccqSNAFeFvz+j/IPUEsDBBQAAAAIAIdO4kCw1qt+pAIAABsHAAAOAAAAZHJzL2Uyb0RvYy54&#10;bWzdVUtu2zAQ3RfoHQjuE0mMLdlC5ACN62yKNkDaAzAU9QEokiAZy9l30WVvUKC7niHocYJeo0NK&#10;clo3i6BFNvVC5mc0M++9mdHp2a4TaMuNbZUscHIcY8QlU2Ur6wJ/eL85WmBkHZUlFUryAt9yi89W&#10;L1+c9jrnRDVKlNwgcCJt3usCN87pPIosa3hH7bHSXMJlpUxHHWxNHZWG9uC9ExGJ4zTqlSm1UYxb&#10;C6fr4RKPHs1THKqqahlfK3bTcekGr4YL6gCSbVpt8SpkW1WcuXdVZblDosCA1IUnBIH1tX9Gq1Oa&#10;14bqpmVjCvQpKRxg6mgrIeje1Zo6im5M+4errmVGWVW5Y6a6aAASGAEUSXzAzYVRNzpgqfO+1nvS&#10;QagD1v/aLXu7vTSoLQtMZhhJ2oHiP+4+3n/+hJITz06v6xyMLoy+0pdmPKiHnQe8q0zn/wEK2hX4&#10;aEHmc4xuobJisiRZMh8o5juHGNxn8/kyzcCCgQnJyGwyYA0I5T0ks8XJ4CBNl2R4mzWvx/eTZBmP&#10;b8/I0t9GDznwIPgb6/yxT3yfZ6+hWO0Dg/bfGLxqqOZBGOvJmRiExEYGv3y7//4VpT4/Hxps9uzZ&#10;3AKRj1D3GPCJtiQhe9SLA9TaWHfBVYf8osAGaj6UIt2OTNB8MvFRrRJtuWmFCBtTX58Lg7YU+mOz&#10;fnWeJKP338yERD0oQ7IY+oZR6PoKug2WnYbKsbLGiIoaxglzJsSWykcA9EPsNbXNECO49SFo3rUO&#10;BolouwIvYv8bIwvpbw+0nFjzbF6r8hYoN06cq6GtqWSNgq724Qftg9wD+c+ve3qge+aTeLLuJI1h&#10;5PqOgYIPPQfop3KPs4WnHG5n5NmETzZkOZ+a6f8QPrQ/zMwwH8b57ofyr/swJB6+aau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GgUAAFtDb250&#10;ZW50X1R5cGVzXS54bWxQSwECFAAKAAAAAACHTuJAAAAAAAAAAAAAAAAABgAAAAAAAAAAABAAAAD8&#10;AwAAX3JlbHMvUEsBAhQAFAAAAAgAh07iQIoUZjzRAAAAlAEAAAsAAAAAAAAAAQAgAAAAIAQAAF9y&#10;ZWxzLy5yZWxzUEsBAhQACgAAAAAAh07iQAAAAAAAAAAAAAAAAAQAAAAAAAAAAAAQAAAAAAAAAGRy&#10;cy9QSwECFAAUAAAACACHTuJAOyhJp90AAAAPAQAADwAAAAAAAAABACAAAAAiAAAAZHJzL2Rvd25y&#10;ZXYueG1sUEsBAhQAFAAAAAgAh07iQLDWq36kAgAAGwcAAA4AAAAAAAAAAQAgAAAALAEAAGRycy9l&#10;Mm9Eb2MueG1sUEsFBgAAAAAGAAYAWQEAAEIGAAAAAA==&#10;">
                <o:lock v:ext="edit" aspectratio="f"/>
                <v:rect id="矩形 6" o:spid="_x0000_s1026" o:spt="1" style="position:absolute;left:1483;top:16692;height:428;width:1125;v-text-anchor:middle;" fillcolor="#FDBC11" filled="t" stroked="f" coordsize="21600,21600" o:gfxdata="UEsDBAoAAAAAAIdO4kAAAAAAAAAAAAAAAAAEAAAAZHJzL1BLAwQUAAAACACHTuJAK5hzWL0AAADb&#10;AAAADwAAAGRycy9kb3ducmV2LnhtbEWP3WoCMRSE7wXfIRzBO00UFLs1CipKoRXstg9wujndXbo5&#10;WZP49/aNIHg5zMw3zHx5tY04kw+1Yw2joQJBXDhTc6nh+2s7mIEIEdlg45g03CjActHtzDEz7sKf&#10;dM5jKRKEQ4YaqhjbTMpQVGQxDF1LnLxf5y3GJH0pjcdLgttGjpWaSos1p4UKW1pXVPzlJ6vBT3Ib&#10;1XG1f9nWVKx2H++H2eZH635vpF5BRLrGZ/jRfjMaxhO4f0k/QC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mHNY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4XL4rgAAADb&#10;AAAADwAAAGRycy9kb3ducmV2LnhtbEWPSwvCMBCE74L/IazgTVMFRapRUBQ8ePEBXpdm+9BkU5pY&#10;9d8bQfA4zHwzzGL1ska01PjKsYLRMAFBnDldcaHgct4NZiB8QNZoHJOCN3lYLbudBabaPflI7SkU&#10;IpawT1FBGUKdSumzkiz6oauJo5e7xmKIsimkbvAZy62R4ySZSosVx4USa9qUlN1PD6tgHGaP9a26&#10;vk1tbi3mk/xw30ql+r1RMgcR6BX+4R+915GbwvdL/AFy+Q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4XL4rgAAADbAAAA&#10;DwAAAAAAAAABACAAAAAiAAAAZHJzL2Rvd25yZXYueG1sUEsBAhQAFAAAAAgAh07iQDMvBZ47AAAA&#10;OQAAABAAAAAAAAAAAQAgAAAABwEAAGRycy9zaGFwZXhtbC54bWxQSwUGAAAAAAYABgBbAQAAsQMA&#10;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313690</wp:posOffset>
                </wp:positionH>
                <wp:positionV relativeFrom="paragraph">
                  <wp:posOffset>7126605</wp:posOffset>
                </wp:positionV>
                <wp:extent cx="5132705" cy="1015365"/>
                <wp:effectExtent l="0" t="0" r="0" b="0"/>
                <wp:wrapNone/>
                <wp:docPr id="3"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b/>
                                <w:bCs/>
                                <w:color w:val="000000" w:themeColor="text1"/>
                                <w:kern w:val="0"/>
                                <w:sz w:val="44"/>
                                <w:szCs w:val="44"/>
                                <w14:textFill>
                                  <w14:solidFill>
                                    <w14:schemeClr w14:val="tx1"/>
                                  </w14:solidFill>
                                </w14:textFill>
                              </w:rPr>
                            </w:pPr>
                            <w:r>
                              <w:rPr>
                                <w:rFonts w:hint="eastAsia" w:ascii="楷体_GB2312" w:hAnsi="楷体_GB2312" w:eastAsia="楷体_GB2312" w:cs="楷体_GB2312"/>
                                <w:b/>
                                <w:bCs/>
                                <w:color w:val="000000" w:themeColor="text1"/>
                                <w:kern w:val="0"/>
                                <w:sz w:val="44"/>
                                <w:szCs w:val="44"/>
                                <w14:textFill>
                                  <w14:solidFill>
                                    <w14:schemeClr w14:val="tx1"/>
                                  </w14:solidFill>
                                </w14:textFill>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24.7pt;margin-top:561.15pt;height:79.95pt;width:404.15pt;z-index:251664384;mso-width-relative:page;mso-height-relative:page;" filled="f" stroked="f" coordsize="21600,21600" o:gfxdata="UEsDBAoAAAAAAIdO4kAAAAAAAAAAAAAAAAAEAAAAZHJzL1BLAwQUAAAACACHTuJAmUbM99kAAAAM&#10;AQAADwAAAGRycy9kb3ducmV2LnhtbE2Py07DMBBF90j8gzVI7Kgd09I0xKkQD4lFN5Swn8ZuHBHb&#10;Uew26d8zrGA5d47unCm3s+vZ2YyxC15BthDAjG+C7nyroP58u8uBxYReYx+8UXAxEbbV9VWJhQ6T&#10;/zDnfWoZlfhYoAKb0lBwHhtrHMZFGIyn3TGMDhONY8v1iBOVu55LIR64w87TBYuDebam+d6fnIKU&#10;9FN2qV9dfP+ady+TFc0Ka6VubzLxCCyZOf3B8KtP6lCR0yGcvI6sV7DcLImkPJPyHhgR+Wq9Bnag&#10;SOZSAq9K/v+J6gdQSwMEFAAAAAgAh07iQJ1p5rDGAQAAhQMAAA4AAABkcnMvZTJvRG9jLnhtbK1T&#10;Ta7TMBDeI3EHy3uapFUfKGr6BFSPDQKkBwdwnUljyX943Ca9ANyAFRv2nKvnYOyUFh6bt2Dj2PPz&#10;zXzfTFa3o9HsAAGVsw2vZiVnYKVrld01/NPHu2cvOMMobCu0s9DwIyC/XT99shp8DXPXO91CYARi&#10;sR58w/sYfV0UKHswAmfOgyVn54IRkZ5hV7RBDIRudDEvy5ticKH1wUlAJOtmcvIzYngMoOs6JWHj&#10;5N6AjRNqAC0iUcJeeeTr3G3XgYzvuw4hMt1wYhrzSUXovk1nsV6JeheE75U8tyAe08IDTkYoS0Uv&#10;UBsRBdsH9Q+UUTI4dF2cSWeKiUhWhFhU5QNt7nvhIXMhqdFfRMf/ByvfHT4EptqGLzizwtDAT9++&#10;nr7/PP34wqqsz+CxprB7T4FxfOVG2pqkW7IjGRPtsQsmfYkQIz+pe7yoC2NkkozLajF/Xi45k+Sr&#10;ymq5uFkmnOKa7gPGN+AMS5eGBxpfVlUc3mKcQn+HpGrW3Smt8wi1/ctAmJMF8g6cs68dp1sct+OZ&#10;xta1R2I30B40HD/vRQDOQtSvXV6bBI3+5T5SvdxGSp9yqP30oOlkIudNSuP/852jrn/P+h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ZRsz32QAAAAwBAAAPAAAAAAAAAAEAIAAAACIAAABkcnMvZG93&#10;bnJldi54bWxQSwECFAAUAAAACACHTuJAnWnmsMYBAACFAwAADgAAAAAAAAABACAAAAAoAQAAZHJz&#10;L2Uyb0RvYy54bWxQSwUGAAAAAAYABgBZAQAAYAUAAAAA&#10;">
                <v:fill on="f" focussize="0,0"/>
                <v:stroke on="f"/>
                <v:imagedata o:title=""/>
                <o:lock v:ext="edit" aspectratio="f"/>
                <v:textbox style="mso-fit-shape-to-text:t;">
                  <w:txbxContent>
                    <w:p>
                      <w:pPr>
                        <w:jc w:val="center"/>
                        <w:rPr>
                          <w:rFonts w:ascii="楷体_GB2312" w:hAnsi="楷体_GB2312" w:eastAsia="楷体_GB2312" w:cs="楷体_GB2312"/>
                          <w:b/>
                          <w:bCs/>
                          <w:color w:val="000000" w:themeColor="text1"/>
                          <w:kern w:val="0"/>
                          <w:sz w:val="44"/>
                          <w:szCs w:val="44"/>
                          <w14:textFill>
                            <w14:solidFill>
                              <w14:schemeClr w14:val="tx1"/>
                            </w14:solidFill>
                          </w14:textFill>
                        </w:rPr>
                      </w:pPr>
                      <w:r>
                        <w:rPr>
                          <w:rFonts w:hint="eastAsia" w:ascii="楷体_GB2312" w:hAnsi="楷体_GB2312" w:eastAsia="楷体_GB2312" w:cs="楷体_GB2312"/>
                          <w:b/>
                          <w:bCs/>
                          <w:color w:val="000000" w:themeColor="text1"/>
                          <w:kern w:val="0"/>
                          <w:sz w:val="44"/>
                          <w:szCs w:val="44"/>
                          <w14:textFill>
                            <w14:solidFill>
                              <w14:schemeClr w14:val="tx1"/>
                            </w14:solidFill>
                          </w14:textFill>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-332740</wp:posOffset>
                </wp:positionH>
                <wp:positionV relativeFrom="paragraph">
                  <wp:posOffset>1310640</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wps:wsp>
                  </a:graphicData>
                </a:graphic>
              </wp:anchor>
            </w:drawing>
          </mc:Choice>
          <mc:Fallback>
            <w:pict>
              <v:shape id="椭圆 8" o:spid="_x0000_s1026" o:spt="3" type="#_x0000_t3" style="position:absolute;left:0pt;margin-left:-26.2pt;margin-top:103.2pt;height:121.95pt;width:121.95pt;z-index:251661312;v-text-anchor:middle;mso-width-relative:page;mso-height-relative:page;" fillcolor="#FFFFFF" filled="t" stroked="f" coordsize="21600,21600" o:gfxdata="UEsDBAoAAAAAAIdO4kAAAAAAAAAAAAAAAAAEAAAAZHJzL1BLAwQUAAAACACHTuJAR3d869oAAAAL&#10;AQAADwAAAGRycy9kb3ducmV2LnhtbE2PTU/DMAyG70j8h8hI3LakZR1Q6k6IMQnEaYMLt6wxbbXE&#10;qZrsA3492Qlutvzo9fNWi5Oz4kBj6D0jZFMFgrjxpucW4eN9NbkDEaJmo61nQvimAIv68qLSpfFH&#10;XtNhE1uRQjiUGqGLcSilDE1HToepH4jT7cuPTse0jq00oz6mcGdlrtRcOt1z+tDpgZ46anabvUP4&#10;XPLzm3pxq59H+bq+XVqlAu8Qr68y9QAi0in+wXDWT+pQJ6et37MJwiJMinyWUIRczdNwJu6zAsQW&#10;YVaoG5B1Jf93qH8BUEsDBBQAAAAIAIdO4kDoBvEu9gEAAOMDAAAOAAAAZHJzL2Uyb0RvYy54bWyt&#10;U0tu2zAQ3RfoHQjua8lG27iC5SxiuJsiCZD2AGOKkgjwBw5jyRfIKbrMtsdqz9EhpThtusmiWlAz&#10;5PDNvDfDzeVoNDvKgMrZmi8XJWfSCtco29X829f9uzVnGME2oJ2VNT9J5Jfbt282g6/kyvVONzIw&#10;ArFYDb7mfYy+KgoUvTSAC+elpcPWBQOR3NAVTYCB0I0uVmX5sRhcaHxwQiLS7m465DNieA2ga1sl&#10;5M6JeyNtnFCD1BCJEvbKI9/mattWinjTtigj0zUnpjGvlITsQ1qL7QaqLoDvlZhLgNeU8IKTAWUp&#10;6RlqBxHYfVD/QBklgkPXxoVwppiIZEWIxbJ8oc1dD15mLiQ1+rPo+P9gxfXxNjDV1PwTZxYMNfzX&#10;44+f3x/YOmkzeKwo5M7fhtlDMhPRsQ0m/YkCG7Oep7OecoxM0Obyw/v1xWrJmaCzJ4dwiufrPmD8&#10;LJ1hyai51JralzhDBccvGKfop6i0jU6rZq+0zk7oDlc6sCNQf/f5S2VTgr/CtGUDVbC6KKnvAmhq&#10;W5oWMo0n5mg7zkB39BxEDDm3dSkDIUGVcu8A+ylHhp2mxqhID0ErU/N1mb45s7bpmszDNzNIMk7C&#10;JSuOh5Ggk3lwzYn0D1FfuWlCwYre0YCmShKTFEW9z5zmOU3D9aefo57f5vY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R3d869oAAAALAQAADwAAAAAAAAABACAAAAAiAAAAZHJzL2Rvd25yZXYueG1s&#10;UEsBAhQAFAAAAAgAh07iQOgG8S72AQAA4wMAAA4AAAAAAAAAAQAgAAAAKQEAAGRycy9lMm9Eb2Mu&#10;eG1sUEsFBgAAAAAGAAYAWQEAAJE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-585470</wp:posOffset>
                </wp:positionH>
                <wp:positionV relativeFrom="paragraph">
                  <wp:posOffset>1602740</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46.1pt;margin-top:126.2pt;height:69.6pt;width:160.65pt;z-index:251666432;mso-width-relative:page;mso-height-relative:page;" filled="f" stroked="f" coordsize="21600,21600" o:gfxdata="UEsDBAoAAAAAAIdO4kAAAAAAAAAAAAAAAAAEAAAAZHJzL1BLAwQUAAAACACHTuJADD+NhtsAAAAL&#10;AQAADwAAAGRycy9kb3ducmV2LnhtbE2Py07DMBBF90j8gzVIbFBrx5S0CZl0UUBquyP0A5zYJKHx&#10;OIrdB3+PWcFydI/uPVOsr3ZgZzP53hFCMhfADDVO99QiHD7eZitgPijSanBkEL6Nh3V5e1OoXLsL&#10;vZtzFVoWS8jnCqELYcw5901nrPJzNxqK2aebrArxnFquJ3WJ5XbgUoiUW9VTXOjUaDadaY7VySLs&#10;9ov9YbPlX8esf3nYLivB6/QV8f4uEc/AgrmGPxh+9aM6lNGpdifSng0Is0zKiCLIJ7kAFgkpswRY&#10;jfCYJSnwsuD/fyh/AFBLAwQUAAAACACHTuJATrES88UBAAB4AwAADgAAAGRycy9lMm9Eb2MueG1s&#10;rVNLbtswEN0XyB0I7mvJiu24gumggJFuijRA2gPQFGkR4C8c2pJPE6C7HqLHKXqNDiU1adNNFt1Q&#10;M8Phm3lvRpvr3hpykhG0d4zOZyUl0gnfaHdg9Mvnm7drSiBx13DjnWT0LIFeby/ebLpQy8q33jQy&#10;EgRxUHeB0TalUBcFiFZaDjMfpMNL5aPlCd14KJrIO0S3pqjKclV0PjYheiEBMLobL+mEGF8D6JXS&#10;Qu68OFrp0ogapeEJKUGrA9Dt0K1SUqRPSoFMxDCKTNNwYhG09/ksthteHyIPrRZTC/w1LbzgZLl2&#10;WPQJascTJ8eo/4GyWkQPXqWZ8LYYiQyKIIt5+UKb+5YHOXBBqSE8iQ7/D1bcnu4i0Q1uwpISxy1O&#10;/Ofjtx/fv5L5IqvTBagx6T7cxckDNDPVXkWbv0iC9IwuqtVVhbKeGb2sVuVVtRzFlX0iAu+rclFW&#10;SywiMGO9vnyHyYhYPAOFCOmD9JZkg9GIwxs05aePkMbU3ym5rvM32hiM89q4vwKIOUbksAHT68xk&#10;7D1bqd/3E6G9b84oQodbwCg8HHnMonNMfn9MWGSond+MidhzdnAgQ/fT8uSJ/+kPWc8/zPYX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DD+NhtsAAAALAQAADwAAAAAAAAABACAAAAAiAAAAZHJzL2Rv&#10;d25yZXYueG1sUEsBAhQAFAAAAAgAh07iQE6xEvPFAQAAeAMAAA4AAAAAAAAAAQAgAAAAKgEAAGRy&#10;cy9lMm9Eb2MueG1sUEsFBgAAAAAGAAYAWQEAAGEFA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-213995</wp:posOffset>
                </wp:positionH>
                <wp:positionV relativeFrom="paragraph">
                  <wp:posOffset>1433195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wps:wsp>
                  </a:graphicData>
                </a:graphic>
              </wp:anchor>
            </w:drawing>
          </mc:Choice>
          <mc:Fallback>
            <w:pict>
              <v:shape id="椭圆 9" o:spid="_x0000_s1026" o:spt="3" type="#_x0000_t3" style="position:absolute;left:0pt;margin-left:-16.85pt;margin-top:112.85pt;height:103.45pt;width:103.45pt;z-index:251665408;v-text-anchor:middle;mso-width-relative:page;mso-height-relative:page;" fillcolor="#1F2959" filled="t" stroked="f" coordsize="21600,21600" o:gfxdata="UEsDBAoAAAAAAIdO4kAAAAAAAAAAAAAAAAAEAAAAZHJzL1BLAwQUAAAACACHTuJA0KdDhNkAAAAL&#10;AQAADwAAAGRycy9kb3ducmV2LnhtbE2PsW7CMBCG90p9B+sqdUHg4AQoIQ4DUucqSYeOJr4mEfY5&#10;ig2kb18ztdud7tN/318cZ2vYDSc/OJKwXiXAkFqnB+okfDbvyzdgPijSyjhCCT/o4Vg+PxUq1+5O&#10;Fd7q0LEYQj5XEvoQxpxz3/ZolV+5ESnevt1kVYjr1HE9qXsMt4aLJNlyqwaKH3o14qnH9lJfrYT9&#10;rBeNG8fNvjEftc6qrFqcvqR8fVknB2AB5/AHw0M/qkMZnc7uStozI2GZpruIShBiE4cHsUsFsLOE&#10;LBVb4GXB/3cofwFQSwMEFAAAAAgAh07iQEW8Or0GAgAA7wMAAA4AAABkcnMvZTJvRG9jLnhtbK1T&#10;S27bMBDdF+gdCO5rfVw3smA5ixjupmgDpD3AmKIkAvyBZCz5Aj1Fl932WO05OqSUpE03WVQLaYYc&#10;vZn3+Li7npQkZ+68MLqhxSqnhGtmWqH7hn75fHxTUeID6Bak0byhF+7p9f71q91oa16awciWO4Ig&#10;2tejbegQgq2zzLOBK/ArY7nGzc44BQFT12etgxHRlczKPH+Xjca11hnGvcfVw7xJF0T3EkDTdYLx&#10;g2H3iuswozouISAlPwjr6T5N23WchU9d53kgsqHINKQ3NsH4FN/Zfgd178AOgi0jwEtGeMZJgdDY&#10;9BHqAAHIvRP/QCnBnPGmCytmVDYTSYogiyJ/ps3dAJYnLii1t4+i+/8Hyz6ebx0RLToBJdGg8MR/&#10;ff/x89tXso3ijNbXWHNnb92SeQwj06lzKn6RA5kaelVtt28R4tLQdV6V23Iza8unQBjuF+tiXRUb&#10;ShhWPCQImT0hWefDe24UiUFDuZR4lJE/1HD+4MNc/VAVl72Roj0KKVPi+tONdOQMeNbFsdxuEgNs&#10;8FeZ1GTE/fIqx2kZoIM7dA6GyqIKXveUgOzxarDgUm9tYgdsDnXsfQA/zD0S7MxSiYCXQgrV0CqP&#10;T1zGzlLH33gy4sIgKjprGKMwnSYsjeHJtBc8CxfkjZndCpoNBs0aJ4l4sQp9kJAXz0aj/Zmnqqd7&#10;uv8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0KdDhNkAAAALAQAADwAAAAAAAAABACAAAAAiAAAA&#10;ZHJzL2Rvd25yZXYueG1sUEsBAhQAFAAAAAgAh07iQEW8Or0GAgAA7wMAAA4AAAAAAAAAAQAgAAAA&#10;KAEAAGRycy9lMm9Eb2MueG1sUEsFBgAAAAAGAAYAWQEAAKAFAAAAAA==&#10;">
                <v:fill on="t" focussize="0,0"/>
                <v:stroke on="f" weight="1pt" miterlimit="8" joinstyle="miter"/>
                <v:imagedata o:title=""/>
                <o:lock v:ext="edit" aspectratio="f"/>
                <v:textbox>
                  <w:txbxContent>
                    <w:p>
                      <w:pPr>
                        <w:jc w:val="center"/>
                      </w:pPr>
                    </w:p>
                  </w:txbxContent>
                </v:textbox>
              </v:shape>
            </w:pict>
          </mc:Fallback>
        </mc:AlternateConten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无极县民政局</w:t>
      </w: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7" name="文本框 1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upright="1"/>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CjhJPdsAAAAN&#10;AQAADwAAAGRycy9kb3ducmV2LnhtbE2PTU/DMAyG70j8h8hI3LakqOtGaboDA3FBILbC2WtMW9E4&#10;VZN9wK8nPcHN1vvo9eNifba9ONLoO8cakrkCQVw703Gjodo9zlYgfEA22DsmDd/kYV1eXhSYG3fi&#10;NzpuQyNiCfscNbQhDLmUvm7Jop+7gThmn260GOI6NtKMeIrltpc3SmXSYsfxQosD3bdUf20PVoNJ&#10;n6rNO252r8/1z4vr0uojDA9aX18l6g5EoHP4g2HSj+pQRqe9O7DxotcwS5ZJGtmYZNMwIWqxuAWx&#10;15CtlhnIspD/vyh/AVBLAwQUAAAACACHTuJALh8tITYCAACQBAAADgAAAGRycy9lMm9Eb2MueG1s&#10;rVRLjhMxFNwjcQfLe9L5MAkTpTMShLBBgDRwAMft7rbkn2wn6XAAuAErNuznXDkHZacnA4NGyoIs&#10;Oq/t8ntV9fx6cdNpRXbCB2lNSUeDISXCcFtJ05T0y+f1i1eUhMhMxZQ1oqQHEejN8vmzxd7Nxdi2&#10;VlXCEyQxYb53JW1jdPOiCLwVmoWBdcJgs7Zes4hX3xSVZ3tk16oYD4fTYm995bzlIgSsrk6btM/o&#10;L0lo61pysbJ8q4WJp6xeKBYhKbTSBbrMbOta8PixroOIRJUUSmN+ogjiTXoWywWbN565VvKeAruE&#10;wiNNmkmDoudUKxYZ2Xr5TyotubfB1nHArS5OQrIjUDEaPvLmtmVOZC2wOriz6eH/peUfdp88kRVu&#10;wowSwzQ6fvzx/fjz7vjrG8EaDNq7MAfu1gEZu9e2A/h+PWAx6e5qr9M/FBHsw97D2V7RRcKxOJtd&#10;TyZXV5Rw7E0mL0eTWW5A8XDc+RDfCatJCkrq0b9sK9u9DxFUAL2HpGqOxbiWSvXw1vqvGV43b1Sm&#10;FXyzQUh2DP1fr1fX02lijjRnyOYJ7Bq/HttDUvG+YCquDNnDifFsCLWcYRRqXEGE2sHOYJpMJVgl&#10;q8QxHXmazl+wJHHFQnuinbcSEzb3dmuqHLWCVW9NReLBoWMGk0oTGy0qSpTAYKcoIyOT6hIk1CkD&#10;a1K3T11NUew2HdKkcGOrA24AMxw+l5RHT8nWedm06FS+EPksLmo2uB+qNAl/vucKDx+S5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AKOEk92wAAAA0BAAAPAAAAAAAAAAEAIAAAACIAAABkcnMvZG93&#10;bnJldi54bWxQSwECFAAUAAAACACHTuJALh8tITYCAACQBAAADgAAAAAAAAABACAAAAAqAQAAZHJz&#10;L2Uyb0RvYy54bWxQSwUGAAAAAAYABgBZAQAA0gUAAAAA&#10;">
                <v:fill type="pattern" on="t" color2="#FFFFFF" focussize="0,0" r:id="rId26"/>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32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（一）贯彻执行国家和省、市民政事业发展法律法规、政策、规划；拟定民政事业发展规划并组织实施。</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（二）拟定社会团体、社会服务机构等社会组织监督管理办法并组织实施，依法对全县社会组织进行管理和监督检查，负责县社会组织党建日常工作。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（三）牵头负责全县社会救助有关政策和标准，统筹社会救助体系建设，负责城乡居民最低生活保障、特困人员救助供养、临时救助、生活无着流浪乞讨人员救助工作。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（四）拟定全县社区建设政策及基层群众自治管理办法；指导城乡社区治理体系和能力建设；提出加强和改进基层政权建设的建议，推动基层民主政治建设。</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（六）负责婚姻登记管理工作，推进婚俗改革，指导婚姻登记机关做好相关工作。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（七）贯彻落实殡葬管理政策法规，规范殡葬服务，推进殡葬改革，指导殡葬服务机构做好相关工作。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（八）统筹推进、督促指导、监督管理全县养老服务工作。负责全县养老服务体系建设规划、政策、标准并组织实施，承担老年人福利和特殊困难老年人救助工作。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（九）会同相关部门做好残疾人权益保护相关工作，统筹推进残疾人福利制度建设和康复辅助器具产业发展。</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（十）拟定全县儿童福利、儿童救助管理办法并组织实施，负责儿童收养登记管理工作，负责农村留守儿童关爱保护和困境儿童保障工作。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（十一）负责促进全县慈善事业发展，负责慈善信托、慈善组织活动管理办法，组织开展慈善救助工作，负责社会公益性慈善捐赠监管工作，指导慈善精准扶贫帮扶工作，负责福利彩票管理工作。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（十二）拟定全县社会工作发展规划、志愿服务规范和标准并组织实施，会同有关部门推进社会工作人才队伍和志愿者队伍建设。</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（十三）负责民政系统综合执法工作；指导乡镇做好民政执法工作。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（十四）贯彻落实党、国家以及省委、省政府、市委、市政府各项扶贫开发方针政策和法律法规，组织实施扶贫开发相关工作。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（十五）组织落实国家和省、市扶贫开发规划，拟订全县扶贫开发中长期规划和年度计划并组织实施。</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（十六）负责全县贫困识别和动态调整工作，负责全县贫困状况的统计和监测工作，组织实施贫困退出工作；负责扶贫开发工作成效考核评估工作；监督检查扶贫开发政策、责任、工作落实情况。</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（十七）配合有关部门拟定财政专项扶贫资金管理办法，开展绩效评价。提出财政专项扶贫资金分配意见建议；指导监督财政专项扶贫资金使用管理。</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（十八）协调社会各界参与扶贫开发工作，负责协调联系国家、省、市、县和有关单位对口帮扶工作；会同有关部门做好驻村帮扶工作；负责协调深度贫困村扶贫开发工作。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（十九）负责扶贫开发宣传报道和信息发布工作。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（二十）承担县扶贫开发和脱贫工作领导小组办公室职责。</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after="160" w:line="360" w:lineRule="auto"/>
        <w:ind w:firstLine="24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（二十一）完成县委、县政府交办的其他任务。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2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376"/>
        <w:gridCol w:w="2554"/>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7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5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376" w:type="dxa"/>
          </w:tcPr>
          <w:p>
            <w:pPr>
              <w:spacing w:line="560" w:lineRule="exact"/>
              <w:rPr>
                <w:rFonts w:ascii="仿宋" w:hAnsi="仿宋" w:eastAsia="仿宋" w:cs="ArialUnicodeMS"/>
                <w:kern w:val="0"/>
                <w:sz w:val="32"/>
                <w:szCs w:val="32"/>
              </w:rPr>
            </w:pPr>
            <w:r>
              <w:rPr>
                <w:rFonts w:hint="eastAsia" w:ascii="仿宋" w:hAnsi="仿宋" w:eastAsia="仿宋" w:cs="ArialUnicodeMS"/>
                <w:kern w:val="0"/>
                <w:sz w:val="32"/>
                <w:szCs w:val="32"/>
              </w:rPr>
              <w:t>无极县民政局(本级)</w:t>
            </w:r>
          </w:p>
        </w:tc>
        <w:tc>
          <w:tcPr>
            <w:tcW w:w="2554" w:type="dxa"/>
          </w:tcPr>
          <w:p>
            <w:pPr>
              <w:spacing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行政单位</w:t>
            </w:r>
          </w:p>
        </w:tc>
        <w:tc>
          <w:tcPr>
            <w:tcW w:w="2665" w:type="dxa"/>
          </w:tcPr>
          <w:p>
            <w:pPr>
              <w:spacing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376" w:type="dxa"/>
          </w:tcPr>
          <w:p>
            <w:pPr>
              <w:spacing w:line="560" w:lineRule="exact"/>
              <w:rPr>
                <w:rFonts w:ascii="仿宋" w:hAnsi="仿宋" w:eastAsia="仿宋" w:cs="ArialUnicodeMS"/>
                <w:kern w:val="0"/>
                <w:sz w:val="32"/>
                <w:szCs w:val="32"/>
              </w:rPr>
            </w:pPr>
            <w:r>
              <w:rPr>
                <w:rFonts w:hint="eastAsia" w:ascii="仿宋" w:hAnsi="仿宋" w:eastAsia="仿宋" w:cs="ArialUnicodeMS"/>
                <w:kern w:val="0"/>
                <w:sz w:val="32"/>
                <w:szCs w:val="32"/>
                <w:lang w:eastAsia="zh-CN"/>
              </w:rPr>
              <w:t>无极县</w:t>
            </w:r>
            <w:r>
              <w:rPr>
                <w:rFonts w:hint="eastAsia" w:ascii="仿宋" w:hAnsi="仿宋" w:eastAsia="仿宋" w:cs="ArialUnicodeMS"/>
                <w:kern w:val="0"/>
                <w:sz w:val="32"/>
                <w:szCs w:val="32"/>
              </w:rPr>
              <w:t>丧葬管理所</w:t>
            </w:r>
          </w:p>
        </w:tc>
        <w:tc>
          <w:tcPr>
            <w:tcW w:w="2554" w:type="dxa"/>
          </w:tcPr>
          <w:p>
            <w:pPr>
              <w:spacing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财政补助事业单位</w:t>
            </w:r>
          </w:p>
        </w:tc>
        <w:tc>
          <w:tcPr>
            <w:tcW w:w="2665" w:type="dxa"/>
          </w:tcPr>
          <w:p>
            <w:pPr>
              <w:spacing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440" w:firstLineChars="200"/>
        <w:rPr>
          <w:rFonts w:ascii="Times New Roman" w:hAnsi="Times New Roman" w:eastAsia="黑体" w:cs="Times New Roman"/>
          <w:sz w:val="32"/>
          <w:szCs w:val="32"/>
        </w:rPr>
        <w:sectPr>
          <w:headerReference r:id="rId13"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486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 name="文本框 1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upright="1"/>
                    </wps:wsp>
                  </a:graphicData>
                </a:graphic>
              </wp:anchor>
            </w:drawing>
          </mc:Choice>
          <mc:Fallback>
            <w:pict>
              <v:shape id="文本框 15" o:spid="_x0000_s1026" o:spt="202" type="#_x0000_t202" style="position:absolute;left:0pt;margin-left:-90.8pt;margin-top:4.35pt;height:263.1pt;width:613.65pt;z-index:251684864;v-text-anchor:middle;mso-width-relative:page;mso-height-relative:page;" fillcolor="#FFD966" filled="t" stroked="t" coordsize="21600,21600" o:gfxdata="UEsDBAoAAAAAAIdO4kAAAAAAAAAAAAAAAAAEAAAAZHJzL1BLAwQUAAAACACHTuJAq0UWJdcAAAAL&#10;AQAADwAAAGRycy9kb3ducmV2LnhtbE2PsXLCMAyG9971HXzqXTewQ4mbpnEYeu3AWGBhc2I3yTWW&#10;c7Yh8PaIqd2k06dfn6rNxY3sbEMcPCrIlgKYxdabATsFh/3XogAWk0ajR49WwdVG2NSPD5UujZ/x&#10;2553qWMUgrHUCvqUppLz2PbW6bj0k0Wa/fjgdKI2dNwEPVO4G/lKCMmdHpAu9HqyH71tf3cnRxrp&#10;2MxTtw17idfoVsNB5vJTqeenTLwDS/aS/mC469MO1OTU+BOayEYFi6zIJLEKildgd0Csc6oaBfnL&#10;+g14XfH/P9Q3UEsDBBQAAAAIAIdO4kBqa9pONgIAAI8EAAAOAAAAZHJzL2Uyb0RvYy54bWytVM2O&#10;0zAQviPxDpbvNO2GtmzUdCUo5YIAaeEBpraTWPKfbLdNeQB4A05cuO9z9TkYu9kuLFqpB3pIJ/bn&#10;me/7xpPFTa8V2QkfpDU1nYzGlAjDLJemremXz+sXrygJEQwHZY2o6UEEerN8/myxd5W4sp1VXHiC&#10;SUyo9q6mXYyuKorAOqEhjKwTBjcb6zVEfPVtwT3sMbtWxdV4PCv21nPnLRMh4OrqtEmHjP6ShLZp&#10;JBMry7ZamHjK6oWCiJJCJ12gy8y2aQSLH5smiEhUTVFpzE8sgvEmPYvlAqrWg+skGyjAJRQeadIg&#10;DRY9p1pBBLL18p9UWjJvg23iiFldnIRkR1DFZPzIm9sOnMha0OrgzqaH/5eWfdh98kRyvAnYdwMa&#10;O3788f348+746xuZTJNBexcqxN06RMb+te0RfL8ecDHp7huv0z8qIriP9h7O9oo+EoaL8/l1WU6n&#10;lDDcK8uXk3KeG1A8HHc+xHfCapKCmnrsX7YVdu9DRCoIvYekag5iXEulBnhn/dcMb9o3KtMKvt1g&#10;SHaA/V+vV9ezWWKOac6QzRPYNf4G7ABJxYeCqbgyZF/TWTlFsQxwEhq8gRhqh24G02YmwSrJE8V0&#10;4mk2f8GSwhWE7sQ6byUiUHm7NTxHnQD+1nASDw4bZnBQaSKjBadECZzrFGVkBKkuQaI4ZdCZ1OxT&#10;U1MU+02PaVK4sfyAFwAMQ5tryqKnZOu8bDtsVL4P+Sze0+zvMFNpEP58zxUeviPL3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KtFFiXXAAAACwEAAA8AAAAAAAAAAQAgAAAAIgAAAGRycy9kb3ducmV2&#10;LnhtbFBLAQIUABQAAAAIAIdO4kBqa9pONgIAAI8EAAAOAAAAAAAAAAEAIAAAACYBAABkcnMvZTJv&#10;RG9jLnhtbFBLBQYAAAAABgAGAFkBAADOBQAAAAA=&#10;">
                <v:fill type="pattern" on="t" color2="#FFFFFF" focussize="0,0" r:id="rId26"/>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本部门2019年度收支总计（含结转和结余）15186.98万元。与2018年度决算相比，收支各减少2622.72万元，下降14.73%，主要原因是机构改革，部分业务划转给退役军人事务局。</w:t>
      </w:r>
    </w:p>
    <w:p>
      <w:pPr>
        <w:keepNext/>
        <w:keepLines/>
        <w:snapToGrid w:val="0"/>
        <w:spacing w:line="580" w:lineRule="exact"/>
        <w:ind w:firstLine="640" w:firstLineChars="200"/>
        <w:outlineLvl w:val="1"/>
        <w:rPr>
          <w:rFonts w:hint="eastAsia" w:ascii="黑体" w:hAnsi="Calibri" w:eastAsia="黑体" w:cs="Times New Roman"/>
          <w:sz w:val="32"/>
          <w:szCs w:val="32"/>
          <w:lang w:eastAsia="zh-CN"/>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本部门2019年度本年收入合计12068.21万元，其中：财政拨款收入11899.16万元，占98.6%；事业收入165.04万元，占1.37%；</w:t>
      </w:r>
      <w:r>
        <w:rPr>
          <w:rFonts w:hint="eastAsia" w:ascii="仿宋_GB2312" w:hAnsi="Times New Roman" w:eastAsia="仿宋_GB2312" w:cs="DengXian-Regular"/>
          <w:sz w:val="32"/>
          <w:szCs w:val="32"/>
          <w:lang w:eastAsia="zh-CN"/>
        </w:rPr>
        <w:t>经营收入</w:t>
      </w:r>
      <w:r>
        <w:rPr>
          <w:rFonts w:hint="eastAsia" w:ascii="仿宋_GB2312" w:hAnsi="Times New Roman" w:eastAsia="仿宋_GB2312" w:cs="DengXian-Regular"/>
          <w:sz w:val="32"/>
          <w:szCs w:val="32"/>
          <w:lang w:val="en-US" w:eastAsia="zh-CN"/>
        </w:rPr>
        <w:t>0万元，占0%；</w:t>
      </w:r>
      <w:r>
        <w:rPr>
          <w:rFonts w:hint="eastAsia" w:ascii="仿宋_GB2312" w:hAnsi="Times New Roman" w:eastAsia="仿宋_GB2312" w:cs="DengXian-Regular"/>
          <w:sz w:val="32"/>
          <w:szCs w:val="32"/>
        </w:rPr>
        <w:t>其他收入4万元，占0.03%。如图所示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251688960" behindDoc="0" locked="0" layoutInCell="1" allowOverlap="1">
            <wp:simplePos x="0" y="0"/>
            <wp:positionH relativeFrom="margin">
              <wp:posOffset>317500</wp:posOffset>
            </wp:positionH>
            <wp:positionV relativeFrom="margin">
              <wp:posOffset>3714750</wp:posOffset>
            </wp:positionV>
            <wp:extent cx="4391025" cy="2381250"/>
            <wp:effectExtent l="57150" t="0" r="47625" b="76200"/>
            <wp:wrapSquare wrapText="bothSides"/>
            <wp:docPr id="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本部门2019年度本年支出合计13165.15万元，其中：基本支出1361万元，占10.34%；项目支出11804.16万元，占</w:t>
      </w:r>
    </w:p>
    <w:p>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89984" behindDoc="1" locked="0" layoutInCell="1" allowOverlap="1">
            <wp:simplePos x="0" y="0"/>
            <wp:positionH relativeFrom="column">
              <wp:posOffset>106045</wp:posOffset>
            </wp:positionH>
            <wp:positionV relativeFrom="paragraph">
              <wp:posOffset>601345</wp:posOffset>
            </wp:positionV>
            <wp:extent cx="4219575" cy="2343150"/>
            <wp:effectExtent l="57150" t="0" r="47625" b="76200"/>
            <wp:wrapSquare wrapText="bothSides"/>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hint="eastAsia" w:ascii="仿宋_GB2312" w:hAnsi="Times New Roman" w:eastAsia="仿宋_GB2312" w:cs="DengXian-Regular"/>
          <w:sz w:val="32"/>
          <w:szCs w:val="32"/>
        </w:rPr>
        <w:t>89.66%</w:t>
      </w:r>
      <w:r>
        <w:rPr>
          <w:rFonts w:hint="eastAsia" w:ascii="仿宋_GB2312" w:hAnsi="Times New Roman" w:eastAsia="仿宋_GB2312" w:cs="DengXian-Regular"/>
          <w:sz w:val="32"/>
          <w:szCs w:val="32"/>
          <w:lang w:eastAsia="zh-CN"/>
        </w:rPr>
        <w:t>；经营支出</w:t>
      </w:r>
      <w:r>
        <w:rPr>
          <w:rFonts w:hint="eastAsia" w:ascii="仿宋_GB2312" w:hAnsi="Times New Roman" w:eastAsia="仿宋_GB2312" w:cs="DengXian-Regular"/>
          <w:sz w:val="32"/>
          <w:szCs w:val="32"/>
          <w:lang w:val="en-US" w:eastAsia="zh-CN"/>
        </w:rPr>
        <w:t>0万元，占0%</w:t>
      </w:r>
      <w:r>
        <w:rPr>
          <w:rFonts w:hint="eastAsia" w:ascii="仿宋_GB2312" w:hAnsi="Times New Roman" w:eastAsia="仿宋_GB2312" w:cs="DengXian-Regular"/>
          <w:sz w:val="32"/>
          <w:szCs w:val="32"/>
        </w:rPr>
        <w:t>。如图所示：</w:t>
      </w:r>
    </w:p>
    <w:p>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 </w:t>
      </w:r>
    </w:p>
    <w:p>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   </w: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11899.16万元,比2018年度减少4114.1万元，降低25.69%，主要是机构改革，部分业务划转给退役军人事务局；本年支出13000.76万元，减少1257.78万元，降低8.82%，主要是机构改革，部分业务划转给退役军人事务局。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一般公共预算财政拨款本年收入11469.21万元，比上年减少4156.67万元，降低26.6%；主要是机构改革，业务划转；本年支出12674.64万元，比上年减少1235.49万元，降低8.88%，主要是机构改革，业务划转。</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政府性基金预算财政拨款本年收入429.95万元，比上年增加42.57万元，增长10.99%，主要原因是</w:t>
      </w:r>
      <w:r>
        <w:rPr>
          <w:rFonts w:hint="eastAsia" w:ascii="仿宋_GB2312" w:hAnsi="Times New Roman" w:eastAsia="仿宋_GB2312" w:cs="DengXian-Regular"/>
          <w:sz w:val="32"/>
          <w:szCs w:val="32"/>
          <w:lang w:val="en-US" w:eastAsia="zh-CN"/>
        </w:rPr>
        <w:t>用于</w:t>
      </w:r>
      <w:r>
        <w:rPr>
          <w:rFonts w:hint="eastAsia" w:ascii="仿宋_GB2312" w:hAnsi="Times New Roman" w:eastAsia="仿宋_GB2312" w:cs="DengXian-Regular"/>
          <w:sz w:val="32"/>
          <w:szCs w:val="32"/>
        </w:rPr>
        <w:t>扶贫济困养老助残</w:t>
      </w:r>
      <w:r>
        <w:rPr>
          <w:rFonts w:hint="eastAsia" w:ascii="仿宋_GB2312" w:hAnsi="Times New Roman" w:eastAsia="仿宋_GB2312" w:cs="DengXian-Regular"/>
          <w:sz w:val="32"/>
          <w:szCs w:val="32"/>
          <w:lang w:val="en-US" w:eastAsia="zh-CN"/>
        </w:rPr>
        <w:t>资金的增加</w:t>
      </w:r>
      <w:r>
        <w:rPr>
          <w:rFonts w:hint="eastAsia" w:ascii="仿宋_GB2312" w:hAnsi="Times New Roman" w:eastAsia="仿宋_GB2312" w:cs="DengXian-Regular"/>
          <w:sz w:val="32"/>
          <w:szCs w:val="32"/>
        </w:rPr>
        <w:t>；本年支出326.12万元，比上年减少22.26万元，下降6.39%，主要是</w:t>
      </w:r>
      <w:r>
        <w:rPr>
          <w:rFonts w:hint="eastAsia" w:ascii="仿宋_GB2312" w:hAnsi="Times New Roman" w:eastAsia="仿宋_GB2312" w:cs="DengXian-Regular"/>
          <w:sz w:val="32"/>
          <w:szCs w:val="32"/>
          <w:lang w:val="en-US" w:eastAsia="zh-CN"/>
        </w:rPr>
        <w:t>用于</w:t>
      </w:r>
      <w:r>
        <w:rPr>
          <w:rFonts w:hint="eastAsia" w:ascii="仿宋_GB2312" w:hAnsi="Times New Roman" w:eastAsia="仿宋_GB2312" w:cs="DengXian-Regular"/>
          <w:sz w:val="32"/>
          <w:szCs w:val="32"/>
        </w:rPr>
        <w:t>扶贫济困养老助残</w:t>
      </w:r>
      <w:r>
        <w:rPr>
          <w:rFonts w:hint="eastAsia" w:ascii="仿宋_GB2312" w:hAnsi="Times New Roman" w:eastAsia="仿宋_GB2312" w:cs="DengXian-Regular"/>
          <w:sz w:val="32"/>
          <w:szCs w:val="32"/>
          <w:lang w:val="en-US" w:eastAsia="zh-CN"/>
        </w:rPr>
        <w:t>的资金支出较上年略有下降</w:t>
      </w:r>
      <w:r>
        <w:rPr>
          <w:rFonts w:hint="eastAsia" w:ascii="仿宋_GB2312" w:hAnsi="Times New Roman" w:eastAsia="仿宋_GB2312" w:cs="DengXian-Regular"/>
          <w:sz w:val="32"/>
          <w:szCs w:val="32"/>
        </w:rPr>
        <w:t>。</w:t>
      </w:r>
    </w:p>
    <w:p>
      <w:pPr>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1008" behindDoc="1" locked="0" layoutInCell="1" allowOverlap="1">
            <wp:simplePos x="0" y="0"/>
            <wp:positionH relativeFrom="column">
              <wp:posOffset>229870</wp:posOffset>
            </wp:positionH>
            <wp:positionV relativeFrom="paragraph">
              <wp:posOffset>293370</wp:posOffset>
            </wp:positionV>
            <wp:extent cx="4572000" cy="2981325"/>
            <wp:effectExtent l="57150" t="0" r="57150" b="6667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32"/>
          <w:szCs w:val="32"/>
        </w:rPr>
        <w:t xml:space="preserve"> </w:t>
      </w: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11899.16万元，完成年初预算的64.04%,比年初预算减少6680.73万元，决算数小于预算数主要原因是机构改革，部分业务划转给退役军人事务局；本年支出13000.76万元，完成年初预算的69.97%,比年初预算减少5579.13万元，决算数小于预算数主要原因是主要是机构改革，部分业务划转给退役军人事务局。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62.20%，比年初预算减少6971.27万元，主要是机构改革，部分业务划转给退役军人事务局；支出完成年初预算68.73%，比年初预算减少5765.84万元，主要是机构改革，部分业务划转给退役军人事务局。</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政府性基金预算财政拨款本年收入完成年初预算308.41%，比年初预算增加290.54万元，主要是扶贫济困养老助残</w:t>
      </w:r>
      <w:r>
        <w:rPr>
          <w:rFonts w:hint="eastAsia" w:ascii="仿宋_GB2312" w:hAnsi="Times New Roman" w:eastAsia="仿宋_GB2312" w:cs="DengXian-Regular"/>
          <w:sz w:val="32"/>
          <w:szCs w:val="32"/>
          <w:lang w:val="en-US" w:eastAsia="zh-CN"/>
        </w:rPr>
        <w:t>的投入增加</w:t>
      </w:r>
      <w:r>
        <w:rPr>
          <w:rFonts w:hint="eastAsia" w:ascii="仿宋_GB2312" w:hAnsi="Times New Roman" w:eastAsia="仿宋_GB2312" w:cs="DengXian-Regular"/>
          <w:sz w:val="32"/>
          <w:szCs w:val="32"/>
        </w:rPr>
        <w:t>；支出完成年初预算233.93%，比年初预算增加186.71万元，主要是</w:t>
      </w:r>
      <w:r>
        <w:rPr>
          <w:rFonts w:hint="eastAsia" w:ascii="仿宋_GB2312" w:hAnsi="Times New Roman" w:eastAsia="仿宋_GB2312" w:cs="DengXian-Regular"/>
          <w:sz w:val="32"/>
          <w:szCs w:val="32"/>
          <w:lang w:val="en-US" w:eastAsia="zh-CN"/>
        </w:rPr>
        <w:t>用于</w:t>
      </w:r>
      <w:r>
        <w:rPr>
          <w:rFonts w:hint="eastAsia" w:ascii="仿宋_GB2312" w:hAnsi="Times New Roman" w:eastAsia="仿宋_GB2312" w:cs="DengXian-Regular"/>
          <w:sz w:val="32"/>
          <w:szCs w:val="32"/>
        </w:rPr>
        <w:t>扶贫济困养老助残。</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anchor distT="0" distB="0" distL="114300" distR="114300" simplePos="0" relativeHeight="251692032" behindDoc="1" locked="0" layoutInCell="1" allowOverlap="1">
            <wp:simplePos x="0" y="0"/>
            <wp:positionH relativeFrom="column">
              <wp:posOffset>467995</wp:posOffset>
            </wp:positionH>
            <wp:positionV relativeFrom="paragraph">
              <wp:posOffset>-3272155</wp:posOffset>
            </wp:positionV>
            <wp:extent cx="4572000" cy="3486150"/>
            <wp:effectExtent l="57150" t="0" r="57150" b="76200"/>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年度财政拨款支出13000.76万元，主要用于以下方面：</w:t>
      </w:r>
      <w:r>
        <w:rPr>
          <w:rFonts w:hint="eastAsia" w:ascii="仿宋_GB2312" w:hAnsi="Times New Roman" w:eastAsia="仿宋_GB2312" w:cs="DengXian-Regular"/>
          <w:sz w:val="32"/>
          <w:szCs w:val="32"/>
          <w:lang w:eastAsia="zh-CN"/>
        </w:rPr>
        <w:t>一般公共服务（</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0万元，占0%；公共安全类（类）支出0万元，占0%；教育（类）支出0万元，占0%；科学技术（类）支出0万元，占0%；</w:t>
      </w:r>
      <w:r>
        <w:rPr>
          <w:rFonts w:hint="eastAsia" w:ascii="仿宋_GB2312" w:hAnsi="Times New Roman" w:eastAsia="仿宋_GB2312" w:cs="DengXian-Regular"/>
          <w:sz w:val="32"/>
          <w:szCs w:val="32"/>
        </w:rPr>
        <w:t>社会保障和就业</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支出 9230.01万元，占70.99%；</w:t>
      </w:r>
      <w:r>
        <w:rPr>
          <w:rFonts w:hint="eastAsia" w:ascii="仿宋_GB2312" w:hAnsi="Times New Roman" w:eastAsia="仿宋_GB2312" w:cs="DengXian-Regular"/>
          <w:sz w:val="32"/>
          <w:szCs w:val="32"/>
          <w:lang w:eastAsia="zh-CN"/>
        </w:rPr>
        <w:t>住房保障（</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0万元，占0%；</w:t>
      </w:r>
      <w:r>
        <w:rPr>
          <w:rFonts w:hint="eastAsia" w:ascii="仿宋_GB2312" w:hAnsi="Times New Roman" w:eastAsia="仿宋_GB2312" w:cs="DengXian-Regular"/>
          <w:sz w:val="32"/>
          <w:szCs w:val="32"/>
        </w:rPr>
        <w:t>卫生健康</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支出34.75万元，占0.27%；农林水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支出3291.89万元，占25.32%；灾害防治及应急管理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类</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支出118.00万元，占0.91%，其他支出326.12万元，占2.51%。</w:t>
      </w:r>
    </w:p>
    <w:p>
      <w:pPr>
        <w:adjustRightInd w:val="0"/>
        <w:snapToGrid w:val="0"/>
        <w:spacing w:line="580" w:lineRule="exact"/>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251693056" behindDoc="1" locked="0" layoutInCell="1" allowOverlap="1">
            <wp:simplePos x="0" y="0"/>
            <wp:positionH relativeFrom="column">
              <wp:posOffset>459740</wp:posOffset>
            </wp:positionH>
            <wp:positionV relativeFrom="paragraph">
              <wp:posOffset>74295</wp:posOffset>
            </wp:positionV>
            <wp:extent cx="4334510" cy="3054985"/>
            <wp:effectExtent l="47625" t="4445" r="56515" b="102870"/>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年度财政拨款基本支出1334.58万元，其中：人员经费 840.20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494.38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本部门2019年度“三公”经费支出共计4.75万元，完成预算的80.51%,较预算减少1.15万元，降低19.49%，主要是本部门认真贯彻落实中央八项规定精神和厉行节约要求，从严控制</w:t>
      </w:r>
      <w:bookmarkStart w:id="0" w:name="_GoBack"/>
      <w:bookmarkEnd w:id="0"/>
      <w:r>
        <w:rPr>
          <w:rFonts w:hint="eastAsia" w:ascii="仿宋_GB2312" w:hAnsi="Times New Roman" w:eastAsia="仿宋_GB2312" w:cs="DengXian-Regular"/>
          <w:sz w:val="32"/>
          <w:szCs w:val="32"/>
          <w:lang w:eastAsia="zh-CN"/>
        </w:rPr>
        <w:t>“三公”经费</w:t>
      </w:r>
      <w:r>
        <w:rPr>
          <w:rFonts w:hint="eastAsia" w:ascii="仿宋_GB2312" w:hAnsi="Times New Roman" w:eastAsia="仿宋_GB2312" w:cs="DengXian-Regular"/>
          <w:sz w:val="32"/>
          <w:szCs w:val="32"/>
        </w:rPr>
        <w:t>开支，全年实际支出比预算有所节约。较2018年度减少0.77万元，降低13.</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5%，主要是本部门认真贯彻落实中央八项规定精神和厉行节约要求，从严控制</w:t>
      </w:r>
      <w:r>
        <w:rPr>
          <w:rFonts w:hint="eastAsia" w:ascii="仿宋_GB2312" w:hAnsi="Times New Roman" w:eastAsia="仿宋_GB2312" w:cs="DengXian-Regular"/>
          <w:sz w:val="32"/>
          <w:szCs w:val="32"/>
          <w:lang w:eastAsia="zh-CN"/>
        </w:rPr>
        <w:t>“三公”经费</w:t>
      </w:r>
      <w:r>
        <w:rPr>
          <w:rFonts w:hint="eastAsia" w:ascii="仿宋_GB2312" w:hAnsi="Times New Roman" w:eastAsia="仿宋_GB2312" w:cs="DengXian-Regular"/>
          <w:sz w:val="32"/>
          <w:szCs w:val="32"/>
        </w:rPr>
        <w:t>开支。具体情况如下：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无增减变化，主要是未发生因公出国（境）费支出</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无增减变化，主要是未发生因公出国（境）费支出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（二）公务用车购置及运行维护费支出4.75万元。</w:t>
      </w:r>
      <w:r>
        <w:rPr>
          <w:rFonts w:hint="eastAsia" w:ascii="仿宋_GB2312" w:hAnsi="Times New Roman" w:eastAsia="仿宋_GB2312" w:cs="DengXian-Regular"/>
          <w:sz w:val="32"/>
          <w:szCs w:val="32"/>
        </w:rPr>
        <w:t>本部门2019年度公务用车购置及运行维护费较预算减少1.15万元，降低19.49%,主要是本部门认真贯彻落实中央八项规定精神和厉行节约要求，从严控制</w:t>
      </w:r>
      <w:r>
        <w:rPr>
          <w:rFonts w:hint="eastAsia" w:ascii="仿宋_GB2312" w:hAnsi="Times New Roman" w:eastAsia="仿宋_GB2312" w:cs="DengXian-Regular"/>
          <w:sz w:val="32"/>
          <w:szCs w:val="32"/>
          <w:lang w:eastAsia="zh-CN"/>
        </w:rPr>
        <w:t>“三公”经费</w:t>
      </w:r>
      <w:r>
        <w:rPr>
          <w:rFonts w:hint="eastAsia" w:ascii="仿宋_GB2312" w:hAnsi="Times New Roman" w:eastAsia="仿宋_GB2312" w:cs="DengXian-Regular"/>
          <w:sz w:val="32"/>
          <w:szCs w:val="32"/>
        </w:rPr>
        <w:t>开支，全年实际支出比预算有所节约；较上年减少0.77万元，降低13.</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5%,主要是本部门认真贯彻落实中央八项规定精神和厉行节约要求，从严控制</w:t>
      </w:r>
      <w:r>
        <w:rPr>
          <w:rFonts w:hint="eastAsia" w:ascii="仿宋_GB2312" w:hAnsi="Times New Roman" w:eastAsia="仿宋_GB2312" w:cs="DengXian-Regular"/>
          <w:sz w:val="32"/>
          <w:szCs w:val="32"/>
          <w:lang w:eastAsia="zh-CN"/>
        </w:rPr>
        <w:t>“三公”经费</w:t>
      </w:r>
      <w:r>
        <w:rPr>
          <w:rFonts w:hint="eastAsia" w:ascii="仿宋_GB2312" w:hAnsi="Times New Roman" w:eastAsia="仿宋_GB2312" w:cs="DengXian-Regular"/>
          <w:sz w:val="32"/>
          <w:szCs w:val="32"/>
        </w:rPr>
        <w:t>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ascii="仿宋_GB2312" w:hAnsi="Times New Roman" w:eastAsia="仿宋_GB2312" w:cs="DengXian-Regular"/>
          <w:sz w:val="32"/>
          <w:szCs w:val="32"/>
        </w:rPr>
        <w:t xml:space="preserve"> </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本部门2019年度单位公务用车保有量9辆。公车运行维护费支出较预算减少1.15万元，降低19.49%,主要是本部门认真贯彻落实中央八项规定精神和厉行节约要求，从严控制</w:t>
      </w:r>
      <w:r>
        <w:rPr>
          <w:rFonts w:hint="eastAsia" w:ascii="仿宋_GB2312" w:hAnsi="Times New Roman" w:eastAsia="仿宋_GB2312" w:cs="DengXian-Regular"/>
          <w:sz w:val="32"/>
          <w:szCs w:val="32"/>
          <w:lang w:eastAsia="zh-CN"/>
        </w:rPr>
        <w:t>“三公”经费</w:t>
      </w:r>
      <w:r>
        <w:rPr>
          <w:rFonts w:hint="eastAsia" w:ascii="仿宋_GB2312" w:hAnsi="Times New Roman" w:eastAsia="仿宋_GB2312" w:cs="DengXian-Regular"/>
          <w:sz w:val="32"/>
          <w:szCs w:val="32"/>
        </w:rPr>
        <w:t>开支，全年实际支出比预算有所节约；较上年减少0.77万元，降低13.</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5%，主要是本部门认真贯彻落实中央八项规定精神和厉行节约要求，从严控制</w:t>
      </w:r>
      <w:r>
        <w:rPr>
          <w:rFonts w:hint="eastAsia" w:ascii="仿宋_GB2312" w:hAnsi="Times New Roman" w:eastAsia="仿宋_GB2312" w:cs="DengXian-Regular"/>
          <w:sz w:val="32"/>
          <w:szCs w:val="32"/>
          <w:lang w:eastAsia="zh-CN"/>
        </w:rPr>
        <w:t>“三公”经费</w:t>
      </w:r>
      <w:r>
        <w:rPr>
          <w:rFonts w:hint="eastAsia" w:ascii="仿宋_GB2312" w:hAnsi="Times New Roman" w:eastAsia="仿宋_GB2312" w:cs="DengXian-Regular"/>
          <w:sz w:val="32"/>
          <w:szCs w:val="32"/>
        </w:rPr>
        <w:t>开支。</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%,与预算持平；较上年度减少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288" w:lineRule="auto"/>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根据预算绩效管理要求，本部门组织对2019年度一般公共预算项目支出</w:t>
      </w:r>
      <w:r>
        <w:rPr>
          <w:rFonts w:hint="eastAsia" w:ascii="仿宋_GB2312" w:hAnsi="仿宋_GB2312" w:eastAsia="仿宋_GB2312" w:cs="仿宋_GB2312"/>
          <w:sz w:val="32"/>
          <w:szCs w:val="32"/>
          <w:lang w:val="en-US" w:eastAsia="zh-CN"/>
        </w:rPr>
        <w:t>全面</w:t>
      </w:r>
      <w:r>
        <w:rPr>
          <w:rFonts w:hint="eastAsia" w:ascii="仿宋_GB2312" w:hAnsi="仿宋_GB2312" w:eastAsia="仿宋_GB2312" w:cs="仿宋_GB2312"/>
          <w:sz w:val="32"/>
          <w:szCs w:val="32"/>
        </w:rPr>
        <w:t>开展绩效自评，</w:t>
      </w:r>
      <w:r>
        <w:rPr>
          <w:rFonts w:hint="eastAsia" w:ascii="仿宋_GB2312" w:hAnsi="仿宋_GB2312" w:eastAsia="仿宋_GB2312" w:cs="仿宋_GB2312"/>
          <w:sz w:val="32"/>
          <w:szCs w:val="32"/>
          <w:lang w:val="en-US" w:eastAsia="zh-CN"/>
        </w:rPr>
        <w:t>其中一级项目4个</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共</w:t>
      </w:r>
      <w:r>
        <w:rPr>
          <w:rFonts w:hint="eastAsia" w:ascii="仿宋_GB2312" w:hAnsi="仿宋_GB2312" w:eastAsia="仿宋_GB2312" w:cs="仿宋_GB2312"/>
          <w:sz w:val="32"/>
          <w:szCs w:val="32"/>
        </w:rPr>
        <w:t>涉及</w:t>
      </w:r>
      <w:r>
        <w:rPr>
          <w:rFonts w:hint="eastAsia" w:ascii="仿宋_GB2312" w:hAnsi="仿宋_GB2312" w:eastAsia="仿宋_GB2312" w:cs="仿宋_GB2312"/>
          <w:sz w:val="32"/>
          <w:szCs w:val="32"/>
          <w:lang w:val="en-US" w:eastAsia="zh-CN"/>
        </w:rPr>
        <w:t>资金7665.25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占一般公共预算项目支出总额的67.59%。组织对2019年度用于社会福利的福彩公益金的政府性基金预算项目支出开展绩效自评，共涉及资金319.34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占政府性基金预算项目支出总额的97.92%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组织对困难群众救助补助资金、用于社会福利的福彩公益金等5个项目开展了部门评价，涉及一般公共预算支出7665.25万元，政府性基金预算支出319.34万元。</w:t>
      </w:r>
    </w:p>
    <w:p>
      <w:pPr>
        <w:tabs>
          <w:tab w:val="left" w:pos="6990"/>
        </w:tabs>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r>
        <w:rPr>
          <w:rFonts w:ascii="仿宋_GB2312" w:hAnsi="仿宋_GB2312" w:eastAsia="仿宋_GB2312" w:cs="仿宋_GB2312"/>
          <w:b/>
          <w:bCs/>
          <w:sz w:val="32"/>
          <w:szCs w:val="32"/>
        </w:rPr>
        <w:tab/>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本部门在今年部门决算公开中反映困难群众项目及福彩公益金项目等</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扶贫专项资金项目自评综述：根据年初设定的绩效目标，扶贫专项资金项目绩效自评得分为91分（绩效自评表附后），全年预算数为3230.4万元，执行数为3230.4万元，完成预算的100%。项目绩效目标完成情况：提升脱贫质量，确保精准用于建档立卡贫困人口，提高资金使用效率。</w:t>
      </w: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val="en-US" w:eastAsia="zh-CN"/>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val="en-US" w:eastAsia="zh-CN"/>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val="en-US" w:eastAsia="zh-CN"/>
        </w:rPr>
      </w:pP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0"/>
            <w:vAlign w:val="center"/>
          </w:tcPr>
          <w:p>
            <w:pPr>
              <w:widowControl/>
              <w:spacing w:line="320" w:lineRule="exact"/>
              <w:jc w:val="center"/>
              <w:rPr>
                <w:rFonts w:ascii="宋体" w:hAnsi="宋体" w:cs="宋体"/>
                <w:b/>
                <w:bCs/>
                <w:kern w:val="0"/>
                <w:sz w:val="32"/>
                <w:szCs w:val="32"/>
              </w:rPr>
            </w:pPr>
            <w:r>
              <w:rPr>
                <w:rFonts w:hint="eastAsia" w:ascii="宋体" w:hAnsi="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val="0"/>
            <w:vAlign w:val="top"/>
          </w:tcPr>
          <w:p>
            <w:pPr>
              <w:widowControl/>
              <w:jc w:val="center"/>
              <w:rPr>
                <w:rFonts w:ascii="宋体" w:hAnsi="宋体" w:cs="宋体"/>
                <w:kern w:val="0"/>
                <w:sz w:val="22"/>
                <w:szCs w:val="22"/>
              </w:rPr>
            </w:pPr>
            <w:r>
              <w:rPr>
                <w:rFonts w:hint="eastAsia" w:ascii="宋体" w:hAnsi="宋体" w:cs="宋体"/>
                <w:kern w:val="0"/>
                <w:sz w:val="22"/>
                <w:szCs w:val="22"/>
              </w:rPr>
              <w:t>（ 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扶贫专项资金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无极县民政局</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无极县民政局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3230.4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3230.4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3230.4</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9.5</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3230.4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3230.4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3230.4</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default" w:ascii="宋体" w:hAnsi="宋体" w:cs="宋体" w:eastAsiaTheme="minorEastAsia"/>
                <w:kern w:val="0"/>
                <w:sz w:val="18"/>
                <w:szCs w:val="18"/>
                <w:lang w:val="en-US" w:eastAsia="zh-CN"/>
              </w:rPr>
            </w:pPr>
            <w:r>
              <w:rPr>
                <w:rFonts w:hint="eastAsia" w:ascii="宋体" w:hAnsi="宋体" w:cs="宋体"/>
                <w:kern w:val="0"/>
                <w:sz w:val="18"/>
                <w:szCs w:val="18"/>
                <w:lang w:val="en-US" w:eastAsia="zh-CN"/>
              </w:rPr>
              <w:t>100%</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提升脱贫质量，确保精准用于建档立卡贫困人口，提高资金使用效率。</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产出指标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资金支出进度完成率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&gt;90%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kern w:val="0"/>
                <w:sz w:val="18"/>
                <w:szCs w:val="18"/>
                <w:lang w:val="en-US" w:eastAsia="zh-CN"/>
              </w:rPr>
            </w:pPr>
            <w:r>
              <w:rPr>
                <w:rFonts w:hint="eastAsia" w:ascii="宋体" w:hAnsi="宋体" w:cs="宋体"/>
                <w:kern w:val="0"/>
                <w:sz w:val="18"/>
                <w:szCs w:val="18"/>
                <w:lang w:val="en-US" w:eastAsia="zh-CN"/>
              </w:rPr>
              <w:t>无</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扶贫资金公开公示完成率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27</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kern w:val="0"/>
                <w:sz w:val="18"/>
                <w:szCs w:val="18"/>
                <w:lang w:val="en-US" w:eastAsia="zh-CN"/>
              </w:rPr>
            </w:pPr>
            <w:r>
              <w:rPr>
                <w:rFonts w:hint="eastAsia" w:ascii="宋体" w:hAnsi="宋体" w:cs="宋体"/>
                <w:kern w:val="0"/>
                <w:sz w:val="18"/>
                <w:szCs w:val="18"/>
                <w:lang w:val="en-US" w:eastAsia="zh-CN"/>
              </w:rPr>
              <w:t>无</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实施扶贫项目完成率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&gt;90%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6"/>
                <w:szCs w:val="18"/>
                <w:lang w:val="en-US" w:eastAsia="zh-CN"/>
              </w:rPr>
              <w:t>18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kern w:val="0"/>
                <w:sz w:val="18"/>
                <w:szCs w:val="18"/>
                <w:lang w:val="en-US" w:eastAsia="zh-CN"/>
              </w:rPr>
            </w:pPr>
            <w:r>
              <w:rPr>
                <w:rFonts w:hint="eastAsia" w:ascii="宋体" w:hAnsi="宋体" w:cs="宋体"/>
                <w:kern w:val="0"/>
                <w:sz w:val="18"/>
                <w:szCs w:val="18"/>
                <w:lang w:val="en-US" w:eastAsia="zh-CN"/>
              </w:rPr>
              <w:t>无</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收益对象满意度</w:t>
            </w:r>
          </w:p>
        </w:tc>
        <w:tc>
          <w:tcPr>
            <w:tcW w:w="850" w:type="dxa"/>
            <w:tcBorders>
              <w:top w:val="nil"/>
              <w:left w:val="nil"/>
              <w:bottom w:val="single" w:color="auto" w:sz="4" w:space="0"/>
              <w:right w:val="single" w:color="auto" w:sz="4" w:space="0"/>
            </w:tcBorders>
            <w:noWrap w:val="0"/>
            <w:vAlign w:val="center"/>
          </w:tcPr>
          <w:p>
            <w:pPr>
              <w:widowControl/>
              <w:spacing w:line="240" w:lineRule="exact"/>
              <w:ind w:firstLine="150" w:firstLineChars="100"/>
              <w:rPr>
                <w:rFonts w:ascii="宋体" w:hAnsi="宋体" w:cs="宋体"/>
                <w:kern w:val="0"/>
                <w:sz w:val="15"/>
                <w:szCs w:val="18"/>
              </w:rPr>
            </w:pPr>
            <w:r>
              <w:rPr>
                <w:rFonts w:hint="eastAsia" w:ascii="宋体" w:hAnsi="宋体" w:cs="宋体"/>
                <w:kern w:val="0"/>
                <w:sz w:val="15"/>
                <w:szCs w:val="18"/>
              </w:rPr>
              <w:t>满意</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kern w:val="0"/>
                <w:sz w:val="18"/>
                <w:szCs w:val="18"/>
                <w:lang w:val="en-US" w:eastAsia="zh-CN"/>
              </w:rPr>
            </w:pPr>
            <w:r>
              <w:rPr>
                <w:rFonts w:hint="eastAsia" w:ascii="宋体" w:hAnsi="宋体" w:cs="宋体"/>
                <w:kern w:val="0"/>
                <w:sz w:val="18"/>
                <w:szCs w:val="18"/>
                <w:lang w:val="en-US" w:eastAsia="zh-CN"/>
              </w:rPr>
              <w:t>无</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color w:val="000000"/>
                <w:kern w:val="0"/>
                <w:sz w:val="16"/>
                <w:szCs w:val="18"/>
                <w:lang w:val="en-US" w:eastAsia="zh-CN"/>
              </w:rPr>
            </w:pPr>
            <w:r>
              <w:rPr>
                <w:rFonts w:hint="eastAsia" w:ascii="宋体" w:hAnsi="宋体" w:cs="宋体"/>
                <w:color w:val="000000"/>
                <w:kern w:val="0"/>
                <w:sz w:val="16"/>
                <w:szCs w:val="18"/>
                <w:lang w:val="en-US" w:eastAsia="zh-CN"/>
              </w:rPr>
              <w:t>91</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bl>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adjustRightInd w:val="0"/>
        <w:snapToGrid w:val="0"/>
        <w:spacing w:line="580" w:lineRule="exact"/>
        <w:rPr>
          <w:rFonts w:hint="eastAsia" w:ascii="仿宋_GB2312" w:hAnsi="仿宋_GB2312" w:eastAsia="仿宋_GB2312" w:cs="仿宋_GB2312"/>
          <w:sz w:val="32"/>
          <w:szCs w:val="32"/>
          <w:lang w:val="en-US" w:eastAsia="zh-CN"/>
        </w:rPr>
      </w:pPr>
    </w:p>
    <w:p>
      <w:pPr>
        <w:numPr>
          <w:ilvl w:val="0"/>
          <w:numId w:val="4"/>
        </w:numPr>
        <w:adjustRightInd w:val="0"/>
        <w:snapToGrid w:val="0"/>
        <w:spacing w:line="580" w:lineRule="exact"/>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火化场尾气及焚烧钢炉结构工程项目自评综述：根据年初设定的绩效目标，化场尾气及焚烧钢炉结构工程项目绩效自评得分为95分（绩效自评表附后）。全年预算数为68.8万元，执行数为68.8万元，完成预算的100%。项目绩效目标完成情况：</w:t>
      </w:r>
    </w:p>
    <w:p>
      <w:pPr>
        <w:numPr>
          <w:ilvl w:val="0"/>
          <w:numId w:val="0"/>
        </w:numPr>
        <w:adjustRightInd w:val="0"/>
        <w:snapToGrid w:val="0"/>
        <w:spacing w:line="58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防止设备腐蚀风化，加盖钢构棚6座。</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0"/>
            <w:vAlign w:val="center"/>
          </w:tcPr>
          <w:p>
            <w:pPr>
              <w:widowControl/>
              <w:spacing w:line="320" w:lineRule="exact"/>
              <w:jc w:val="center"/>
              <w:rPr>
                <w:rFonts w:ascii="宋体" w:hAnsi="宋体" w:cs="宋体"/>
                <w:b/>
                <w:bCs/>
                <w:kern w:val="0"/>
                <w:sz w:val="32"/>
                <w:szCs w:val="32"/>
              </w:rPr>
            </w:pPr>
            <w:r>
              <w:rPr>
                <w:rFonts w:hint="eastAsia" w:ascii="宋体" w:hAnsi="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val="0"/>
            <w:vAlign w:val="top"/>
          </w:tcPr>
          <w:p>
            <w:pPr>
              <w:widowControl/>
              <w:jc w:val="center"/>
              <w:rPr>
                <w:rFonts w:ascii="宋体" w:hAnsi="宋体" w:cs="宋体"/>
                <w:kern w:val="0"/>
                <w:sz w:val="22"/>
                <w:szCs w:val="22"/>
              </w:rPr>
            </w:pPr>
            <w:r>
              <w:rPr>
                <w:rFonts w:hint="eastAsia" w:ascii="宋体" w:hAnsi="宋体" w:cs="宋体"/>
                <w:kern w:val="0"/>
                <w:sz w:val="22"/>
                <w:szCs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火化场尾气及焚烧炉钢结构工程</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无极县民政局</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无极县丧葬管理所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68.8</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68.8</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68.8</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cs="宋体" w:eastAsiaTheme="minorEastAsia"/>
                <w:kern w:val="0"/>
                <w:sz w:val="18"/>
                <w:szCs w:val="18"/>
                <w:lang w:val="en-US" w:eastAsia="zh-CN"/>
              </w:rPr>
            </w:pPr>
            <w:r>
              <w:rPr>
                <w:rFonts w:hint="eastAsia" w:ascii="宋体" w:hAnsi="宋体" w:cs="宋体"/>
                <w:kern w:val="0"/>
                <w:sz w:val="18"/>
                <w:szCs w:val="18"/>
                <w:lang w:val="en-US" w:eastAsia="zh-CN"/>
              </w:rPr>
              <w:t>9.5</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68.8</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68.8</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68.8</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default" w:ascii="宋体" w:hAnsi="宋体" w:cs="宋体" w:eastAsiaTheme="minorEastAsia"/>
                <w:kern w:val="0"/>
                <w:sz w:val="18"/>
                <w:szCs w:val="18"/>
                <w:lang w:val="en-US" w:eastAsia="zh-CN"/>
              </w:rPr>
            </w:pPr>
            <w:r>
              <w:rPr>
                <w:rFonts w:hint="eastAsia" w:ascii="宋体" w:hAnsi="宋体" w:cs="宋体"/>
                <w:kern w:val="0"/>
                <w:sz w:val="18"/>
                <w:szCs w:val="18"/>
                <w:lang w:val="en-US" w:eastAsia="zh-CN"/>
              </w:rPr>
              <w:t>100%</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防止设备腐蚀风化，加盖钢构</w:t>
            </w:r>
            <w:r>
              <w:rPr>
                <w:rFonts w:hint="eastAsia" w:ascii="宋体" w:hAnsi="宋体" w:cs="宋体"/>
                <w:kern w:val="0"/>
                <w:sz w:val="18"/>
                <w:szCs w:val="18"/>
                <w:lang w:val="en-US" w:eastAsia="zh-CN"/>
              </w:rPr>
              <w:t>棚</w:t>
            </w:r>
            <w:r>
              <w:rPr>
                <w:rFonts w:hint="eastAsia" w:ascii="宋体" w:hAnsi="宋体" w:cs="宋体"/>
                <w:kern w:val="0"/>
                <w:sz w:val="18"/>
                <w:szCs w:val="18"/>
              </w:rPr>
              <w:t>6座</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02"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火化证及骨灰安放证统一规范率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24"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殡葬设备环保更新率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≥85%</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kern w:val="0"/>
                <w:sz w:val="18"/>
                <w:szCs w:val="18"/>
                <w:lang w:val="en-US" w:eastAsia="zh-CN"/>
              </w:rPr>
            </w:pPr>
            <w:r>
              <w:rPr>
                <w:rFonts w:hint="eastAsia" w:ascii="宋体" w:hAnsi="宋体" w:cs="宋体"/>
                <w:kern w:val="0"/>
                <w:sz w:val="18"/>
                <w:szCs w:val="18"/>
              </w:rPr>
              <w:t>4</w:t>
            </w:r>
            <w:r>
              <w:rPr>
                <w:rFonts w:hint="eastAsia" w:ascii="宋体" w:hAnsi="宋体" w:cs="宋体"/>
                <w:kern w:val="0"/>
                <w:sz w:val="18"/>
                <w:szCs w:val="18"/>
                <w:lang w:val="en-US" w:eastAsia="zh-CN"/>
              </w:rPr>
              <w:t>5</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color w:val="000000"/>
                <w:kern w:val="0"/>
                <w:sz w:val="18"/>
                <w:szCs w:val="18"/>
                <w:lang w:val="en-US" w:eastAsia="zh-CN"/>
              </w:rPr>
            </w:pPr>
            <w:r>
              <w:rPr>
                <w:rFonts w:hint="eastAsia" w:ascii="宋体" w:hAnsi="宋体" w:cs="宋体"/>
                <w:color w:val="000000"/>
                <w:kern w:val="0"/>
                <w:sz w:val="18"/>
                <w:szCs w:val="18"/>
              </w:rPr>
              <w:t>9</w:t>
            </w:r>
            <w:r>
              <w:rPr>
                <w:rFonts w:hint="eastAsia" w:ascii="宋体" w:hAnsi="宋体" w:cs="宋体"/>
                <w:color w:val="000000"/>
                <w:kern w:val="0"/>
                <w:sz w:val="18"/>
                <w:szCs w:val="18"/>
                <w:lang w:val="en-US" w:eastAsia="zh-CN"/>
              </w:rPr>
              <w:t>5</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bl>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numPr>
          <w:ilvl w:val="0"/>
          <w:numId w:val="4"/>
        </w:numPr>
        <w:adjustRightInd w:val="0"/>
        <w:snapToGrid w:val="0"/>
        <w:spacing w:line="580" w:lineRule="exact"/>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养老服务体系建设项目自评综述：根据年初设定的绩效目标，养老服务体系建设项目自评得分为90分（绩效自评表附后）。全年预算数为52万元，执行数为46.69万元，完成预算的89.78%。项目绩效目标完成情况：建成以居家为基础、机构为支撑，功能完善，覆盖城乡的养老服务体系，实现老人老有所养，老有所依。发现的主要问题及原因：没有充分发挥</w:t>
      </w:r>
      <w:r>
        <w:rPr>
          <w:rFonts w:hint="eastAsia" w:ascii="仿宋_GB2312" w:hAnsi="仿宋_GB2312" w:eastAsia="仿宋_GB2312" w:cs="仿宋_GB2312"/>
          <w:sz w:val="32"/>
          <w:szCs w:val="32"/>
        </w:rPr>
        <w:t>资金使用率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下一步改进措施：进一步提高资金的使用效率。</w:t>
      </w:r>
    </w:p>
    <w:p>
      <w:pPr>
        <w:numPr>
          <w:ilvl w:val="0"/>
          <w:numId w:val="0"/>
        </w:numPr>
        <w:adjustRightInd w:val="0"/>
        <w:snapToGrid w:val="0"/>
        <w:spacing w:line="580" w:lineRule="exact"/>
        <w:rPr>
          <w:rFonts w:hint="default" w:ascii="仿宋_GB2312" w:hAnsi="仿宋_GB2312" w:eastAsia="仿宋_GB2312" w:cs="仿宋_GB2312"/>
          <w:sz w:val="32"/>
          <w:szCs w:val="32"/>
          <w:lang w:val="en-US" w:eastAsia="zh-CN"/>
        </w:rPr>
      </w:pP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0"/>
            <w:vAlign w:val="center"/>
          </w:tcPr>
          <w:p>
            <w:pPr>
              <w:widowControl/>
              <w:spacing w:line="320" w:lineRule="exact"/>
              <w:jc w:val="center"/>
              <w:rPr>
                <w:rFonts w:ascii="宋体" w:hAnsi="宋体" w:cs="宋体"/>
                <w:b/>
                <w:bCs/>
                <w:kern w:val="0"/>
                <w:sz w:val="32"/>
                <w:szCs w:val="32"/>
              </w:rPr>
            </w:pPr>
            <w:r>
              <w:rPr>
                <w:rFonts w:hint="eastAsia" w:ascii="宋体" w:hAnsi="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val="0"/>
            <w:vAlign w:val="top"/>
          </w:tcPr>
          <w:p>
            <w:pPr>
              <w:widowControl/>
              <w:jc w:val="center"/>
              <w:rPr>
                <w:rFonts w:ascii="宋体" w:hAnsi="宋体" w:cs="宋体"/>
                <w:kern w:val="0"/>
                <w:sz w:val="22"/>
                <w:szCs w:val="22"/>
              </w:rPr>
            </w:pPr>
            <w:r>
              <w:rPr>
                <w:rFonts w:hint="eastAsia" w:ascii="宋体" w:hAnsi="宋体" w:cs="宋体"/>
                <w:kern w:val="0"/>
                <w:sz w:val="22"/>
                <w:szCs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养老服务体系建设资金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无极县民政局</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无极县民政局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46.69</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kern w:val="0"/>
                <w:sz w:val="18"/>
                <w:szCs w:val="18"/>
                <w:lang w:val="en-US" w:eastAsia="zh-CN"/>
              </w:rPr>
            </w:pPr>
            <w:r>
              <w:rPr>
                <w:rFonts w:hint="eastAsia" w:ascii="宋体" w:hAnsi="宋体" w:cs="宋体"/>
                <w:kern w:val="0"/>
                <w:sz w:val="18"/>
                <w:szCs w:val="18"/>
              </w:rPr>
              <w:t>89.78</w:t>
            </w:r>
            <w:r>
              <w:rPr>
                <w:rFonts w:hint="eastAsia" w:ascii="宋体" w:hAnsi="宋体" w:cs="宋体"/>
                <w:kern w:val="0"/>
                <w:sz w:val="18"/>
                <w:szCs w:val="18"/>
                <w:lang w:val="en-US" w:eastAsia="zh-CN"/>
              </w:rPr>
              <w:t>%</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cs="宋体" w:eastAsiaTheme="minorEastAsia"/>
                <w:kern w:val="0"/>
                <w:sz w:val="18"/>
                <w:szCs w:val="18"/>
                <w:lang w:val="en-US" w:eastAsia="zh-CN"/>
              </w:rPr>
            </w:pPr>
            <w:r>
              <w:rPr>
                <w:rFonts w:hint="eastAsia" w:ascii="宋体" w:hAnsi="宋体" w:cs="宋体"/>
                <w:kern w:val="0"/>
                <w:sz w:val="18"/>
                <w:szCs w:val="18"/>
                <w:lang w:val="en-US" w:eastAsia="zh-CN"/>
              </w:rPr>
              <w:t>8.9</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52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52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46.69</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default" w:ascii="宋体" w:hAnsi="宋体" w:cs="宋体" w:eastAsiaTheme="minorEastAsia"/>
                <w:kern w:val="0"/>
                <w:sz w:val="18"/>
                <w:szCs w:val="18"/>
                <w:lang w:val="en-US" w:eastAsia="zh-CN"/>
              </w:rPr>
            </w:pPr>
            <w:r>
              <w:rPr>
                <w:rFonts w:hint="eastAsia" w:ascii="宋体" w:hAnsi="宋体" w:cs="宋体"/>
                <w:kern w:val="0"/>
                <w:sz w:val="18"/>
                <w:szCs w:val="18"/>
                <w:lang w:val="en-US" w:eastAsia="zh-CN"/>
              </w:rPr>
              <w:t>89.78%</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建成以居家为基础、机构为支撑，功能完善，覆盖城乡的养老服务体系，实现老人老有所养，老有所依。</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产出指标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3"/>
                <w:szCs w:val="18"/>
              </w:rPr>
            </w:pPr>
            <w:r>
              <w:rPr>
                <w:rFonts w:hint="eastAsia" w:ascii="宋体" w:hAnsi="宋体" w:cs="宋体"/>
                <w:color w:val="000000"/>
                <w:kern w:val="0"/>
                <w:sz w:val="13"/>
                <w:szCs w:val="18"/>
              </w:rPr>
              <w:t>城乡居家养老服务中心建设奖补贴率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&gt;90%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16</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287"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3"/>
                <w:szCs w:val="13"/>
              </w:rPr>
            </w:pPr>
            <w:r>
              <w:rPr>
                <w:rFonts w:hint="eastAsia" w:ascii="宋体" w:hAnsi="宋体" w:cs="宋体"/>
                <w:color w:val="000000"/>
                <w:kern w:val="0"/>
                <w:sz w:val="13"/>
                <w:szCs w:val="13"/>
              </w:rPr>
              <w:t>五保供养服务机构集中供养能力</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&gt;90%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6"/>
                <w:szCs w:val="18"/>
              </w:rPr>
              <w:t>25</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5"/>
                <w:szCs w:val="18"/>
              </w:rPr>
              <w:t>入住养老机构的老年人满意度</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&gt;90%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49</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6"/>
                <w:szCs w:val="18"/>
              </w:rPr>
              <w:t>90</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bl>
    <w:p>
      <w:pPr>
        <w:pStyle w:val="14"/>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jc w:val="left"/>
        <w:rPr>
          <w:rFonts w:hint="default"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4）困难群众救助补助资金项目自评综述：根据年初设定的绩效目标，困难群众救助补助资金项目自评得分为85分（绩效自评表附后）。全年预算数为5468.39万元，执行数为4319.36万元，完成预算的79%。项目绩效目标完成情况：一是保障城乡低保对象的基本生活；二是特困人员救助供养城乡统筹。发现的主要问题及原因：资金的使用率不高。下一步改进措施：低保对象做到应保尽保，提高资金的使用效率。</w:t>
      </w:r>
    </w:p>
    <w:tbl>
      <w:tblPr>
        <w:tblStyle w:val="7"/>
        <w:tblW w:w="9080" w:type="dxa"/>
        <w:jc w:val="center"/>
        <w:tblLayout w:type="fixed"/>
        <w:tblCellMar>
          <w:top w:w="0" w:type="dxa"/>
          <w:left w:w="108" w:type="dxa"/>
          <w:bottom w:w="0" w:type="dxa"/>
          <w:right w:w="108" w:type="dxa"/>
        </w:tblCellMar>
      </w:tblPr>
      <w:tblGrid>
        <w:gridCol w:w="588"/>
        <w:gridCol w:w="980"/>
        <w:gridCol w:w="1260"/>
        <w:gridCol w:w="582"/>
        <w:gridCol w:w="1134"/>
        <w:gridCol w:w="484"/>
        <w:gridCol w:w="862"/>
        <w:gridCol w:w="639"/>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0"/>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val="0"/>
            <w:vAlign w:val="top"/>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cs="宋体"/>
                <w:kern w:val="0"/>
                <w:sz w:val="22"/>
                <w:szCs w:val="22"/>
                <w:lang w:val="en-US" w:eastAsia="zh-CN"/>
              </w:rPr>
              <w:t>2019</w:t>
            </w:r>
            <w:r>
              <w:rPr>
                <w:rFonts w:hint="eastAsia" w:ascii="宋体" w:hAnsi="宋体" w:eastAsia="宋体" w:cs="宋体"/>
                <w:kern w:val="0"/>
                <w:sz w:val="22"/>
                <w:szCs w:val="22"/>
              </w:rPr>
              <w:t>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困难群众救助补助资金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322"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cs="宋体"/>
                <w:kern w:val="0"/>
                <w:sz w:val="18"/>
                <w:szCs w:val="18"/>
                <w:lang w:eastAsia="zh-CN"/>
              </w:rPr>
              <w:t>无极县民政局</w:t>
            </w:r>
          </w:p>
        </w:tc>
        <w:tc>
          <w:tcPr>
            <w:tcW w:w="922"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cs="宋体"/>
                <w:kern w:val="0"/>
                <w:sz w:val="18"/>
                <w:szCs w:val="18"/>
                <w:lang w:eastAsia="zh-CN"/>
              </w:rPr>
              <w:t>无极县民政局</w:t>
            </w:r>
          </w:p>
        </w:tc>
      </w:tr>
      <w:tr>
        <w:tblPrEx>
          <w:tblCellMar>
            <w:top w:w="0" w:type="dxa"/>
            <w:left w:w="108" w:type="dxa"/>
            <w:bottom w:w="0" w:type="dxa"/>
            <w:right w:w="108" w:type="dxa"/>
          </w:tblCellMar>
        </w:tblPrEx>
        <w:trPr>
          <w:trHeight w:val="515"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46"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922"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5468.39</w:t>
            </w:r>
          </w:p>
        </w:tc>
        <w:tc>
          <w:tcPr>
            <w:tcW w:w="1346"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5468.39</w:t>
            </w:r>
          </w:p>
        </w:tc>
        <w:tc>
          <w:tcPr>
            <w:tcW w:w="922"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4319.36</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79%</w:t>
            </w:r>
          </w:p>
        </w:tc>
        <w:tc>
          <w:tcPr>
            <w:tcW w:w="708" w:type="dxa"/>
            <w:tcBorders>
              <w:top w:val="nil"/>
              <w:left w:val="nil"/>
              <w:bottom w:val="single" w:color="auto" w:sz="4" w:space="0"/>
              <w:right w:val="single" w:color="auto" w:sz="4" w:space="0"/>
            </w:tcBorders>
            <w:noWrap w:val="0"/>
            <w:vAlign w:val="center"/>
          </w:tcPr>
          <w:p>
            <w:pPr>
              <w:widowControl/>
              <w:spacing w:line="240" w:lineRule="exact"/>
              <w:jc w:val="both"/>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7.9</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5468.39</w:t>
            </w:r>
          </w:p>
        </w:tc>
        <w:tc>
          <w:tcPr>
            <w:tcW w:w="1346"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rPr>
              <w:t>5468.39</w:t>
            </w:r>
          </w:p>
        </w:tc>
        <w:tc>
          <w:tcPr>
            <w:tcW w:w="922"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4319.36</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lang w:val="en-US" w:eastAsia="zh-CN"/>
              </w:rPr>
              <w:t>79%</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p>
        </w:tc>
        <w:tc>
          <w:tcPr>
            <w:tcW w:w="1346"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22"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346"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22"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852" w:hRule="exact"/>
          <w:jc w:val="center"/>
        </w:trPr>
        <w:tc>
          <w:tcPr>
            <w:tcW w:w="588" w:type="dxa"/>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302"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190"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2878" w:hRule="exact"/>
          <w:jc w:val="center"/>
        </w:trPr>
        <w:tc>
          <w:tcPr>
            <w:tcW w:w="588" w:type="dxa"/>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302"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both"/>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目标1：保障城乡低保对象基本生活；</w:t>
            </w:r>
          </w:p>
          <w:p>
            <w:pPr>
              <w:widowControl/>
              <w:spacing w:line="240" w:lineRule="exact"/>
              <w:jc w:val="both"/>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目标2：特困人员救助供养城乡统筹；</w:t>
            </w:r>
          </w:p>
          <w:p>
            <w:pPr>
              <w:widowControl/>
              <w:spacing w:line="240" w:lineRule="exact"/>
              <w:jc w:val="both"/>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目标3：临时救助及时高效、救急解难；</w:t>
            </w:r>
          </w:p>
          <w:p>
            <w:pPr>
              <w:widowControl/>
              <w:spacing w:line="240" w:lineRule="exact"/>
              <w:jc w:val="both"/>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目标</w:t>
            </w:r>
            <w:r>
              <w:rPr>
                <w:rFonts w:hint="eastAsia" w:ascii="宋体" w:hAnsi="宋体" w:cs="宋体"/>
                <w:kern w:val="0"/>
                <w:sz w:val="18"/>
                <w:szCs w:val="18"/>
                <w:lang w:val="en-US" w:eastAsia="zh-CN"/>
              </w:rPr>
              <w:t>4</w:t>
            </w:r>
            <w:r>
              <w:rPr>
                <w:rFonts w:hint="eastAsia" w:ascii="宋体" w:hAnsi="宋体" w:eastAsia="宋体" w:cs="宋体"/>
                <w:kern w:val="0"/>
                <w:sz w:val="18"/>
                <w:szCs w:val="18"/>
                <w:lang w:val="en-US" w:eastAsia="zh-CN"/>
              </w:rPr>
              <w:t>：对流浪未成年人履行临时监护责任，维持其身心健康，帮助其顺利回归家庭，并做好源头预防工作；</w:t>
            </w:r>
          </w:p>
          <w:p>
            <w:pPr>
              <w:widowControl/>
              <w:spacing w:line="240" w:lineRule="exact"/>
              <w:jc w:val="both"/>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目标6：保障孤儿和艾滋病毒感染儿童生存，促进其成长，使其生活得更有尊严，更好的融入社会；</w:t>
            </w:r>
          </w:p>
          <w:p>
            <w:pPr>
              <w:widowControl/>
              <w:spacing w:line="240" w:lineRule="exact"/>
              <w:jc w:val="both"/>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目标7：落实困难残疾人生活补贴和重度残疾人护理补贴制度，持续解决残疾人特殊生活困难和长期照护困难。</w:t>
            </w:r>
          </w:p>
        </w:tc>
        <w:tc>
          <w:tcPr>
            <w:tcW w:w="3190"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cs="宋体"/>
                <w:kern w:val="0"/>
                <w:sz w:val="18"/>
                <w:szCs w:val="18"/>
                <w:lang w:eastAsia="zh-CN"/>
              </w:rPr>
              <w:t>已完成</w:t>
            </w:r>
          </w:p>
        </w:tc>
      </w:tr>
      <w:tr>
        <w:tblPrEx>
          <w:tblCellMar>
            <w:top w:w="0" w:type="dxa"/>
            <w:left w:w="108" w:type="dxa"/>
            <w:bottom w:w="0" w:type="dxa"/>
            <w:right w:w="108" w:type="dxa"/>
          </w:tblCellMar>
        </w:tblPrEx>
        <w:trPr>
          <w:trHeight w:val="921" w:hRule="exact"/>
          <w:jc w:val="center"/>
        </w:trPr>
        <w:tc>
          <w:tcPr>
            <w:tcW w:w="588" w:type="dxa"/>
            <w:tcBorders>
              <w:top w:val="nil"/>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26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200"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w:t>
            </w:r>
            <w:r>
              <w:rPr>
                <w:rFonts w:hint="eastAsia" w:ascii="宋体" w:hAnsi="宋体" w:cs="宋体"/>
                <w:kern w:val="0"/>
                <w:sz w:val="18"/>
                <w:szCs w:val="18"/>
                <w:lang w:eastAsia="zh-CN"/>
              </w:rPr>
              <w:t>已完成</w:t>
            </w:r>
            <w:r>
              <w:rPr>
                <w:rFonts w:hint="eastAsia" w:ascii="宋体" w:hAnsi="宋体" w:eastAsia="宋体" w:cs="宋体"/>
                <w:kern w:val="0"/>
                <w:sz w:val="18"/>
                <w:szCs w:val="18"/>
              </w:rPr>
              <w:t>分</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12"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cs="宋体"/>
                <w:i w:val="0"/>
                <w:color w:val="000000"/>
                <w:kern w:val="2"/>
                <w:sz w:val="15"/>
                <w:szCs w:val="15"/>
                <w:u w:val="none"/>
                <w:lang w:val="en-US" w:eastAsia="zh-CN" w:bidi="ar-SA"/>
              </w:rPr>
              <w:t>产出指标</w:t>
            </w:r>
          </w:p>
        </w:tc>
        <w:tc>
          <w:tcPr>
            <w:tcW w:w="1260"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数量指标</w:t>
            </w: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孤儿纳入保障范围率</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5"/>
                <w:szCs w:val="15"/>
                <w:lang w:val="en-US" w:eastAsia="zh-CN"/>
              </w:rPr>
            </w:pPr>
            <w:r>
              <w:rPr>
                <w:rFonts w:hint="eastAsia" w:ascii="宋体" w:hAnsi="宋体" w:cs="宋体"/>
                <w:kern w:val="0"/>
                <w:sz w:val="15"/>
                <w:szCs w:val="15"/>
                <w:lang w:val="en-US" w:eastAsia="zh-CN"/>
              </w:rPr>
              <w:t>≥95%</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3"/>
                <w:szCs w:val="13"/>
                <w:lang w:val="en-US" w:eastAsia="zh-CN"/>
              </w:rPr>
            </w:pPr>
            <w:r>
              <w:rPr>
                <w:rFonts w:hint="eastAsia" w:ascii="宋体" w:hAnsi="宋体" w:cs="宋体"/>
                <w:kern w:val="0"/>
                <w:sz w:val="13"/>
                <w:szCs w:val="13"/>
                <w:lang w:val="en-US" w:eastAsia="zh-CN"/>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9</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1260" w:type="dxa"/>
            <w:vMerge w:val="restart"/>
            <w:tcBorders>
              <w:top w:val="nil"/>
              <w:left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质量指标</w:t>
            </w: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城乡低保标准</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5"/>
                <w:szCs w:val="15"/>
                <w:lang w:val="en-US" w:eastAsia="zh-CN"/>
              </w:rPr>
            </w:pPr>
            <w:r>
              <w:rPr>
                <w:rFonts w:hint="eastAsia" w:ascii="宋体" w:hAnsi="宋体" w:cs="宋体"/>
                <w:kern w:val="0"/>
                <w:sz w:val="11"/>
                <w:szCs w:val="11"/>
                <w:lang w:val="en-US" w:eastAsia="zh-CN"/>
              </w:rPr>
              <w:t>不低于上年</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3"/>
                <w:szCs w:val="13"/>
                <w:lang w:val="en-US" w:eastAsia="zh-CN"/>
              </w:rPr>
            </w:pPr>
            <w:r>
              <w:rPr>
                <w:rFonts w:hint="eastAsia" w:ascii="宋体" w:hAnsi="宋体" w:cs="宋体"/>
                <w:kern w:val="0"/>
                <w:sz w:val="13"/>
                <w:szCs w:val="13"/>
                <w:lang w:val="en-US" w:eastAsia="zh-CN"/>
              </w:rPr>
              <w:t>完成</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9</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126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农村低保标准高于国家扶贫标准的县（市、区）比例</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5"/>
                <w:szCs w:val="15"/>
                <w:lang w:val="en-US" w:eastAsia="zh-CN"/>
              </w:rPr>
            </w:pPr>
            <w:r>
              <w:rPr>
                <w:rFonts w:hint="eastAsia" w:ascii="宋体" w:hAnsi="宋体" w:cs="宋体"/>
                <w:kern w:val="0"/>
                <w:sz w:val="15"/>
                <w:szCs w:val="15"/>
                <w:lang w:val="en-US" w:eastAsia="zh-CN"/>
              </w:rPr>
              <w:t>100%</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3"/>
                <w:szCs w:val="13"/>
                <w:lang w:val="en-US" w:eastAsia="zh-CN"/>
              </w:rPr>
            </w:pPr>
            <w:r>
              <w:rPr>
                <w:rFonts w:hint="eastAsia" w:ascii="宋体" w:hAnsi="宋体" w:cs="宋体"/>
                <w:kern w:val="0"/>
                <w:sz w:val="13"/>
                <w:szCs w:val="13"/>
                <w:lang w:val="en-US" w:eastAsia="zh-CN"/>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rPr>
          <w:trHeight w:val="300"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126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城乡特困人员救助供养标准</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5"/>
                <w:szCs w:val="15"/>
                <w:lang w:eastAsia="zh-CN"/>
              </w:rPr>
            </w:pPr>
            <w:r>
              <w:rPr>
                <w:rFonts w:hint="eastAsia" w:ascii="宋体" w:hAnsi="宋体" w:cs="宋体"/>
                <w:kern w:val="0"/>
                <w:sz w:val="11"/>
                <w:szCs w:val="11"/>
                <w:lang w:eastAsia="zh-CN"/>
              </w:rPr>
              <w:t>不低于上年</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3"/>
                <w:szCs w:val="13"/>
                <w:lang w:eastAsia="zh-CN"/>
              </w:rPr>
            </w:pPr>
            <w:r>
              <w:rPr>
                <w:rFonts w:hint="eastAsia" w:ascii="宋体" w:hAnsi="宋体" w:cs="宋体"/>
                <w:kern w:val="0"/>
                <w:sz w:val="13"/>
                <w:szCs w:val="13"/>
                <w:lang w:eastAsia="zh-CN"/>
              </w:rPr>
              <w:t>完成</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126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生活不能自理特困人员集中供养率</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5"/>
                <w:szCs w:val="15"/>
                <w:lang w:val="en-US" w:eastAsia="zh-CN"/>
              </w:rPr>
            </w:pPr>
            <w:r>
              <w:rPr>
                <w:rFonts w:hint="eastAsia" w:ascii="宋体" w:hAnsi="宋体" w:cs="宋体"/>
                <w:kern w:val="0"/>
                <w:sz w:val="15"/>
                <w:szCs w:val="15"/>
                <w:lang w:val="en-US" w:eastAsia="zh-CN"/>
              </w:rPr>
              <w:t>≥30%</w:t>
            </w:r>
          </w:p>
        </w:tc>
        <w:tc>
          <w:tcPr>
            <w:tcW w:w="639" w:type="dxa"/>
            <w:tcBorders>
              <w:top w:val="nil"/>
              <w:left w:val="nil"/>
              <w:bottom w:val="single" w:color="auto" w:sz="4" w:space="0"/>
              <w:right w:val="single" w:color="auto" w:sz="4" w:space="0"/>
            </w:tcBorders>
            <w:noWrap w:val="0"/>
            <w:vAlign w:val="center"/>
          </w:tcPr>
          <w:p>
            <w:pPr>
              <w:widowControl/>
              <w:spacing w:line="240" w:lineRule="exact"/>
              <w:ind w:firstLine="130" w:firstLineChars="100"/>
              <w:jc w:val="both"/>
              <w:rPr>
                <w:rFonts w:hint="eastAsia" w:ascii="宋体" w:hAnsi="宋体" w:eastAsia="宋体" w:cs="宋体"/>
                <w:kern w:val="0"/>
                <w:sz w:val="13"/>
                <w:szCs w:val="13"/>
                <w:lang w:val="en-US" w:eastAsia="zh-CN"/>
              </w:rPr>
            </w:pPr>
            <w:r>
              <w:rPr>
                <w:rFonts w:hint="eastAsia" w:ascii="宋体" w:hAnsi="宋体" w:cs="宋体"/>
                <w:kern w:val="0"/>
                <w:sz w:val="13"/>
                <w:szCs w:val="13"/>
                <w:lang w:val="en-US" w:eastAsia="zh-CN"/>
              </w:rPr>
              <w:t>完成</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1260"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孤儿认定准确率</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5"/>
                <w:szCs w:val="15"/>
                <w:lang w:val="en-US" w:eastAsia="zh-CN"/>
              </w:rPr>
            </w:pPr>
            <w:r>
              <w:rPr>
                <w:rFonts w:hint="eastAsia" w:ascii="宋体" w:hAnsi="宋体" w:cs="宋体"/>
                <w:kern w:val="0"/>
                <w:sz w:val="15"/>
                <w:szCs w:val="15"/>
                <w:lang w:eastAsia="zh-CN"/>
              </w:rPr>
              <w:t>≥</w:t>
            </w:r>
            <w:r>
              <w:rPr>
                <w:rFonts w:hint="eastAsia" w:ascii="宋体" w:hAnsi="宋体" w:cs="宋体"/>
                <w:kern w:val="0"/>
                <w:sz w:val="15"/>
                <w:szCs w:val="15"/>
                <w:lang w:val="en-US" w:eastAsia="zh-CN"/>
              </w:rPr>
              <w:t>90%</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3"/>
                <w:szCs w:val="13"/>
                <w:lang w:val="en-US" w:eastAsia="zh-CN"/>
              </w:rPr>
            </w:pPr>
            <w:r>
              <w:rPr>
                <w:rFonts w:hint="eastAsia" w:ascii="宋体" w:hAnsi="宋体" w:cs="宋体"/>
                <w:kern w:val="0"/>
                <w:sz w:val="13"/>
                <w:szCs w:val="13"/>
                <w:lang w:val="en-US" w:eastAsia="zh-CN"/>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9</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288"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p>
        </w:tc>
        <w:tc>
          <w:tcPr>
            <w:tcW w:w="1260"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成本指标</w:t>
            </w: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低保资金社会化发放率</w:t>
            </w:r>
          </w:p>
        </w:tc>
        <w:tc>
          <w:tcPr>
            <w:tcW w:w="862" w:type="dxa"/>
            <w:tcBorders>
              <w:top w:val="nil"/>
              <w:left w:val="nil"/>
              <w:bottom w:val="single" w:color="auto" w:sz="4" w:space="0"/>
              <w:right w:val="single" w:color="auto" w:sz="4" w:space="0"/>
            </w:tcBorders>
            <w:noWrap w:val="0"/>
            <w:vAlign w:val="center"/>
          </w:tcPr>
          <w:p>
            <w:pPr>
              <w:widowControl/>
              <w:spacing w:line="240" w:lineRule="auto"/>
              <w:ind w:firstLine="150" w:firstLineChars="100"/>
              <w:jc w:val="both"/>
              <w:rPr>
                <w:rFonts w:hint="default" w:ascii="宋体" w:hAnsi="宋体" w:eastAsia="宋体" w:cs="宋体"/>
                <w:kern w:val="0"/>
                <w:sz w:val="15"/>
                <w:szCs w:val="15"/>
                <w:lang w:val="en-US" w:eastAsia="zh-CN"/>
              </w:rPr>
            </w:pPr>
            <w:r>
              <w:rPr>
                <w:rFonts w:hint="eastAsia" w:ascii="宋体" w:hAnsi="宋体" w:cs="宋体"/>
                <w:kern w:val="0"/>
                <w:sz w:val="15"/>
                <w:szCs w:val="15"/>
                <w:lang w:val="en-US" w:eastAsia="zh-CN"/>
              </w:rPr>
              <w:t>≥90%</w:t>
            </w:r>
          </w:p>
        </w:tc>
        <w:tc>
          <w:tcPr>
            <w:tcW w:w="639" w:type="dxa"/>
            <w:tcBorders>
              <w:top w:val="nil"/>
              <w:left w:val="nil"/>
              <w:bottom w:val="single" w:color="auto" w:sz="4" w:space="0"/>
              <w:right w:val="single" w:color="auto" w:sz="4" w:space="0"/>
            </w:tcBorders>
            <w:noWrap w:val="0"/>
            <w:vAlign w:val="center"/>
          </w:tcPr>
          <w:p>
            <w:pPr>
              <w:widowControl/>
              <w:spacing w:line="240" w:lineRule="auto"/>
              <w:ind w:firstLine="130" w:firstLineChars="100"/>
              <w:jc w:val="both"/>
              <w:rPr>
                <w:rFonts w:hint="eastAsia" w:ascii="宋体" w:hAnsi="宋体" w:eastAsia="宋体" w:cs="宋体"/>
                <w:kern w:val="0"/>
                <w:sz w:val="13"/>
                <w:szCs w:val="13"/>
                <w:lang w:eastAsia="zh-CN"/>
              </w:rPr>
            </w:pPr>
            <w:r>
              <w:rPr>
                <w:rFonts w:hint="eastAsia" w:ascii="宋体" w:hAnsi="宋体" w:cs="宋体"/>
                <w:kern w:val="0"/>
                <w:sz w:val="13"/>
                <w:szCs w:val="13"/>
                <w:lang w:eastAsia="zh-CN"/>
              </w:rPr>
              <w:t>完成</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9</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1063"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效益指标</w:t>
            </w:r>
          </w:p>
        </w:tc>
        <w:tc>
          <w:tcPr>
            <w:tcW w:w="1260" w:type="dxa"/>
            <w:vMerge w:val="restart"/>
            <w:tcBorders>
              <w:top w:val="nil"/>
              <w:left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社会效益</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指标</w:t>
            </w: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困难残疾人生活补贴和重度残疾人护理补贴标准</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达到66元/人/月和60元/人/月</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3"/>
                <w:szCs w:val="13"/>
                <w:lang w:eastAsia="zh-CN"/>
              </w:rPr>
            </w:pPr>
            <w:r>
              <w:rPr>
                <w:rFonts w:hint="eastAsia" w:ascii="宋体" w:hAnsi="宋体" w:cs="宋体"/>
                <w:kern w:val="0"/>
                <w:sz w:val="13"/>
                <w:szCs w:val="13"/>
                <w:lang w:eastAsia="zh-CN"/>
              </w:rPr>
              <w:t>完成</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9</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1"/>
                <w:szCs w:val="11"/>
              </w:rPr>
            </w:pPr>
          </w:p>
        </w:tc>
        <w:tc>
          <w:tcPr>
            <w:tcW w:w="980" w:type="dxa"/>
            <w:vMerge w:val="continue"/>
            <w:tcBorders>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15"/>
                <w:szCs w:val="15"/>
                <w:u w:val="none"/>
                <w:lang w:val="en-US" w:eastAsia="zh-CN" w:bidi="ar-SA"/>
              </w:rPr>
            </w:pPr>
          </w:p>
        </w:tc>
        <w:tc>
          <w:tcPr>
            <w:tcW w:w="1260" w:type="dxa"/>
            <w:vMerge w:val="continue"/>
            <w:tcBorders>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15"/>
                <w:szCs w:val="15"/>
                <w:u w:val="none"/>
                <w:lang w:val="en-US" w:eastAsia="zh-CN" w:bidi="ar-SA"/>
              </w:rPr>
            </w:pP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困难群众生活水平提升情况</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5"/>
                <w:szCs w:val="15"/>
                <w:lang w:eastAsia="zh-CN"/>
              </w:rPr>
            </w:pPr>
            <w:r>
              <w:rPr>
                <w:rFonts w:hint="eastAsia" w:ascii="宋体" w:hAnsi="宋体" w:cs="宋体"/>
                <w:kern w:val="0"/>
                <w:sz w:val="15"/>
                <w:szCs w:val="15"/>
                <w:lang w:eastAsia="zh-CN"/>
              </w:rPr>
              <w:t>稳步提升</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5"/>
                <w:szCs w:val="15"/>
                <w:lang w:eastAsia="zh-CN"/>
              </w:rPr>
            </w:pPr>
            <w:r>
              <w:rPr>
                <w:rFonts w:hint="eastAsia" w:ascii="宋体" w:hAnsi="宋体" w:cs="宋体"/>
                <w:kern w:val="0"/>
                <w:sz w:val="15"/>
                <w:szCs w:val="15"/>
                <w:lang w:eastAsia="zh-CN"/>
              </w:rPr>
              <w:t>稳步提升</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1"/>
                <w:szCs w:val="11"/>
              </w:rPr>
            </w:pPr>
          </w:p>
        </w:tc>
        <w:tc>
          <w:tcPr>
            <w:tcW w:w="980" w:type="dxa"/>
            <w:tcBorders>
              <w:left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5"/>
                <w:szCs w:val="15"/>
                <w:lang w:eastAsia="zh-CN"/>
              </w:rPr>
            </w:pPr>
            <w:r>
              <w:rPr>
                <w:rFonts w:hint="eastAsia" w:ascii="宋体" w:hAnsi="宋体" w:cs="宋体"/>
                <w:kern w:val="0"/>
                <w:sz w:val="15"/>
                <w:szCs w:val="15"/>
                <w:lang w:eastAsia="zh-CN"/>
              </w:rPr>
              <w:t>满意度指标</w:t>
            </w:r>
          </w:p>
        </w:tc>
        <w:tc>
          <w:tcPr>
            <w:tcW w:w="1260" w:type="dxa"/>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5"/>
                <w:szCs w:val="15"/>
                <w:lang w:eastAsia="zh-CN"/>
              </w:rPr>
            </w:pPr>
            <w:r>
              <w:rPr>
                <w:rFonts w:hint="eastAsia" w:ascii="宋体" w:hAnsi="宋体" w:cs="宋体"/>
                <w:kern w:val="0"/>
                <w:sz w:val="15"/>
                <w:szCs w:val="15"/>
                <w:lang w:eastAsia="zh-CN"/>
              </w:rPr>
              <w:t>服务对象满意度指标</w:t>
            </w:r>
          </w:p>
        </w:tc>
        <w:tc>
          <w:tcPr>
            <w:tcW w:w="2200" w:type="dxa"/>
            <w:gridSpan w:val="3"/>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2"/>
                <w:sz w:val="15"/>
                <w:szCs w:val="15"/>
                <w:u w:val="none"/>
                <w:lang w:val="en-US" w:eastAsia="zh-CN" w:bidi="ar-SA"/>
              </w:rPr>
            </w:pPr>
            <w:r>
              <w:rPr>
                <w:rFonts w:hint="eastAsia" w:ascii="宋体" w:hAnsi="宋体" w:eastAsia="宋体" w:cs="宋体"/>
                <w:i w:val="0"/>
                <w:color w:val="000000"/>
                <w:kern w:val="0"/>
                <w:sz w:val="15"/>
                <w:szCs w:val="15"/>
                <w:u w:val="none"/>
                <w:lang w:val="en-US" w:eastAsia="zh-CN" w:bidi="ar"/>
              </w:rPr>
              <w:t>救助对象对社会救助实施的满意度</w:t>
            </w:r>
          </w:p>
        </w:tc>
        <w:tc>
          <w:tcPr>
            <w:tcW w:w="862"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5"/>
                <w:szCs w:val="15"/>
                <w:lang w:val="en-US" w:eastAsia="zh-CN"/>
              </w:rPr>
            </w:pPr>
            <w:r>
              <w:rPr>
                <w:rFonts w:hint="eastAsia" w:ascii="宋体" w:hAnsi="宋体" w:cs="宋体"/>
                <w:kern w:val="0"/>
                <w:sz w:val="15"/>
                <w:szCs w:val="15"/>
                <w:lang w:eastAsia="zh-CN"/>
              </w:rPr>
              <w:t>≥</w:t>
            </w:r>
            <w:r>
              <w:rPr>
                <w:rFonts w:hint="eastAsia" w:ascii="宋体" w:hAnsi="宋体" w:cs="宋体"/>
                <w:kern w:val="0"/>
                <w:sz w:val="15"/>
                <w:szCs w:val="15"/>
                <w:lang w:val="en-US" w:eastAsia="zh-CN"/>
              </w:rPr>
              <w:t>85</w:t>
            </w:r>
          </w:p>
        </w:tc>
        <w:tc>
          <w:tcPr>
            <w:tcW w:w="639"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5"/>
                <w:szCs w:val="15"/>
                <w:lang w:val="en-US" w:eastAsia="zh-CN"/>
              </w:rPr>
            </w:pPr>
            <w:r>
              <w:rPr>
                <w:rFonts w:hint="eastAsia" w:ascii="宋体" w:hAnsi="宋体" w:cs="宋体"/>
                <w:kern w:val="0"/>
                <w:sz w:val="15"/>
                <w:szCs w:val="15"/>
                <w:lang w:val="en-US" w:eastAsia="zh-CN"/>
              </w:rPr>
              <w:t>90%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总分</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color w:val="000000"/>
                <w:kern w:val="0"/>
                <w:sz w:val="21"/>
                <w:szCs w:val="21"/>
                <w:lang w:val="en-US" w:eastAsia="zh-CN"/>
              </w:rPr>
            </w:pPr>
            <w:r>
              <w:rPr>
                <w:rFonts w:hint="eastAsia" w:ascii="宋体" w:hAnsi="宋体" w:cs="宋体"/>
                <w:color w:val="000000"/>
                <w:kern w:val="0"/>
                <w:sz w:val="18"/>
                <w:szCs w:val="18"/>
                <w:lang w:val="en-US" w:eastAsia="zh-CN"/>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color w:val="000000"/>
                <w:kern w:val="0"/>
                <w:sz w:val="21"/>
                <w:szCs w:val="21"/>
                <w:lang w:val="en-US" w:eastAsia="zh-CN"/>
              </w:rPr>
            </w:pPr>
            <w:r>
              <w:rPr>
                <w:rFonts w:hint="eastAsia" w:ascii="宋体" w:hAnsi="宋体" w:cs="宋体"/>
                <w:color w:val="000000"/>
                <w:kern w:val="0"/>
                <w:sz w:val="16"/>
                <w:szCs w:val="16"/>
                <w:lang w:val="en-US" w:eastAsia="zh-CN"/>
              </w:rPr>
              <w:t>85</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21"/>
                <w:szCs w:val="21"/>
              </w:rPr>
            </w:pPr>
          </w:p>
        </w:tc>
      </w:tr>
    </w:tbl>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用于社会福利的福彩公益金项目自评综述：根据年初设定的绩效目标，用于社会福利的福彩公益金项目绩效自评得分为91分（绩效自评表附后）。全年预算数为349.54万元，执行数为319.34万元，完成预算的91.36%。项目绩效目标完成情况：专项用于养老扶贫济困助残。发现的主要问题及原因：资金的使用效率不够高。下一步改进措施：进一步提高资金使用率，科学合理制定绩效目标。</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0"/>
            <w:vAlign w:val="center"/>
          </w:tcPr>
          <w:p>
            <w:pPr>
              <w:widowControl/>
              <w:spacing w:line="320" w:lineRule="exact"/>
              <w:jc w:val="center"/>
              <w:rPr>
                <w:rFonts w:ascii="宋体" w:hAnsi="宋体" w:cs="宋体"/>
                <w:b/>
                <w:bCs/>
                <w:kern w:val="0"/>
                <w:sz w:val="32"/>
                <w:szCs w:val="32"/>
              </w:rPr>
            </w:pPr>
            <w:r>
              <w:rPr>
                <w:rFonts w:hint="eastAsia" w:ascii="宋体" w:hAnsi="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val="0"/>
            <w:vAlign w:val="top"/>
          </w:tcPr>
          <w:p>
            <w:pPr>
              <w:widowControl/>
              <w:jc w:val="center"/>
              <w:rPr>
                <w:rFonts w:ascii="宋体" w:hAnsi="宋体" w:cs="宋体"/>
                <w:kern w:val="0"/>
                <w:sz w:val="22"/>
                <w:szCs w:val="22"/>
              </w:rPr>
            </w:pPr>
            <w:r>
              <w:rPr>
                <w:rFonts w:hint="eastAsia" w:ascii="宋体" w:hAnsi="宋体" w:cs="宋体"/>
                <w:kern w:val="0"/>
                <w:sz w:val="22"/>
                <w:szCs w:val="22"/>
              </w:rPr>
              <w:t>（ 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lang w:val="en-US" w:eastAsia="zh-CN"/>
              </w:rPr>
              <w:t>用于社会福利的</w:t>
            </w:r>
            <w:r>
              <w:rPr>
                <w:rFonts w:hint="eastAsia" w:ascii="宋体" w:hAnsi="宋体" w:cs="宋体"/>
                <w:kern w:val="0"/>
                <w:sz w:val="18"/>
                <w:szCs w:val="18"/>
              </w:rPr>
              <w:t>福彩公益金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无极县民政局</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无极县民政局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349.54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349.54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319.34</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default" w:ascii="宋体" w:hAnsi="宋体" w:cs="宋体" w:eastAsiaTheme="minorEastAsia"/>
                <w:kern w:val="0"/>
                <w:sz w:val="18"/>
                <w:szCs w:val="18"/>
                <w:lang w:val="en-US" w:eastAsia="zh-CN"/>
              </w:rPr>
            </w:pPr>
            <w:r>
              <w:rPr>
                <w:rFonts w:hint="eastAsia" w:ascii="宋体" w:hAnsi="宋体" w:cs="宋体"/>
                <w:kern w:val="0"/>
                <w:sz w:val="18"/>
                <w:szCs w:val="18"/>
                <w:lang w:val="en-US" w:eastAsia="zh-CN"/>
              </w:rPr>
              <w:t>91.36%</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cs="宋体" w:eastAsiaTheme="minorEastAsia"/>
                <w:kern w:val="0"/>
                <w:sz w:val="18"/>
                <w:szCs w:val="18"/>
                <w:lang w:eastAsia="zh-CN"/>
              </w:rPr>
            </w:pPr>
            <w:r>
              <w:rPr>
                <w:rFonts w:hint="eastAsia" w:ascii="宋体" w:hAnsi="宋体" w:cs="宋体"/>
                <w:kern w:val="0"/>
                <w:sz w:val="18"/>
                <w:szCs w:val="18"/>
                <w:lang w:val="en-US" w:eastAsia="zh-CN"/>
              </w:rPr>
              <w:t>9</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349.54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349.54</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eastAsiaTheme="minorEastAsia"/>
                <w:kern w:val="0"/>
                <w:sz w:val="18"/>
                <w:szCs w:val="18"/>
                <w:lang w:val="en-US" w:eastAsia="zh-CN" w:bidi="ar-SA"/>
              </w:rPr>
            </w:pPr>
            <w:r>
              <w:rPr>
                <w:rFonts w:hint="eastAsia" w:ascii="宋体" w:hAnsi="宋体" w:cs="宋体"/>
                <w:kern w:val="0"/>
                <w:sz w:val="18"/>
                <w:szCs w:val="18"/>
              </w:rPr>
              <w:t>319.34</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default" w:ascii="宋体" w:hAnsi="宋体" w:cs="宋体" w:eastAsiaTheme="minorEastAsia"/>
                <w:kern w:val="0"/>
                <w:sz w:val="18"/>
                <w:szCs w:val="18"/>
                <w:lang w:val="en-US" w:eastAsia="zh-CN"/>
              </w:rPr>
            </w:pPr>
            <w:r>
              <w:rPr>
                <w:rFonts w:hint="eastAsia" w:ascii="宋体" w:hAnsi="宋体" w:cs="宋体"/>
                <w:kern w:val="0"/>
                <w:sz w:val="18"/>
                <w:szCs w:val="18"/>
                <w:lang w:val="en-US" w:eastAsia="zh-CN"/>
              </w:rPr>
              <w:t>91.36%</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专项用于养老扶贫济困助残</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产出指标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5"/>
                <w:szCs w:val="15"/>
              </w:rPr>
            </w:pPr>
            <w:r>
              <w:rPr>
                <w:rFonts w:hint="eastAsia" w:ascii="宋体" w:hAnsi="宋体" w:cs="宋体"/>
                <w:color w:val="000000"/>
                <w:kern w:val="0"/>
                <w:sz w:val="15"/>
                <w:szCs w:val="15"/>
              </w:rPr>
              <w:t>项目规划编制完整性、合规性</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资金在规定时间下达</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&gt;90%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&gt;90%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3"/>
                <w:szCs w:val="13"/>
              </w:rPr>
            </w:pPr>
            <w:r>
              <w:rPr>
                <w:rFonts w:hint="eastAsia" w:ascii="宋体" w:hAnsi="宋体" w:cs="宋体"/>
                <w:color w:val="000000"/>
                <w:kern w:val="0"/>
                <w:sz w:val="13"/>
                <w:szCs w:val="13"/>
              </w:rPr>
              <w:t>社会公益机构的服务能力和水平</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5"/>
                <w:szCs w:val="18"/>
              </w:rPr>
            </w:pPr>
            <w:r>
              <w:rPr>
                <w:rFonts w:hint="eastAsia" w:ascii="宋体" w:hAnsi="宋体" w:cs="宋体"/>
                <w:kern w:val="0"/>
                <w:sz w:val="15"/>
                <w:szCs w:val="18"/>
              </w:rPr>
              <w:t>持续提高</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5"/>
                <w:szCs w:val="18"/>
              </w:rPr>
            </w:pPr>
            <w:r>
              <w:rPr>
                <w:rFonts w:hint="eastAsia" w:ascii="宋体" w:hAnsi="宋体" w:cs="宋体"/>
                <w:kern w:val="0"/>
                <w:sz w:val="15"/>
                <w:szCs w:val="18"/>
              </w:rPr>
              <w:t>持续提高</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5"/>
                <w:szCs w:val="18"/>
              </w:rPr>
            </w:pPr>
            <w:r>
              <w:rPr>
                <w:rFonts w:hint="eastAsia" w:ascii="宋体" w:hAnsi="宋体" w:cs="宋体"/>
                <w:kern w:val="0"/>
                <w:sz w:val="15"/>
                <w:szCs w:val="18"/>
              </w:rPr>
              <w:t>20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16</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lang w:val="en-US" w:eastAsia="zh-CN"/>
              </w:rPr>
              <w:t>受</w:t>
            </w:r>
            <w:r>
              <w:rPr>
                <w:rFonts w:hint="eastAsia" w:ascii="宋体" w:hAnsi="宋体" w:cs="宋体"/>
                <w:color w:val="000000"/>
                <w:kern w:val="0"/>
                <w:sz w:val="18"/>
                <w:szCs w:val="18"/>
              </w:rPr>
              <w:t>益人群满意度</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≥85%</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&gt;85%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27</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91</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cs="宋体"/>
                <w:kern w:val="0"/>
                <w:sz w:val="18"/>
                <w:szCs w:val="18"/>
              </w:rPr>
            </w:pPr>
          </w:p>
        </w:tc>
      </w:tr>
    </w:tbl>
    <w:p>
      <w:pPr>
        <w:pStyle w:val="14"/>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240" w:lineRule="auto"/>
        <w:jc w:val="left"/>
        <w:rPr>
          <w:rFonts w:hint="eastAsia" w:ascii="仿宋_GB2312" w:hAnsi="仿宋_GB2312" w:eastAsia="仿宋_GB2312" w:cs="仿宋_GB2312"/>
          <w:sz w:val="32"/>
          <w:szCs w:val="32"/>
          <w:lang w:val="en-US" w:eastAsia="zh-CN"/>
        </w:rPr>
      </w:pPr>
    </w:p>
    <w:p>
      <w:pPr>
        <w:numPr>
          <w:ilvl w:val="0"/>
          <w:numId w:val="2"/>
        </w:numPr>
        <w:adjustRightInd w:val="0"/>
        <w:snapToGrid w:val="0"/>
        <w:spacing w:line="580" w:lineRule="exact"/>
        <w:ind w:left="0" w:leftChars="0"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w:t>
      </w:r>
    </w:p>
    <w:p>
      <w:pPr>
        <w:numPr>
          <w:ilvl w:val="0"/>
          <w:numId w:val="0"/>
        </w:numPr>
        <w:adjustRightInd w:val="0"/>
        <w:snapToGrid w:val="0"/>
        <w:spacing w:line="580" w:lineRule="exact"/>
        <w:ind w:leftChars="200"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无财政评价项目绩效评价结果。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238.59</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33.01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16.06</w:t>
      </w:r>
      <w:r>
        <w:rPr>
          <w:rFonts w:hint="eastAsia" w:ascii="仿宋_GB2312" w:hAnsi="Times New Roman" w:eastAsia="仿宋_GB2312" w:cs="DengXian-Regular"/>
          <w:sz w:val="32"/>
          <w:szCs w:val="32"/>
        </w:rPr>
        <w:t>%。主要原因是办公费</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基本支出增加</w:t>
      </w:r>
      <w:r>
        <w:rPr>
          <w:rFonts w:hint="eastAsia" w:ascii="仿宋_GB2312" w:hAnsi="Times New Roman" w:eastAsia="仿宋_GB2312" w:cs="DengXian-Regular"/>
          <w:sz w:val="32"/>
          <w:szCs w:val="32"/>
        </w:rPr>
        <w:t>。</w:t>
      </w:r>
    </w:p>
    <w:p>
      <w:pPr>
        <w:numPr>
          <w:ilvl w:val="0"/>
          <w:numId w:val="5"/>
        </w:numPr>
        <w:adjustRightInd w:val="0"/>
        <w:snapToGrid w:val="0"/>
        <w:spacing w:line="580" w:lineRule="exact"/>
        <w:ind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政府采购情况</w:t>
      </w:r>
    </w:p>
    <w:p>
      <w:pPr>
        <w:numPr>
          <w:ilvl w:val="0"/>
          <w:numId w:val="0"/>
        </w:numPr>
        <w:adjustRightInd w:val="0"/>
        <w:snapToGrid w:val="0"/>
        <w:spacing w:line="580" w:lineRule="exact"/>
        <w:ind w:firstLine="640" w:firstLineChars="200"/>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车</w:t>
      </w:r>
      <w:r>
        <w:rPr>
          <w:rFonts w:hint="eastAsia" w:ascii="仿宋_GB2312" w:hAnsi="Times New Roman" w:eastAsia="仿宋_GB2312" w:cs="DengXian-Regular"/>
          <w:sz w:val="32"/>
          <w:szCs w:val="32"/>
        </w:rPr>
        <w:t>辆已达使用年限，车况较差，已进行处置。其中，副部（省）级及以上领导用车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辆，其他用车主要是运尸专用车及用于单位执行公务车辆。</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主要是未购置</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的</w:t>
      </w:r>
      <w:r>
        <w:rPr>
          <w:rFonts w:hint="eastAsia" w:ascii="仿宋_GB2312" w:hAnsi="Times New Roman" w:eastAsia="仿宋_GB2312" w:cs="DengXian-Regular"/>
          <w:sz w:val="32"/>
          <w:szCs w:val="32"/>
        </w:rPr>
        <w:t>以上通用设备</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主要是未购置</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w:t>
      </w:r>
      <w:r>
        <w:rPr>
          <w:rFonts w:hint="eastAsia" w:ascii="仿宋_GB2312" w:hAnsi="Times New Roman" w:eastAsia="仿宋_GB2312" w:cs="DengXian-Regular"/>
          <w:sz w:val="32"/>
          <w:szCs w:val="32"/>
          <w:lang w:val="en-US" w:eastAsia="zh-CN"/>
        </w:rPr>
        <w:t>的</w:t>
      </w:r>
      <w:r>
        <w:rPr>
          <w:rFonts w:hint="eastAsia" w:ascii="仿宋_GB2312" w:hAnsi="Times New Roman" w:eastAsia="仿宋_GB2312" w:cs="DengXian-Regular"/>
          <w:sz w:val="32"/>
          <w:szCs w:val="32"/>
        </w:rPr>
        <w:t>专用设备。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本部门2019年度国有资本经营预算财政拨款支出决算表无收支及结转结余情况，故国有资本经营预算财政拨款支出决算表以空表列示。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headerReference r:id="rId14" w:type="default"/>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588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9"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upright="1"/>
                    </wps:wsp>
                  </a:graphicData>
                </a:graphic>
              </wp:anchor>
            </w:drawing>
          </mc:Choice>
          <mc:Fallback>
            <w:pict>
              <v:shape id="文本框 5" o:spid="_x0000_s1026" o:spt="202" type="#_x0000_t202" style="position:absolute;left:0pt;margin-left:-80.45pt;margin-top:34.8pt;height:263.1pt;width:613.65pt;z-index:251685888;v-text-anchor:middle;mso-width-relative:page;mso-height-relative:page;" fillcolor="#FFD966" filled="t" stroked="t" coordsize="21600,21600" o:gfxdata="UEsDBAoAAAAAAIdO4kAAAAAAAAAAAAAAAAAEAAAAZHJzL1BLAwQUAAAACACHTuJAQ/c0pdcAAAAM&#10;AQAADwAAAGRycy9kb3ducmV2LnhtbE2PsW7CMBCG90q8g3WVuoEd1FgkxGFA7dCxwMLmxEcSNT5H&#10;tiHw9jVTO57u+//7rtrd7chu6MPgSEG2EsCQWmcG6hScjp/LDbAQNRk9OkIFDwywqxcvlS6Nm+kb&#10;b4fYsVRCodQK+hinkvPQ9mh1WLkJKe0uzlsd0+g7bryeU7kd+VoIya0eKF3o9YT7Htufw9UmjXhu&#10;5qn78kdJj2DXw0nm8kOpt9dMbIFFvMc/GJ76KQN1cmrclUxgo4JlJkWRWAWykMCehJDyHVijIC/y&#10;DfC64v+fqH8BUEsDBBQAAAAIAIdO4kAC/o9gNgIAAI4EAAAOAAAAZHJzL2Uyb0RvYy54bWytVM2O&#10;0zAQviPxDpbvNO2WdmnUdCUo5YIAaeEBpraTWPKfbLdJeQB4A05cuO9z9TkYu9kuLFqpB3pIJ/bn&#10;me/7xpPlTa8V2QsfpDUVnYzGlAjDLJemqeiXz5sXrygJEQwHZY2o6EEEerN6/mzZuVJc2dYqLjzB&#10;JCaUnatoG6MriyKwVmgII+uEwc3aeg0RX31TcA8dZtequBqP50VnPXfeMhECrq5Pm3TI6C9JaOta&#10;MrG2bKeFiaesXiiIKCm00gW6ymzrWrD4sa6DiERVFJXG/MQiGG/Ts1gtoWw8uFaygQJcQuGRJg3S&#10;YNFzqjVEIDsv/0mlJfM22DqOmNXFSUh2BFVMxo+8uW3BiawFrQ7ubHr4f2nZh/0nTyTHm7CgxIDG&#10;jh9/fD/+vDv++kZmyZ/OhRJhtw6BsX9te8TerwdcTLL72uv0j4II7qO7h7O7oo+E4eL19WI6nc0o&#10;Ybg3nb6cTK+z/8XDcedDfCesJimoqMf2ZVdh/z5EpILQe0iq5iDGjVRqgLfWf83wunmjMq3gmy2G&#10;ZA/Y/s1mvZjPE3NMc4Zsn8Bu8DdgB0gqPhRMxZUhXUXn0xmKZYCDUOMFxFA7NDOYJjMJVkmeKKYT&#10;T7P5C5YUriG0J9Z5KxGB0tud4TlqBfC3hpN4cNgvg3NKExktOCVK4FinKCMjSHUJEsUpg86kZp+a&#10;mqLYb3tMk8Kt5Qe8AGAY2lxRFj0lO+dl02Kj8n3IZ/GaZn+HkUpz8Od7rvDwGVn9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EP3NKXXAAAADAEAAA8AAAAAAAAAAQAgAAAAIgAAAGRycy9kb3ducmV2&#10;LnhtbFBLAQIUABQAAAAIAIdO4kAC/o9gNgIAAI4EAAAOAAAAAAAAAAEAIAAAACYBAABkcnMvZTJv&#10;RG9jLnhtbFBLBQYAAAAABgAGAFkBAADOBQAAAAA=&#10;">
                <v:fill type="pattern" on="t" color2="#FFFFFF" focussize="0,0" r:id="rId26"/>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19"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6912"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20"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upright="1"/>
                    </wps:wsp>
                  </a:graphicData>
                </a:graphic>
              </wp:anchor>
            </w:drawing>
          </mc:Choice>
          <mc:Fallback>
            <w:pict>
              <v:shape id="文本框 4" o:spid="_x0000_s1026" o:spt="202" type="#_x0000_t202" style="position:absolute;left:0pt;margin-left:-82.05pt;margin-top:111.85pt;height:263.1pt;width:613.65pt;z-index:251686912;v-text-anchor:middle;mso-width-relative:page;mso-height-relative:page;" fillcolor="#FFD966" filled="t" stroked="t" coordsize="21600,21600" o:gfxdata="UEsDBAoAAAAAAIdO4kAAAAAAAAAAAAAAAAAEAAAAZHJzL1BLAwQUAAAACACHTuJAluDxMtkAAAAN&#10;AQAADwAAAGRycy9kb3ducmV2LnhtbE2PsU7DMBCGdyTewTokttaOW1wa4nRAMDDSdmFz4iOJiM+R&#10;7Tbt2+NOMJ7u+//7rtpd3MjOGOLgSUOxFMCQWm8H6jQcD++LZ2AxGbJm9IQarhhhV9/fVaa0fqZP&#10;PO9Tx3IJxdJo6FOaSs5j26MzceknpLz79sGZlMfQcRvMnMvdyKUQijszUL7Qmwlfe2x/9ieXNdJX&#10;M0/dRzgoukYnh6N6Um9aPz4U4gVYwkv6g+GmnzNQZ6fGn8hGNmpYFGpdZFaDlKsNsBsi1EoCazRs&#10;1tst8Lri/7+ofwFQSwMEFAAAAAgAh07iQAa60uY2AgAAjgQAAA4AAABkcnMvZTJvRG9jLnhtbK1U&#10;S44TMRDdI3EHy3vS+UwyTCudkSCEDQKkgQNUbHe3Jf9kO+kOB4AbsGLDnnPlHJSdngwMGikLsuhU&#10;289V771y9fK214rshQ/SmopORmNKhGGWS9NU9POnzYuXlIQIhoOyRlT0IAK9XT1/tuxcKaa2tYoL&#10;TzCJCWXnKtrG6MqiCKwVGsLIOmFws7ZeQ8RX3xTcQ4fZtSqm4/Gi6KznzlsmQsDV9WmTDhn9JQlt&#10;XUsm1pbttDDxlNULBRElhVa6QFeZbV0LFj/UdRCRqIqi0pifWATjbXoWqyWUjQfXSjZQgEsoPNKk&#10;QRosek61hghk5+U/qbRk3gZbxxGzujgJyY6gisn4kTd3LTiRtaDVwZ1ND/8vLXu//+iJ5BWdoiUG&#10;NHb8+P3b8cev48+v5Cr507lQIuzOITD2r2yPt+Z+PeBikt3XXqd/FERwH1Mdzu6KPhKGi9fXN7PZ&#10;fE4Jw73Z7Goyu87+Fw/HnQ/xrbCapKCiHtuXXYX9uxCRCkLvIamagxg3UqkB3lr/JcPr5rXKtIJv&#10;thiSPWD7N5v1zWKRmGOaM2T7BHaDvwE7QFLxoWAqrgzpKrqYzVEsAxyEGi8ghtqhmcE0mUmwSvJE&#10;MZ14ms1fsKRwDaE9sc5biQiU3u4Mz1ErgL8xnMSDw34ZnFOayGjBKVECxzpFGRlBqkuQKE4ZdCY1&#10;+9TUFMV+22OaFG4tP+AFAMPQ5oqy6CnZOS+bFhuV70M+i9c0+zuMVJqDP99zhYfPyOo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uDxMtkAAAANAQAADwAAAAAAAAABACAAAAAiAAAAZHJzL2Rvd25y&#10;ZXYueG1sUEsBAhQAFAAAAAgAh07iQAa60uY2AgAAjgQAAA4AAAAAAAAAAQAgAAAAKAEAAGRycy9l&#10;Mm9Eb2MueG1sUEsFBgAAAAAGAAYAWQEAANAFAAAAAA==&#10;">
                <v:fill type="pattern" on="t" color2="#FFFFFF" focussize="0,0" r:id="rId26"/>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465"/>
        <w:gridCol w:w="266"/>
        <w:gridCol w:w="691"/>
        <w:gridCol w:w="3474"/>
        <w:gridCol w:w="388"/>
        <w:gridCol w:w="997"/>
      </w:tblGrid>
      <w:tr>
        <w:tblPrEx>
          <w:tblCellMar>
            <w:top w:w="0" w:type="dxa"/>
            <w:left w:w="0" w:type="dxa"/>
            <w:bottom w:w="0" w:type="dxa"/>
            <w:right w:w="0" w:type="dxa"/>
          </w:tblCellMar>
        </w:tblPrEx>
        <w:trPr>
          <w:trHeight w:val="489" w:hRule="atLeast"/>
          <w:jc w:val="center"/>
        </w:trPr>
        <w:tc>
          <w:tcPr>
            <w:tcW w:w="9517" w:type="dxa"/>
            <w:gridSpan w:val="7"/>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11469.21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429.95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165.04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4.00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9394.40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34.75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3291.89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118.00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326.12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12068.21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13165.15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3118.77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2021.83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15186.98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15186.98　</w:t>
            </w:r>
          </w:p>
        </w:tc>
      </w:tr>
      <w:tr>
        <w:tblPrEx>
          <w:tblCellMar>
            <w:top w:w="0" w:type="dxa"/>
            <w:left w:w="0" w:type="dxa"/>
            <w:bottom w:w="0" w:type="dxa"/>
            <w:right w:w="0" w:type="dxa"/>
          </w:tblCellMar>
        </w:tblPrEx>
        <w:trPr>
          <w:trHeight w:val="213" w:hRule="atLeast"/>
          <w:jc w:val="center"/>
        </w:trPr>
        <w:tc>
          <w:tcPr>
            <w:tcW w:w="9517" w:type="dxa"/>
            <w:gridSpan w:val="7"/>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4" w:type="dxa"/>
        <w:jc w:val="center"/>
        <w:tblLayout w:type="autofit"/>
        <w:tblCellMar>
          <w:top w:w="0" w:type="dxa"/>
          <w:left w:w="0" w:type="dxa"/>
          <w:bottom w:w="0" w:type="dxa"/>
          <w:right w:w="0" w:type="dxa"/>
        </w:tblCellMar>
      </w:tblPr>
      <w:tblGrid>
        <w:gridCol w:w="704"/>
        <w:gridCol w:w="40"/>
        <w:gridCol w:w="40"/>
        <w:gridCol w:w="3202"/>
        <w:gridCol w:w="931"/>
        <w:gridCol w:w="883"/>
        <w:gridCol w:w="610"/>
        <w:gridCol w:w="726"/>
        <w:gridCol w:w="553"/>
        <w:gridCol w:w="666"/>
        <w:gridCol w:w="1229"/>
      </w:tblGrid>
      <w:tr>
        <w:tblPrEx>
          <w:tblCellMar>
            <w:top w:w="0" w:type="dxa"/>
            <w:left w:w="0" w:type="dxa"/>
            <w:bottom w:w="0" w:type="dxa"/>
            <w:right w:w="0" w:type="dxa"/>
          </w:tblCellMar>
        </w:tblPrEx>
        <w:trPr>
          <w:trHeight w:val="670" w:hRule="atLeast"/>
          <w:jc w:val="center"/>
        </w:trPr>
        <w:tc>
          <w:tcPr>
            <w:tcW w:w="9584"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b/>
                <w:color w:val="000000"/>
                <w:kern w:val="0"/>
                <w:sz w:val="32"/>
                <w:szCs w:val="32"/>
              </w:rPr>
            </w:pPr>
          </w:p>
          <w:p>
            <w:pPr>
              <w:widowControl/>
              <w:jc w:val="center"/>
              <w:textAlignment w:val="bottom"/>
              <w:rPr>
                <w:rFonts w:ascii="黑体" w:hAnsi="宋体" w:eastAsia="黑体" w:cs="黑体"/>
                <w:b/>
                <w:color w:val="000000"/>
                <w:sz w:val="32"/>
                <w:szCs w:val="32"/>
              </w:rPr>
            </w:pPr>
            <w:r>
              <w:rPr>
                <w:rFonts w:hint="eastAsia" w:ascii="黑体" w:hAnsi="宋体" w:eastAsia="黑体" w:cs="黑体"/>
                <w:b/>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b/>
                <w:color w:val="000000"/>
                <w:sz w:val="20"/>
                <w:szCs w:val="20"/>
              </w:rPr>
            </w:pPr>
            <w:r>
              <w:rPr>
                <w:rFonts w:hint="eastAsia" w:ascii="宋体" w:hAnsi="宋体" w:eastAsia="宋体" w:cs="宋体"/>
                <w:b/>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color w:val="000000"/>
                <w:sz w:val="20"/>
                <w:szCs w:val="20"/>
              </w:rPr>
            </w:pPr>
            <w:r>
              <w:rPr>
                <w:rFonts w:hint="eastAsia" w:ascii="宋体" w:hAnsi="宋体" w:eastAsia="宋体" w:cs="宋体"/>
                <w:b/>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b/>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b/>
                <w:color w:val="000000"/>
                <w:sz w:val="20"/>
                <w:szCs w:val="20"/>
              </w:rPr>
            </w:pPr>
            <w:r>
              <w:rPr>
                <w:rFonts w:hint="eastAsia" w:ascii="宋体" w:hAnsi="宋体" w:eastAsia="宋体" w:cs="宋体"/>
                <w:b/>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项目</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9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财政拨款收入</w:t>
            </w:r>
          </w:p>
        </w:tc>
        <w:tc>
          <w:tcPr>
            <w:tcW w:w="8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上级补助收入</w:t>
            </w:r>
          </w:p>
        </w:tc>
        <w:tc>
          <w:tcPr>
            <w:tcW w:w="7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事业收入</w:t>
            </w:r>
          </w:p>
        </w:tc>
        <w:tc>
          <w:tcPr>
            <w:tcW w:w="74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经营收入</w:t>
            </w:r>
          </w:p>
        </w:tc>
        <w:tc>
          <w:tcPr>
            <w:tcW w:w="5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附属单位上缴收入</w:t>
            </w:r>
          </w:p>
        </w:tc>
        <w:tc>
          <w:tcPr>
            <w:tcW w:w="11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其他收入</w:t>
            </w:r>
          </w:p>
        </w:tc>
      </w:tr>
      <w:tr>
        <w:tblPrEx>
          <w:tblCellMar>
            <w:top w:w="0" w:type="dxa"/>
            <w:left w:w="0" w:type="dxa"/>
            <w:bottom w:w="0" w:type="dxa"/>
            <w:right w:w="0" w:type="dxa"/>
          </w:tblCellMar>
        </w:tblPrEx>
        <w:trPr>
          <w:trHeight w:val="380" w:hRule="atLeast"/>
          <w:jc w:val="center"/>
        </w:trPr>
        <w:tc>
          <w:tcPr>
            <w:tcW w:w="7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科目名称</w:t>
            </w: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8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7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7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5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r>
      <w:tr>
        <w:tblPrEx>
          <w:tblCellMar>
            <w:top w:w="0" w:type="dxa"/>
            <w:left w:w="0" w:type="dxa"/>
            <w:bottom w:w="0" w:type="dxa"/>
            <w:right w:w="0" w:type="dxa"/>
          </w:tblCellMar>
        </w:tblPrEx>
        <w:trPr>
          <w:trHeight w:val="380" w:hRule="atLeast"/>
          <w:jc w:val="center"/>
        </w:trPr>
        <w:tc>
          <w:tcPr>
            <w:tcW w:w="7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8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7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7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5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r>
      <w:tr>
        <w:tblPrEx>
          <w:tblCellMar>
            <w:top w:w="0" w:type="dxa"/>
            <w:left w:w="0" w:type="dxa"/>
            <w:bottom w:w="0" w:type="dxa"/>
            <w:right w:w="0" w:type="dxa"/>
          </w:tblCellMar>
        </w:tblPrEx>
        <w:trPr>
          <w:trHeight w:val="380" w:hRule="atLeast"/>
          <w:jc w:val="center"/>
        </w:trPr>
        <w:tc>
          <w:tcPr>
            <w:tcW w:w="7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8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7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7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5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栏次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1</w:t>
            </w:r>
          </w:p>
        </w:tc>
        <w:tc>
          <w:tcPr>
            <w:tcW w:w="9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2</w:t>
            </w:r>
          </w:p>
        </w:tc>
        <w:tc>
          <w:tcPr>
            <w:tcW w:w="8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3</w:t>
            </w:r>
          </w:p>
        </w:tc>
        <w:tc>
          <w:tcPr>
            <w:tcW w:w="7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4</w:t>
            </w:r>
          </w:p>
        </w:tc>
        <w:tc>
          <w:tcPr>
            <w:tcW w:w="7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5</w:t>
            </w:r>
          </w:p>
        </w:tc>
        <w:tc>
          <w:tcPr>
            <w:tcW w:w="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6</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12068.21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11899.16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165.04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8193.63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8024.58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165.04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民政管理事务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921.36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921.36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439.12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439.12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55.89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55.89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行政区划和地名管理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16.09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16.09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基层政权和社区建设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36.15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36.15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其他民政管理事务支出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374.11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374.11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63.83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63.83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8.03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8.03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55.80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55.80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抚恤</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1357.33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1357.33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死亡抚恤</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178.00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178.00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伤残抚恤</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613.00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613.00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在乡复员、退伍军人生活补助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511.58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511.58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义务兵优待</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其他优抚支出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51.98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51.98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2.78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2.78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2080999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其他退役安置支出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社会福利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1503.49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1334.44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165.04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儿童福利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194.88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194.88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2081002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老年福利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113.66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113.66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2081004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殡葬</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1194.95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1025.90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165.04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残疾人事业</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2081107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残疾人生活和护理补贴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最低生活保障</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2008.07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2008.07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2081902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农村最低生活保障金支出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2008.07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2008.07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特困人员救助供养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2305.24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2305.24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农村特困人员救助供养支出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2305.24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2305.24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财政对其他社会保险基金的补助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财政对工伤保险基金的补助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财政对生育保险基金的补助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0.81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0.81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其他社会保障和就业支出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2089901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其他社会保障和就业支出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20.06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34.75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34.75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19.75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19.75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19.75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19.75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医疗救助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城乡医疗救助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农林水支出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3291.89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3291.89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21305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扶贫</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3291.89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3291.89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2130599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其他扶贫支出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3291.89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3291.89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2240701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中央自然灾害生活补助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65.00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其他自然灾害生活救助支出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53.00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其他支出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429.95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429.95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22960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彩票公益金安排的支出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429.95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429.95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2296002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用于社会福利的彩票公益金支出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349.54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349.54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2296099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 xml:space="preserve">  用于其他社会公益事业的彩票公益金支出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80.41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80.41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5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color w:val="000000"/>
                <w:sz w:val="22"/>
              </w:rPr>
            </w:pPr>
            <w:r>
              <w:rPr>
                <w:rFonts w:hint="eastAsia" w:ascii="宋体" w:hAnsi="宋体" w:eastAsia="宋体" w:cs="宋体"/>
                <w:b/>
                <w:color w:val="000000"/>
                <w:kern w:val="0"/>
                <w:sz w:val="22"/>
              </w:rPr>
              <w:t>注：本表反映部门本年度取得的各项收入情况。</w:t>
            </w:r>
          </w:p>
        </w:tc>
      </w:tr>
    </w:tbl>
    <w:p>
      <w:pPr>
        <w:jc w:val="left"/>
        <w:rPr>
          <w:b/>
        </w:rPr>
      </w:pPr>
    </w:p>
    <w:p>
      <w:pPr>
        <w:jc w:val="left"/>
        <w:rPr>
          <w:b/>
        </w:rPr>
      </w:pPr>
    </w:p>
    <w:p>
      <w:pPr>
        <w:jc w:val="left"/>
        <w:rPr>
          <w:b/>
        </w:rPr>
      </w:pPr>
    </w:p>
    <w:p>
      <w:pPr>
        <w:jc w:val="left"/>
        <w:rPr>
          <w:b/>
        </w:rPr>
      </w:pPr>
    </w:p>
    <w:tbl>
      <w:tblPr>
        <w:tblStyle w:val="7"/>
        <w:tblW w:w="9680" w:type="dxa"/>
        <w:jc w:val="center"/>
        <w:tblLayout w:type="fixed"/>
        <w:tblCellMar>
          <w:top w:w="0" w:type="dxa"/>
          <w:left w:w="0" w:type="dxa"/>
          <w:bottom w:w="0" w:type="dxa"/>
          <w:right w:w="0" w:type="dxa"/>
        </w:tblCellMar>
      </w:tblPr>
      <w:tblGrid>
        <w:gridCol w:w="941"/>
        <w:gridCol w:w="53"/>
        <w:gridCol w:w="111"/>
        <w:gridCol w:w="2034"/>
        <w:gridCol w:w="993"/>
        <w:gridCol w:w="1275"/>
        <w:gridCol w:w="1418"/>
        <w:gridCol w:w="992"/>
        <w:gridCol w:w="851"/>
        <w:gridCol w:w="1012"/>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b/>
              </w:rPr>
              <w:br w:type="page"/>
            </w: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6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13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27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8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0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03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3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3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13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13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13165.15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1361.00</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r>
              <w:rPr>
                <w:rFonts w:hint="eastAsia" w:ascii="宋体" w:hAnsi="宋体" w:eastAsia="宋体" w:cs="宋体"/>
                <w:b/>
                <w:color w:val="000000"/>
                <w:sz w:val="16"/>
                <w:szCs w:val="16"/>
              </w:rPr>
              <w:t>11804.16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社会保障和就业支出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9394.40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1279.77</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8114.64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民政管理事务</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right="80"/>
              <w:jc w:val="right"/>
              <w:rPr>
                <w:rFonts w:ascii="宋体" w:hAnsi="宋体" w:eastAsia="宋体" w:cs="宋体"/>
                <w:color w:val="000000"/>
                <w:sz w:val="16"/>
                <w:szCs w:val="16"/>
              </w:rPr>
            </w:pPr>
            <w:r>
              <w:rPr>
                <w:rFonts w:hint="eastAsia" w:ascii="宋体" w:hAnsi="宋体" w:eastAsia="宋体" w:cs="宋体"/>
                <w:color w:val="000000"/>
                <w:sz w:val="16"/>
                <w:szCs w:val="16"/>
              </w:rPr>
              <w:t>932.52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710.30</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222.21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行政运行</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439.12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439.12</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一般行政管理事务</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55.89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55.89</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2080207</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行政区划和地名管理</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27.25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27.25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2080208</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基层政权和社区建设</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36.15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36.15</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2080299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其他民政管理事务支出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374.11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179.15</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194.96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20805</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行政事业单位离退休</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63.83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63.83</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2080501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归口管理的行政单位离退休</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8.03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8.03</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2080505</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机关事业单位基本养老保险缴费支出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55.80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55.80</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抚恤</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1745.33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1745.33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死亡抚恤</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178.00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178.00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伤残抚恤</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633.25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633.25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2080803</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在乡复员、退伍军人生活补助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862.64</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862.64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2080805</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义务兵优待</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19.46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19.46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2080899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其他优抚支出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51.98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51.98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退役安置</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324.73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324.73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2080901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退役士兵安置</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146.18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146.18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2080999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其他退役安置支出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178.55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178.55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20810</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社会福利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958.52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483.52</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502.00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2081001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儿童福利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194.88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194.88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2081002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老年福利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98.34</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98.34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cs="Arial"/>
                <w:b/>
                <w:color w:val="000000"/>
                <w:sz w:val="15"/>
              </w:rPr>
            </w:pPr>
            <w:r>
              <w:rPr>
                <w:rFonts w:hint="eastAsia" w:cs="Arial"/>
                <w:b/>
                <w:color w:val="000000"/>
                <w:sz w:val="15"/>
              </w:rPr>
              <w:t>2081004</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color w:val="000000"/>
                <w:sz w:val="15"/>
                <w:szCs w:val="15"/>
              </w:rPr>
            </w:pPr>
            <w:r>
              <w:rPr>
                <w:rFonts w:hint="eastAsia" w:ascii="宋体" w:hAnsi="宋体" w:eastAsia="宋体" w:cs="宋体"/>
                <w:b/>
                <w:color w:val="000000"/>
                <w:sz w:val="15"/>
                <w:szCs w:val="15"/>
              </w:rPr>
              <w:t>殡葬</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690.30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483.52</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206.78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cs="Arial"/>
                <w:b/>
                <w:color w:val="000000"/>
                <w:sz w:val="15"/>
              </w:rPr>
            </w:pPr>
            <w:r>
              <w:rPr>
                <w:rFonts w:hint="eastAsia" w:cs="Arial"/>
                <w:b/>
                <w:color w:val="000000"/>
                <w:sz w:val="15"/>
              </w:rPr>
              <w:t>2081099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color w:val="000000"/>
                <w:sz w:val="15"/>
                <w:szCs w:val="15"/>
              </w:rPr>
            </w:pPr>
            <w:r>
              <w:rPr>
                <w:rFonts w:hint="eastAsia" w:ascii="宋体" w:hAnsi="宋体" w:eastAsia="宋体" w:cs="宋体"/>
                <w:b/>
                <w:color w:val="000000"/>
                <w:sz w:val="15"/>
                <w:szCs w:val="15"/>
              </w:rPr>
              <w:t>其他社会福利支出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残疾人事业</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5.40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5.40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2081107</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残疾人生活和护理补贴</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5.40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5.40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最低生活保障</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4138.39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4138.39</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2081902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农村最低生活保障金支出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4138.39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4138.39</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特困人员救助供养</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1176.57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1176.57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2082102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农村特困人员救助供养支出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1176.57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1176.57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20827</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财政对其他社会保险基金的补助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2.06</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2082702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财政对工伤保险基金的补助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1.25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1.25</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2082703</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财政对生育保险基金的补助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0.81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0.81</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其他社会保障和就业支出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20.06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20.06</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2089901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其他社会保障和就业支出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20.06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20.06</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卫生健康支出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34.75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19.75</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15.00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行政事业单位医疗</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19.75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19.75</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2101101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行政单位医疗</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19.75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19.75</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21013</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医疗救助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15.00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15.00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2101301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城乡医疗救助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15.00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15.00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213</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农林水支出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3291.89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61.49</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right="80"/>
              <w:jc w:val="right"/>
              <w:rPr>
                <w:rFonts w:ascii="宋体" w:hAnsi="宋体" w:eastAsia="宋体" w:cs="宋体"/>
                <w:color w:val="000000"/>
                <w:sz w:val="16"/>
                <w:szCs w:val="16"/>
              </w:rPr>
            </w:pPr>
            <w:r>
              <w:rPr>
                <w:rFonts w:hint="eastAsia" w:ascii="宋体" w:hAnsi="宋体" w:eastAsia="宋体" w:cs="宋体"/>
                <w:color w:val="000000"/>
                <w:sz w:val="16"/>
                <w:szCs w:val="16"/>
              </w:rPr>
              <w:t>3230.40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21305</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扶贫</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3291.89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61.49</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3230.40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2130599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其他扶贫支出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3291.89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61.49</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3230.40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灾害防治及应急管理支出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118.00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118.00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22407</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自然灾害救灾及恢复重建支出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118.00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118.00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2240701</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中央自然灾害生活补助</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65.00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65.00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2240799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其他自然灾害生活救助支出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53.00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53.00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其他支出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326.12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326.12</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22960</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彩票公益金安排的支出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326.12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326.12</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2296002</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用于社会福利的彩票公益金支出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321.34</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321.34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rPr>
            </w:pPr>
            <w:r>
              <w:rPr>
                <w:rFonts w:hint="eastAsia" w:cs="Arial"/>
                <w:b/>
                <w:color w:val="000000"/>
                <w:sz w:val="15"/>
              </w:rPr>
              <w:t>2296099</w:t>
            </w: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b/>
                <w:color w:val="000000"/>
                <w:sz w:val="15"/>
                <w:szCs w:val="15"/>
              </w:rPr>
            </w:pPr>
            <w:r>
              <w:rPr>
                <w:rFonts w:hint="eastAsia" w:cs="Arial"/>
                <w:b/>
                <w:color w:val="000000"/>
                <w:sz w:val="15"/>
                <w:szCs w:val="15"/>
              </w:rPr>
              <w:t xml:space="preserve">  用于其他社会公益事业的彩票公益金支出</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4.78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4.78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10000" w:type="dxa"/>
        <w:jc w:val="center"/>
        <w:tblLayout w:type="fixed"/>
        <w:tblCellMar>
          <w:top w:w="0" w:type="dxa"/>
          <w:left w:w="0" w:type="dxa"/>
          <w:bottom w:w="0" w:type="dxa"/>
          <w:right w:w="0" w:type="dxa"/>
        </w:tblCellMar>
      </w:tblPr>
      <w:tblGrid>
        <w:gridCol w:w="748"/>
        <w:gridCol w:w="2080"/>
        <w:gridCol w:w="94"/>
        <w:gridCol w:w="425"/>
        <w:gridCol w:w="264"/>
        <w:gridCol w:w="398"/>
        <w:gridCol w:w="257"/>
        <w:gridCol w:w="1599"/>
        <w:gridCol w:w="768"/>
        <w:gridCol w:w="322"/>
        <w:gridCol w:w="422"/>
        <w:gridCol w:w="85"/>
        <w:gridCol w:w="700"/>
        <w:gridCol w:w="709"/>
        <w:gridCol w:w="397"/>
        <w:gridCol w:w="252"/>
        <w:gridCol w:w="160"/>
        <w:gridCol w:w="320"/>
      </w:tblGrid>
      <w:tr>
        <w:tblPrEx>
          <w:tblCellMar>
            <w:top w:w="0" w:type="dxa"/>
            <w:left w:w="0" w:type="dxa"/>
            <w:bottom w:w="0" w:type="dxa"/>
            <w:right w:w="0" w:type="dxa"/>
          </w:tblCellMar>
        </w:tblPrEx>
        <w:trPr>
          <w:gridAfter w:val="2"/>
          <w:wAfter w:w="480" w:type="dxa"/>
          <w:trHeight w:val="406" w:hRule="atLeast"/>
          <w:jc w:val="center"/>
        </w:trPr>
        <w:tc>
          <w:tcPr>
            <w:tcW w:w="9520" w:type="dxa"/>
            <w:gridSpan w:val="16"/>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部门：无极县民政局</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2"/>
          <w:wAfter w:w="480" w:type="dxa"/>
          <w:trHeight w:val="90" w:hRule="atLeast"/>
          <w:jc w:val="center"/>
        </w:trPr>
        <w:tc>
          <w:tcPr>
            <w:tcW w:w="400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10"/>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gridAfter w:val="2"/>
          <w:wAfter w:w="480" w:type="dxa"/>
          <w:trHeight w:val="312" w:hRule="atLeast"/>
          <w:jc w:val="center"/>
        </w:trPr>
        <w:tc>
          <w:tcPr>
            <w:tcW w:w="292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64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gridAfter w:val="2"/>
          <w:wAfter w:w="480" w:type="dxa"/>
          <w:trHeight w:val="312" w:hRule="atLeast"/>
          <w:jc w:val="center"/>
        </w:trPr>
        <w:tc>
          <w:tcPr>
            <w:tcW w:w="292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r>
              <w:rPr>
                <w:rFonts w:hint="eastAsia" w:ascii="宋体" w:hAnsi="宋体" w:eastAsia="宋体" w:cs="宋体"/>
                <w:color w:val="000000"/>
                <w:sz w:val="15"/>
              </w:rPr>
              <w:t>11469.21</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r>
              <w:rPr>
                <w:rFonts w:hint="eastAsia" w:ascii="宋体" w:hAnsi="宋体" w:eastAsia="宋体" w:cs="宋体"/>
                <w:color w:val="000000"/>
                <w:sz w:val="15"/>
              </w:rPr>
              <w:t>429.95</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9230.01</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9230.01</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34.75</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34.75</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3291.89</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3291.89</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118.00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118.00</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326.12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326.12</w:t>
            </w: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szCs w:val="15"/>
              </w:rPr>
            </w:pPr>
            <w:r>
              <w:rPr>
                <w:rFonts w:hint="eastAsia" w:ascii="宋体" w:hAnsi="宋体" w:eastAsia="宋体" w:cs="宋体"/>
                <w:color w:val="000000"/>
                <w:sz w:val="15"/>
                <w:szCs w:val="15"/>
              </w:rPr>
              <w:t>11899.16</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13000.76</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12674.64</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326.12</w:t>
            </w: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szCs w:val="15"/>
              </w:rPr>
            </w:pPr>
            <w:r>
              <w:rPr>
                <w:rFonts w:hint="eastAsia" w:ascii="宋体" w:hAnsi="宋体" w:eastAsia="宋体" w:cs="宋体"/>
                <w:color w:val="000000"/>
                <w:sz w:val="15"/>
                <w:szCs w:val="15"/>
              </w:rPr>
              <w:t>3043.96</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1942.37</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1703.54</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238.83</w:t>
            </w: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szCs w:val="15"/>
              </w:rPr>
            </w:pPr>
            <w:r>
              <w:rPr>
                <w:rFonts w:hint="eastAsia" w:ascii="宋体" w:hAnsi="宋体" w:eastAsia="宋体" w:cs="宋体"/>
                <w:color w:val="000000"/>
                <w:sz w:val="15"/>
                <w:szCs w:val="15"/>
              </w:rPr>
              <w:t>2908.96</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szCs w:val="15"/>
              </w:rPr>
            </w:pPr>
            <w:r>
              <w:rPr>
                <w:rFonts w:hint="eastAsia" w:ascii="宋体" w:hAnsi="宋体" w:eastAsia="宋体" w:cs="宋体"/>
                <w:color w:val="000000"/>
                <w:sz w:val="15"/>
                <w:szCs w:val="15"/>
              </w:rPr>
              <w:t>135.00</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szCs w:val="15"/>
              </w:rPr>
            </w:pP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p>
        </w:tc>
      </w:tr>
      <w:tr>
        <w:tblPrEx>
          <w:tblCellMar>
            <w:top w:w="0" w:type="dxa"/>
            <w:left w:w="0" w:type="dxa"/>
            <w:bottom w:w="0" w:type="dxa"/>
            <w:right w:w="0" w:type="dxa"/>
          </w:tblCellMar>
        </w:tblPrEx>
        <w:trPr>
          <w:gridAfter w:val="2"/>
          <w:wAfter w:w="480" w:type="dxa"/>
          <w:trHeight w:val="90" w:hRule="atLeast"/>
          <w:jc w:val="center"/>
        </w:trPr>
        <w:tc>
          <w:tcPr>
            <w:tcW w:w="292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szCs w:val="15"/>
              </w:rPr>
            </w:pPr>
            <w:r>
              <w:rPr>
                <w:rFonts w:hint="eastAsia" w:ascii="宋体" w:hAnsi="宋体" w:eastAsia="宋体" w:cs="宋体"/>
                <w:color w:val="000000"/>
                <w:sz w:val="15"/>
                <w:szCs w:val="15"/>
              </w:rPr>
              <w:t>14943.13</w:t>
            </w:r>
          </w:p>
        </w:tc>
        <w:tc>
          <w:tcPr>
            <w:tcW w:w="294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r>
              <w:rPr>
                <w:rFonts w:hint="eastAsia" w:ascii="宋体" w:hAnsi="宋体" w:eastAsia="宋体" w:cs="宋体"/>
                <w:color w:val="000000"/>
                <w:sz w:val="15"/>
              </w:rPr>
              <w:t>14943.13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r>
              <w:rPr>
                <w:rFonts w:hint="eastAsia" w:ascii="宋体" w:hAnsi="宋体" w:eastAsia="宋体" w:cs="宋体"/>
                <w:color w:val="000000"/>
                <w:sz w:val="15"/>
              </w:rPr>
              <w:t>14378.18</w:t>
            </w:r>
          </w:p>
        </w:tc>
        <w:tc>
          <w:tcPr>
            <w:tcW w:w="6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5"/>
              </w:rPr>
            </w:pPr>
            <w:r>
              <w:rPr>
                <w:rFonts w:hint="eastAsia" w:ascii="宋体" w:hAnsi="宋体" w:eastAsia="宋体" w:cs="宋体"/>
                <w:color w:val="000000"/>
                <w:sz w:val="15"/>
              </w:rPr>
              <w:t>564.95</w:t>
            </w:r>
          </w:p>
        </w:tc>
      </w:tr>
      <w:tr>
        <w:tblPrEx>
          <w:tblCellMar>
            <w:top w:w="0" w:type="dxa"/>
            <w:left w:w="0" w:type="dxa"/>
            <w:bottom w:w="0" w:type="dxa"/>
            <w:right w:w="0" w:type="dxa"/>
          </w:tblCellMar>
        </w:tblPrEx>
        <w:trPr>
          <w:gridAfter w:val="2"/>
          <w:wAfter w:w="480" w:type="dxa"/>
          <w:trHeight w:val="90" w:hRule="atLeast"/>
          <w:jc w:val="center"/>
        </w:trPr>
        <w:tc>
          <w:tcPr>
            <w:tcW w:w="9520" w:type="dxa"/>
            <w:gridSpan w:val="1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r>
        <w:tblPrEx>
          <w:tblCellMar>
            <w:top w:w="0" w:type="dxa"/>
            <w:left w:w="0" w:type="dxa"/>
            <w:bottom w:w="0" w:type="dxa"/>
            <w:right w:w="0" w:type="dxa"/>
          </w:tblCellMar>
        </w:tblPrEx>
        <w:trPr>
          <w:gridAfter w:val="2"/>
          <w:wAfter w:w="480" w:type="dxa"/>
          <w:trHeight w:val="90" w:hRule="atLeast"/>
          <w:jc w:val="center"/>
        </w:trPr>
        <w:tc>
          <w:tcPr>
            <w:tcW w:w="9520" w:type="dxa"/>
            <w:gridSpan w:val="1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ascii="宋体" w:hAnsi="宋体" w:eastAsia="宋体" w:cs="宋体"/>
                <w:color w:val="000000"/>
                <w:kern w:val="0"/>
                <w:sz w:val="22"/>
              </w:rPr>
              <w:br w:type="page"/>
            </w:r>
            <w:r>
              <w:rPr>
                <w:rFonts w:ascii="宋体" w:hAnsi="宋体" w:eastAsia="宋体" w:cs="宋体"/>
                <w:color w:val="000000"/>
                <w:kern w:val="0"/>
                <w:sz w:val="22"/>
              </w:rPr>
              <w:t xml:space="preserve"> </w:t>
            </w:r>
          </w:p>
        </w:tc>
      </w:tr>
      <w:tr>
        <w:tblPrEx>
          <w:tblCellMar>
            <w:top w:w="0" w:type="dxa"/>
            <w:left w:w="0" w:type="dxa"/>
            <w:bottom w:w="0" w:type="dxa"/>
            <w:right w:w="0" w:type="dxa"/>
          </w:tblCellMar>
        </w:tblPrEx>
        <w:trPr>
          <w:gridAfter w:val="1"/>
          <w:wAfter w:w="320" w:type="dxa"/>
          <w:trHeight w:val="612" w:hRule="atLeast"/>
          <w:jc w:val="center"/>
        </w:trPr>
        <w:tc>
          <w:tcPr>
            <w:tcW w:w="9680" w:type="dxa"/>
            <w:gridSpan w:val="1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rPr>
            </w:pPr>
            <w:r>
              <w:rPr>
                <w:b/>
              </w:rPr>
              <w:br w:type="page"/>
            </w:r>
            <w:r>
              <w:rPr>
                <w:rFonts w:hint="eastAsia" w:ascii="黑体" w:hAnsi="宋体" w:eastAsia="黑体" w:cs="黑体"/>
                <w:color w:val="000000"/>
                <w:kern w:val="0"/>
                <w:sz w:val="32"/>
                <w:szCs w:val="32"/>
              </w:rPr>
              <w:t>一般公共预算财政拨款支出决算表</w:t>
            </w:r>
          </w:p>
          <w:p>
            <w:pPr>
              <w:widowControl/>
              <w:jc w:val="right"/>
              <w:textAlignment w:val="center"/>
              <w:rPr>
                <w:rFonts w:ascii="宋体" w:hAnsi="宋体" w:eastAsia="宋体" w:cs="黑体"/>
                <w:color w:val="000000"/>
                <w:kern w:val="0"/>
                <w:sz w:val="20"/>
                <w:szCs w:val="20"/>
              </w:rPr>
            </w:pPr>
            <w:r>
              <w:rPr>
                <w:rFonts w:hint="eastAsia" w:ascii="宋体" w:hAnsi="宋体" w:eastAsia="宋体" w:cs="黑体"/>
                <w:color w:val="000000"/>
                <w:kern w:val="0"/>
                <w:sz w:val="20"/>
                <w:szCs w:val="20"/>
              </w:rPr>
              <w:t>公开05表</w:t>
            </w:r>
          </w:p>
          <w:p>
            <w:pPr>
              <w:widowControl/>
              <w:textAlignment w:val="center"/>
              <w:rPr>
                <w:rFonts w:ascii="宋体" w:hAnsi="宋体" w:eastAsia="宋体" w:cs="黑体"/>
                <w:color w:val="000000"/>
                <w:sz w:val="20"/>
                <w:szCs w:val="20"/>
              </w:rPr>
            </w:pPr>
            <w:r>
              <w:rPr>
                <w:rFonts w:hint="eastAsia" w:ascii="宋体" w:hAnsi="宋体" w:eastAsia="宋体" w:cs="黑体"/>
                <w:color w:val="000000"/>
                <w:sz w:val="20"/>
                <w:szCs w:val="20"/>
              </w:rPr>
              <w:t>部门：无极县民政局                                                                 金额单位：万元</w:t>
            </w:r>
          </w:p>
        </w:tc>
      </w:tr>
      <w:tr>
        <w:tblPrEx>
          <w:tblCellMar>
            <w:top w:w="0" w:type="dxa"/>
            <w:left w:w="0" w:type="dxa"/>
            <w:bottom w:w="0" w:type="dxa"/>
            <w:right w:w="0" w:type="dxa"/>
          </w:tblCellMar>
        </w:tblPrEx>
        <w:trPr>
          <w:trHeight w:val="662" w:hRule="atLeast"/>
          <w:jc w:val="center"/>
        </w:trPr>
        <w:tc>
          <w:tcPr>
            <w:tcW w:w="10000" w:type="dxa"/>
            <w:gridSpan w:val="18"/>
            <w:tcBorders>
              <w:top w:val="nil"/>
              <w:left w:val="nil"/>
              <w:bottom w:val="nil"/>
              <w:right w:val="nil"/>
            </w:tcBorders>
            <w:shd w:val="clear" w:color="auto" w:fill="auto"/>
            <w:tcMar>
              <w:top w:w="15" w:type="dxa"/>
              <w:left w:w="15" w:type="dxa"/>
              <w:right w:w="15" w:type="dxa"/>
            </w:tcMar>
            <w:vAlign w:val="center"/>
          </w:tcPr>
          <w:tbl>
            <w:tblPr>
              <w:tblStyle w:val="7"/>
              <w:tblW w:w="9658" w:type="dxa"/>
              <w:tblInd w:w="0" w:type="dxa"/>
              <w:tblLayout w:type="fixed"/>
              <w:tblCellMar>
                <w:top w:w="0" w:type="dxa"/>
                <w:left w:w="108" w:type="dxa"/>
                <w:bottom w:w="0" w:type="dxa"/>
                <w:right w:w="108" w:type="dxa"/>
              </w:tblCellMar>
            </w:tblPr>
            <w:tblGrid>
              <w:gridCol w:w="1353"/>
              <w:gridCol w:w="3120"/>
              <w:gridCol w:w="1399"/>
              <w:gridCol w:w="1399"/>
              <w:gridCol w:w="2387"/>
            </w:tblGrid>
            <w:tr>
              <w:tblPrEx>
                <w:tblCellMar>
                  <w:top w:w="0" w:type="dxa"/>
                  <w:left w:w="108" w:type="dxa"/>
                  <w:bottom w:w="0" w:type="dxa"/>
                  <w:right w:w="108" w:type="dxa"/>
                </w:tblCellMar>
              </w:tblPrEx>
              <w:trPr>
                <w:trHeight w:val="308" w:hRule="atLeast"/>
              </w:trPr>
              <w:tc>
                <w:tcPr>
                  <w:tcW w:w="4473"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项目</w:t>
                  </w:r>
                </w:p>
              </w:tc>
              <w:tc>
                <w:tcPr>
                  <w:tcW w:w="5185" w:type="dxa"/>
                  <w:gridSpan w:val="3"/>
                  <w:tcBorders>
                    <w:top w:val="single" w:color="auto" w:sz="4" w:space="0"/>
                    <w:left w:val="nil"/>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本年支出</w:t>
                  </w:r>
                </w:p>
              </w:tc>
            </w:tr>
            <w:tr>
              <w:tblPrEx>
                <w:tblCellMar>
                  <w:top w:w="0" w:type="dxa"/>
                  <w:left w:w="108" w:type="dxa"/>
                  <w:bottom w:w="0" w:type="dxa"/>
                  <w:right w:w="108" w:type="dxa"/>
                </w:tblCellMar>
              </w:tblPrEx>
              <w:trPr>
                <w:trHeight w:val="312" w:hRule="atLeast"/>
              </w:trPr>
              <w:tc>
                <w:tcPr>
                  <w:tcW w:w="1353" w:type="dxa"/>
                  <w:vMerge w:val="restart"/>
                  <w:tcBorders>
                    <w:top w:val="single" w:color="auto" w:sz="4" w:space="0"/>
                    <w:left w:val="single" w:color="auto" w:sz="4" w:space="0"/>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功能分类科目编码</w:t>
                  </w:r>
                </w:p>
              </w:tc>
              <w:tc>
                <w:tcPr>
                  <w:tcW w:w="3120" w:type="dxa"/>
                  <w:vMerge w:val="restart"/>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科目名称</w:t>
                  </w:r>
                </w:p>
              </w:tc>
              <w:tc>
                <w:tcPr>
                  <w:tcW w:w="1399" w:type="dxa"/>
                  <w:vMerge w:val="restart"/>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小计</w:t>
                  </w:r>
                </w:p>
              </w:tc>
              <w:tc>
                <w:tcPr>
                  <w:tcW w:w="1399" w:type="dxa"/>
                  <w:vMerge w:val="restart"/>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基本支出</w:t>
                  </w:r>
                </w:p>
              </w:tc>
              <w:tc>
                <w:tcPr>
                  <w:tcW w:w="2387" w:type="dxa"/>
                  <w:vMerge w:val="restart"/>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项目支出</w:t>
                  </w:r>
                </w:p>
              </w:tc>
            </w:tr>
            <w:tr>
              <w:tblPrEx>
                <w:tblCellMar>
                  <w:top w:w="0" w:type="dxa"/>
                  <w:left w:w="108" w:type="dxa"/>
                  <w:bottom w:w="0" w:type="dxa"/>
                  <w:right w:w="108" w:type="dxa"/>
                </w:tblCellMar>
              </w:tblPrEx>
              <w:trPr>
                <w:trHeight w:val="312" w:hRule="atLeast"/>
              </w:trPr>
              <w:tc>
                <w:tcPr>
                  <w:tcW w:w="135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3120"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1399"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1399"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2387"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r>
            <w:tr>
              <w:tblPrEx>
                <w:tblCellMar>
                  <w:top w:w="0" w:type="dxa"/>
                  <w:left w:w="108" w:type="dxa"/>
                  <w:bottom w:w="0" w:type="dxa"/>
                  <w:right w:w="108" w:type="dxa"/>
                </w:tblCellMar>
              </w:tblPrEx>
              <w:trPr>
                <w:trHeight w:val="312" w:hRule="atLeast"/>
              </w:trPr>
              <w:tc>
                <w:tcPr>
                  <w:tcW w:w="135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3120"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1399"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1399"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c>
                <w:tcPr>
                  <w:tcW w:w="2387" w:type="dxa"/>
                  <w:vMerge w:val="continue"/>
                  <w:tcBorders>
                    <w:top w:val="nil"/>
                    <w:left w:val="single" w:color="auto" w:sz="4" w:space="0"/>
                    <w:bottom w:val="single" w:color="auto" w:sz="4" w:space="0"/>
                    <w:right w:val="single" w:color="auto" w:sz="4" w:space="0"/>
                  </w:tcBorders>
                  <w:vAlign w:val="center"/>
                </w:tcPr>
                <w:p>
                  <w:pPr>
                    <w:widowControl/>
                    <w:jc w:val="left"/>
                    <w:rPr>
                      <w:rFonts w:ascii="Arial" w:hAnsi="Arial"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4473"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hint="eastAsia" w:ascii="宋体" w:hAnsi="宋体" w:eastAsia="宋体" w:cs="Arial"/>
                      <w:color w:val="000000"/>
                      <w:kern w:val="0"/>
                      <w:sz w:val="20"/>
                      <w:szCs w:val="20"/>
                    </w:rPr>
                    <w:t>栏次</w:t>
                  </w:r>
                </w:p>
              </w:tc>
              <w:tc>
                <w:tcPr>
                  <w:tcW w:w="1399" w:type="dxa"/>
                  <w:tcBorders>
                    <w:top w:val="nil"/>
                    <w:left w:val="nil"/>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ascii="Arial" w:hAnsi="Arial" w:eastAsia="宋体" w:cs="Arial"/>
                      <w:color w:val="000000"/>
                      <w:kern w:val="0"/>
                      <w:sz w:val="20"/>
                      <w:szCs w:val="20"/>
                    </w:rPr>
                    <w:t>1</w:t>
                  </w:r>
                </w:p>
              </w:tc>
              <w:tc>
                <w:tcPr>
                  <w:tcW w:w="1399" w:type="dxa"/>
                  <w:tcBorders>
                    <w:top w:val="nil"/>
                    <w:left w:val="nil"/>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ascii="Arial" w:hAnsi="Arial" w:eastAsia="宋体" w:cs="Arial"/>
                      <w:color w:val="000000"/>
                      <w:kern w:val="0"/>
                      <w:sz w:val="20"/>
                      <w:szCs w:val="20"/>
                    </w:rPr>
                    <w:t>2</w:t>
                  </w:r>
                </w:p>
              </w:tc>
              <w:tc>
                <w:tcPr>
                  <w:tcW w:w="2387" w:type="dxa"/>
                  <w:tcBorders>
                    <w:top w:val="nil"/>
                    <w:left w:val="nil"/>
                    <w:bottom w:val="single" w:color="auto" w:sz="4" w:space="0"/>
                    <w:right w:val="single" w:color="auto" w:sz="4" w:space="0"/>
                  </w:tcBorders>
                  <w:shd w:val="clear" w:color="auto" w:fill="auto"/>
                  <w:noWrap/>
                  <w:vAlign w:val="bottom"/>
                </w:tcPr>
                <w:p>
                  <w:pPr>
                    <w:widowControl/>
                    <w:jc w:val="center"/>
                    <w:rPr>
                      <w:rFonts w:ascii="Arial" w:hAnsi="Arial" w:eastAsia="宋体" w:cs="Arial"/>
                      <w:color w:val="000000"/>
                      <w:kern w:val="0"/>
                      <w:sz w:val="20"/>
                      <w:szCs w:val="20"/>
                    </w:rPr>
                  </w:pPr>
                  <w:r>
                    <w:rPr>
                      <w:rFonts w:ascii="Arial" w:hAnsi="Arial" w:eastAsia="宋体" w:cs="Arial"/>
                      <w:color w:val="000000"/>
                      <w:kern w:val="0"/>
                      <w:sz w:val="20"/>
                      <w:szCs w:val="20"/>
                    </w:rPr>
                    <w:t>3</w:t>
                  </w:r>
                </w:p>
              </w:tc>
            </w:tr>
            <w:tr>
              <w:tblPrEx>
                <w:tblCellMar>
                  <w:top w:w="0" w:type="dxa"/>
                  <w:left w:w="108" w:type="dxa"/>
                  <w:bottom w:w="0" w:type="dxa"/>
                  <w:right w:w="108" w:type="dxa"/>
                </w:tblCellMar>
              </w:tblPrEx>
              <w:trPr>
                <w:trHeight w:val="308" w:hRule="atLeast"/>
              </w:trPr>
              <w:tc>
                <w:tcPr>
                  <w:tcW w:w="4473"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pPr>
                    <w:widowControl/>
                    <w:jc w:val="left"/>
                    <w:rPr>
                      <w:rFonts w:ascii="Arial" w:hAnsi="Arial" w:eastAsia="宋体" w:cs="Arial"/>
                      <w:color w:val="000000"/>
                      <w:kern w:val="0"/>
                      <w:sz w:val="20"/>
                      <w:szCs w:val="20"/>
                    </w:rPr>
                  </w:pPr>
                  <w:r>
                    <w:rPr>
                      <w:rFonts w:hint="eastAsia" w:ascii="宋体" w:hAnsi="宋体" w:eastAsia="宋体" w:cs="Arial"/>
                      <w:color w:val="000000"/>
                      <w:kern w:val="0"/>
                      <w:sz w:val="20"/>
                      <w:szCs w:val="20"/>
                    </w:rPr>
                    <w:t>合计</w:t>
                  </w:r>
                </w:p>
              </w:tc>
              <w:tc>
                <w:tcPr>
                  <w:tcW w:w="1399" w:type="dxa"/>
                  <w:tcBorders>
                    <w:top w:val="nil"/>
                    <w:left w:val="nil"/>
                    <w:bottom w:val="single" w:color="auto" w:sz="4" w:space="0"/>
                    <w:right w:val="single" w:color="auto" w:sz="4" w:space="0"/>
                  </w:tcBorders>
                  <w:shd w:val="clear" w:color="auto" w:fill="auto"/>
                  <w:noWrap/>
                  <w:vAlign w:val="bottom"/>
                </w:tcPr>
                <w:p>
                  <w:pPr>
                    <w:widowControl/>
                    <w:jc w:val="right"/>
                    <w:rPr>
                      <w:rFonts w:ascii="Arial" w:hAnsi="Arial" w:eastAsia="宋体" w:cs="Arial"/>
                      <w:color w:val="000000"/>
                      <w:kern w:val="0"/>
                      <w:sz w:val="16"/>
                      <w:szCs w:val="16"/>
                    </w:rPr>
                  </w:pPr>
                  <w:r>
                    <w:rPr>
                      <w:rFonts w:ascii="Arial" w:hAnsi="Arial" w:eastAsia="宋体" w:cs="Arial"/>
                      <w:color w:val="000000"/>
                      <w:kern w:val="0"/>
                      <w:sz w:val="16"/>
                      <w:szCs w:val="16"/>
                    </w:rPr>
                    <w:t>12674.64</w:t>
                  </w:r>
                </w:p>
              </w:tc>
              <w:tc>
                <w:tcPr>
                  <w:tcW w:w="1399" w:type="dxa"/>
                  <w:tcBorders>
                    <w:top w:val="nil"/>
                    <w:left w:val="nil"/>
                    <w:bottom w:val="single" w:color="auto" w:sz="4" w:space="0"/>
                    <w:right w:val="single" w:color="auto" w:sz="4" w:space="0"/>
                  </w:tcBorders>
                  <w:shd w:val="clear" w:color="auto" w:fill="auto"/>
                  <w:noWrap/>
                  <w:vAlign w:val="bottom"/>
                </w:tcPr>
                <w:p>
                  <w:pPr>
                    <w:widowControl/>
                    <w:jc w:val="right"/>
                    <w:rPr>
                      <w:rFonts w:ascii="Arial" w:hAnsi="Arial" w:eastAsia="宋体" w:cs="Arial"/>
                      <w:color w:val="000000"/>
                      <w:kern w:val="0"/>
                      <w:sz w:val="16"/>
                      <w:szCs w:val="16"/>
                    </w:rPr>
                  </w:pPr>
                  <w:r>
                    <w:rPr>
                      <w:rFonts w:ascii="Arial" w:hAnsi="Arial" w:eastAsia="宋体" w:cs="Arial"/>
                      <w:color w:val="000000"/>
                      <w:kern w:val="0"/>
                      <w:sz w:val="16"/>
                      <w:szCs w:val="16"/>
                    </w:rPr>
                    <w:t>1334.58</w:t>
                  </w:r>
                </w:p>
              </w:tc>
              <w:tc>
                <w:tcPr>
                  <w:tcW w:w="2387" w:type="dxa"/>
                  <w:tcBorders>
                    <w:top w:val="nil"/>
                    <w:left w:val="nil"/>
                    <w:bottom w:val="single" w:color="auto" w:sz="4" w:space="0"/>
                    <w:right w:val="single" w:color="auto" w:sz="4" w:space="0"/>
                  </w:tcBorders>
                  <w:shd w:val="clear" w:color="auto" w:fill="auto"/>
                  <w:noWrap/>
                  <w:vAlign w:val="bottom"/>
                </w:tcPr>
                <w:p>
                  <w:pPr>
                    <w:widowControl/>
                    <w:jc w:val="right"/>
                    <w:rPr>
                      <w:rFonts w:ascii="Arial" w:hAnsi="Arial" w:eastAsia="宋体" w:cs="Arial"/>
                      <w:color w:val="000000"/>
                      <w:kern w:val="0"/>
                      <w:sz w:val="16"/>
                      <w:szCs w:val="16"/>
                    </w:rPr>
                  </w:pPr>
                  <w:r>
                    <w:rPr>
                      <w:rFonts w:ascii="Arial" w:hAnsi="Arial" w:eastAsia="宋体" w:cs="Arial"/>
                      <w:color w:val="000000"/>
                      <w:kern w:val="0"/>
                      <w:sz w:val="16"/>
                      <w:szCs w:val="16"/>
                    </w:rPr>
                    <w:t>11340.06</w:t>
                  </w:r>
                </w:p>
              </w:tc>
            </w:tr>
            <w:tr>
              <w:tblPrEx>
                <w:tblCellMar>
                  <w:top w:w="0" w:type="dxa"/>
                  <w:left w:w="108" w:type="dxa"/>
                  <w:bottom w:w="0" w:type="dxa"/>
                  <w:right w:w="108" w:type="dxa"/>
                </w:tblCellMar>
              </w:tblPrEx>
              <w:trPr>
                <w:trHeight w:val="308" w:hRule="atLeast"/>
              </w:trPr>
              <w:tc>
                <w:tcPr>
                  <w:tcW w:w="13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w:t>
                  </w:r>
                </w:p>
              </w:tc>
              <w:tc>
                <w:tcPr>
                  <w:tcW w:w="3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社会保障和就业支出</w:t>
                  </w:r>
                </w:p>
              </w:tc>
              <w:tc>
                <w:tcPr>
                  <w:tcW w:w="1399"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9,230.01</w:t>
                  </w:r>
                </w:p>
              </w:tc>
              <w:tc>
                <w:tcPr>
                  <w:tcW w:w="1399"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1,253.35</w:t>
                  </w:r>
                </w:p>
              </w:tc>
              <w:tc>
                <w:tcPr>
                  <w:tcW w:w="23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7,976.66</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20802</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民政管理事务</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932.52</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710.30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222.21</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2080201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行政运行</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439.12</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439.12</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2080202</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一般行政管理事务</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55.89</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55.89</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2080207</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行政区划和地名管理</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27.25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27.25</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2080208</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基层政权和社区建设</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36.15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36.15</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2080299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其他民政管理事务支出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374.11</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179.15</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194.96</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20805</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行政事业单位离退休</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63.83</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63.83</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2080501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归口管理的行政单位离退休</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8.03</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8.03</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2080505</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机关事业单位基本养老保险缴费支出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55.80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55.80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20808</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抚恤</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1,745.33</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1,745.33</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2080801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死亡抚恤</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178.00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178.00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2080802</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伤残抚恤</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633.25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633.25</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2080803</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在乡复员、退伍军人生活补助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862.64</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862.64</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2080805</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义务兵优待</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19.46</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19.46</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2080899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其他优抚支出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51.98</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51.98</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退役安置</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324.73</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324.73</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2080901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退役士兵安置</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146.18</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146.18</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2080999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其他退役安置支出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178.55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178.55</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20810</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社会福利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821.13</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457.10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364.02</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2081001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儿童福利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194.88</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194.88</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2081002</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老年福利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98.34</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98.34</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2081004</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殡葬</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525.90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457.10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68.80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2081099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其他社会福利支出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残疾人事业</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5.40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5.40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2081107</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残疾人生活和护理补贴</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5.40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5.40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最低生活保障</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4,138.39</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4,138.39</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2081902</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农村最低生活保障金支出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4,138.39</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4,138.39</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20821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特困人员救助供养</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1,176.57</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1,176.57</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2082102</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 xml:space="preserve">  农村特困人员救助供养支出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1,176.57</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1,176.57</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20827</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rPr>
                  </w:pPr>
                  <w:r>
                    <w:rPr>
                      <w:rFonts w:hint="eastAsia" w:ascii="宋体" w:hAnsi="宋体" w:eastAsia="宋体" w:cs="Arial"/>
                      <w:color w:val="000000"/>
                      <w:kern w:val="0"/>
                    </w:rPr>
                    <w:t>财政对其他社会保险基金的补助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2.06</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2.06</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2082702</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财政对工伤保险基金的补助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1.25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1.25</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2082703</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财政对生育保险基金的补助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0.81</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0.81</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20899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其他社会保障和就业支出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20.06</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20.06</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2089901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其他社会保障和就业支出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20.06</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20.06</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卫生健康支出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34.75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19.75</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15.00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行政事业单位医疗</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19.75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19.75</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行政单位医疗</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19.75</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19.75</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21013</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医疗救助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15.00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15.00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2101301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城乡医疗救助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15.00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15.00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3,291.89</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61.49</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3,230.40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扶贫</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3,291.89</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61.49</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3,230.40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2130599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其他扶贫支出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3,291.89</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61.49</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3,230.40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224</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灾害防治及应急管理支出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118.00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118.00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22407</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自然灾害救灾及恢复重建支出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118.00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118.00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2240701</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中央自然灾害生活补助</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65.00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65.00</w:t>
                  </w:r>
                </w:p>
              </w:tc>
            </w:tr>
            <w:tr>
              <w:tblPrEx>
                <w:tblCellMar>
                  <w:top w:w="0" w:type="dxa"/>
                  <w:left w:w="108" w:type="dxa"/>
                  <w:bottom w:w="0" w:type="dxa"/>
                  <w:right w:w="108" w:type="dxa"/>
                </w:tblCellMar>
              </w:tblPrEx>
              <w:trPr>
                <w:trHeight w:val="308" w:hRule="atLeast"/>
              </w:trPr>
              <w:tc>
                <w:tcPr>
                  <w:tcW w:w="135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2240799</w:t>
                  </w:r>
                </w:p>
              </w:tc>
              <w:tc>
                <w:tcPr>
                  <w:tcW w:w="312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其他自然灾害生活救助支出</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53.00</w:t>
                  </w:r>
                </w:p>
              </w:tc>
              <w:tc>
                <w:tcPr>
                  <w:tcW w:w="13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0.00</w:t>
                  </w:r>
                </w:p>
              </w:tc>
              <w:tc>
                <w:tcPr>
                  <w:tcW w:w="238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16"/>
                      <w:szCs w:val="16"/>
                    </w:rPr>
                  </w:pPr>
                  <w:r>
                    <w:rPr>
                      <w:rFonts w:hint="eastAsia" w:ascii="宋体" w:hAnsi="宋体" w:eastAsia="宋体" w:cs="Arial"/>
                      <w:color w:val="000000"/>
                      <w:kern w:val="0"/>
                      <w:sz w:val="16"/>
                      <w:szCs w:val="16"/>
                    </w:rPr>
                    <w:t>53.00</w:t>
                  </w:r>
                </w:p>
              </w:tc>
            </w:tr>
          </w:tbl>
          <w:p>
            <w:pPr>
              <w:widowControl/>
              <w:jc w:val="left"/>
              <w:textAlignment w:val="center"/>
              <w:rPr>
                <w:rFonts w:hint="eastAsia" w:ascii="宋体" w:hAnsi="宋体" w:eastAsia="宋体" w:cs="宋体"/>
                <w:color w:val="000000"/>
                <w:kern w:val="0"/>
                <w:szCs w:val="21"/>
                <w:lang w:bidi="ar"/>
              </w:rPr>
            </w:pPr>
            <w:r>
              <w:rPr>
                <w:rFonts w:hint="eastAsia" w:ascii="宋体" w:hAnsi="宋体" w:eastAsia="宋体" w:cs="宋体"/>
                <w:color w:val="000000"/>
                <w:kern w:val="0"/>
                <w:szCs w:val="21"/>
                <w:lang w:bidi="ar"/>
              </w:rPr>
              <w:t>注：本表反映部门本年度一般公共预算财政拨款收入及支出情况。</w:t>
            </w: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一般公共预算财政拨款基本支出决算表</w:t>
            </w:r>
          </w:p>
          <w:p>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公开06表</w:t>
            </w:r>
          </w:p>
          <w:p>
            <w:pPr>
              <w:widowControl/>
              <w:jc w:val="left"/>
              <w:textAlignment w:val="bottom"/>
              <w:rPr>
                <w:rFonts w:ascii="黑体" w:hAnsi="宋体" w:eastAsia="黑体" w:cs="黑体"/>
                <w:color w:val="000000"/>
                <w:sz w:val="32"/>
                <w:szCs w:val="32"/>
              </w:rPr>
            </w:pPr>
            <w:r>
              <w:rPr>
                <w:rFonts w:hint="eastAsia" w:ascii="宋体" w:hAnsi="宋体" w:eastAsia="宋体" w:cs="宋体"/>
                <w:color w:val="000000"/>
                <w:kern w:val="0"/>
                <w:sz w:val="20"/>
                <w:szCs w:val="20"/>
              </w:rPr>
              <w:t>部门：无极县民政局                                                                    金额单位：万元</w:t>
            </w:r>
          </w:p>
        </w:tc>
      </w:tr>
      <w:tr>
        <w:tblPrEx>
          <w:tblCellMar>
            <w:top w:w="0" w:type="dxa"/>
            <w:left w:w="0" w:type="dxa"/>
            <w:bottom w:w="0" w:type="dxa"/>
            <w:right w:w="0" w:type="dxa"/>
          </w:tblCellMar>
        </w:tblPrEx>
        <w:trPr>
          <w:trHeight w:val="362" w:hRule="atLeast"/>
          <w:jc w:val="center"/>
        </w:trPr>
        <w:tc>
          <w:tcPr>
            <w:tcW w:w="36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1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74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20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74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618.11</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471.50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244.81</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112.76</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142.89</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7.80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7.09</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r>
              <w:rPr>
                <w:rFonts w:hint="eastAsia" w:ascii="宋体" w:hAnsi="宋体" w:eastAsia="宋体" w:cs="宋体"/>
                <w:color w:val="000000"/>
                <w:sz w:val="16"/>
                <w:szCs w:val="20"/>
              </w:rPr>
              <w:t>22.88</w:t>
            </w: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60.78</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16.58</w:t>
            </w:r>
          </w:p>
        </w:tc>
      </w:tr>
      <w:tr>
        <w:tblPrEx>
          <w:tblCellMar>
            <w:top w:w="0" w:type="dxa"/>
            <w:left w:w="0" w:type="dxa"/>
            <w:bottom w:w="0" w:type="dxa"/>
            <w:right w:w="0" w:type="dxa"/>
          </w:tblCellMar>
        </w:tblPrEx>
        <w:trPr>
          <w:trHeight w:val="4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94.67</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14.00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r>
              <w:rPr>
                <w:rFonts w:hint="eastAsia" w:ascii="宋体" w:hAnsi="宋体" w:eastAsia="宋体" w:cs="宋体"/>
                <w:color w:val="000000"/>
                <w:sz w:val="16"/>
                <w:szCs w:val="20"/>
              </w:rPr>
              <w:t>6.30</w:t>
            </w: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12.03</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5.00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4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30.58</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4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3.66</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2.06</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5.27</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4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2.38</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60.02</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4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20.82</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8.00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222.09</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46.39</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95.90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170.88</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18.20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4.82</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107.87</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397"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410"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4.75</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482"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22.58</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360"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260" w:hRule="atLeast"/>
          <w:jc w:val="center"/>
        </w:trPr>
        <w:tc>
          <w:tcPr>
            <w:tcW w:w="7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5.70</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20"/>
              </w:rPr>
            </w:pPr>
            <w:r>
              <w:rPr>
                <w:rFonts w:hint="eastAsia" w:ascii="宋体" w:hAnsi="宋体" w:eastAsia="宋体" w:cs="宋体"/>
                <w:color w:val="000000"/>
                <w:sz w:val="16"/>
                <w:szCs w:val="20"/>
              </w:rPr>
              <w:t>840.20</w:t>
            </w:r>
          </w:p>
        </w:tc>
        <w:tc>
          <w:tcPr>
            <w:tcW w:w="5657" w:type="dxa"/>
            <w:gridSpan w:val="10"/>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20"/>
              </w:rPr>
            </w:pPr>
            <w:r>
              <w:rPr>
                <w:rFonts w:hint="eastAsia" w:ascii="宋体" w:hAnsi="宋体" w:eastAsia="宋体" w:cs="宋体"/>
                <w:color w:val="000000"/>
                <w:sz w:val="16"/>
                <w:szCs w:val="20"/>
              </w:rPr>
              <w:t>494.38</w:t>
            </w:r>
          </w:p>
        </w:tc>
      </w:tr>
    </w:tbl>
    <w:p>
      <w:pPr>
        <w:jc w:val="both"/>
        <w:rPr>
          <w:rFonts w:hint="eastAsia" w:ascii="宋体" w:hAnsi="宋体" w:eastAsia="宋体" w:cs="宋体"/>
        </w:rPr>
      </w:pPr>
      <w:r>
        <w:rPr>
          <w:rFonts w:hint="eastAsia" w:ascii="宋体" w:hAnsi="宋体" w:eastAsia="宋体" w:cs="宋体"/>
          <w:color w:val="000000"/>
          <w:kern w:val="0"/>
          <w:sz w:val="20"/>
          <w:szCs w:val="20"/>
          <w:lang w:bidi="ar"/>
        </w:rPr>
        <w:t>注：本表反映部门本年度一般公共预算财政拨款基本支出明细情况。</w:t>
      </w:r>
    </w:p>
    <w:tbl>
      <w:tblPr>
        <w:tblStyle w:val="7"/>
        <w:tblW w:w="9220" w:type="dxa"/>
        <w:jc w:val="center"/>
        <w:tblLayout w:type="autofit"/>
        <w:tblCellMar>
          <w:top w:w="0" w:type="dxa"/>
          <w:left w:w="0" w:type="dxa"/>
          <w:bottom w:w="0" w:type="dxa"/>
          <w:right w:w="0" w:type="dxa"/>
        </w:tblCellMar>
      </w:tblPr>
      <w:tblGrid>
        <w:gridCol w:w="1830"/>
        <w:gridCol w:w="1686"/>
        <w:gridCol w:w="1430"/>
        <w:gridCol w:w="1274"/>
        <w:gridCol w:w="1430"/>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hint="eastAsia" w:ascii="黑体" w:hAnsi="宋体" w:eastAsia="黑体" w:cs="黑体"/>
                <w:color w:val="000000"/>
                <w:kern w:val="0"/>
                <w:sz w:val="32"/>
                <w:szCs w:val="32"/>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部门：无极县民政局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r>
              <w:rPr>
                <w:rFonts w:hint="eastAsia" w:ascii="宋体" w:hAnsi="宋体" w:eastAsia="宋体" w:cs="宋体"/>
                <w:color w:val="000000"/>
                <w:sz w:val="16"/>
              </w:rPr>
              <w:t>5.90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r>
              <w:rPr>
                <w:rFonts w:hint="eastAsia" w:ascii="宋体" w:hAnsi="宋体" w:eastAsia="宋体" w:cs="宋体"/>
                <w:color w:val="000000"/>
                <w:sz w:val="16"/>
              </w:rPr>
              <w:t>5.90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r>
              <w:rPr>
                <w:rFonts w:hint="eastAsia" w:ascii="宋体" w:hAnsi="宋体" w:eastAsia="宋体" w:cs="宋体"/>
                <w:color w:val="000000"/>
                <w:sz w:val="16"/>
              </w:rPr>
              <w:t>5.90</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r>
              <w:rPr>
                <w:rFonts w:hint="eastAsia" w:ascii="宋体" w:hAnsi="宋体" w:eastAsia="宋体" w:cs="宋体"/>
                <w:color w:val="000000"/>
                <w:sz w:val="16"/>
              </w:rPr>
              <w:t>4.75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r>
              <w:rPr>
                <w:rFonts w:hint="eastAsia" w:ascii="宋体" w:hAnsi="宋体" w:eastAsia="宋体" w:cs="宋体"/>
                <w:color w:val="000000"/>
                <w:sz w:val="16"/>
              </w:rPr>
              <w:t>4.75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rPr>
            </w:pPr>
            <w:r>
              <w:rPr>
                <w:rFonts w:hint="eastAsia" w:ascii="宋体" w:hAnsi="宋体" w:eastAsia="宋体" w:cs="宋体"/>
                <w:color w:val="000000"/>
                <w:sz w:val="16"/>
              </w:rPr>
              <w:t>4.75</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10945" w:type="dxa"/>
        <w:jc w:val="center"/>
        <w:tblLayout w:type="autofit"/>
        <w:tblCellMar>
          <w:top w:w="0" w:type="dxa"/>
          <w:left w:w="0" w:type="dxa"/>
          <w:bottom w:w="0" w:type="dxa"/>
          <w:right w:w="0" w:type="dxa"/>
        </w:tblCellMar>
      </w:tblPr>
      <w:tblGrid>
        <w:gridCol w:w="1830"/>
        <w:gridCol w:w="36"/>
        <w:gridCol w:w="36"/>
        <w:gridCol w:w="3730"/>
        <w:gridCol w:w="692"/>
        <w:gridCol w:w="912"/>
        <w:gridCol w:w="1199"/>
        <w:gridCol w:w="892"/>
        <w:gridCol w:w="824"/>
        <w:gridCol w:w="794"/>
      </w:tblGrid>
      <w:tr>
        <w:tblPrEx>
          <w:tblCellMar>
            <w:top w:w="0" w:type="dxa"/>
            <w:left w:w="0" w:type="dxa"/>
            <w:bottom w:w="0" w:type="dxa"/>
            <w:right w:w="0" w:type="dxa"/>
          </w:tblCellMar>
        </w:tblPrEx>
        <w:trPr>
          <w:trHeight w:val="780" w:hRule="atLeast"/>
          <w:jc w:val="center"/>
        </w:trPr>
        <w:tc>
          <w:tcPr>
            <w:tcW w:w="10945"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1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部门：无极县民政局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1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69"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9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91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79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9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82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7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9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724" w:hRule="atLeast"/>
          <w:jc w:val="center"/>
        </w:trPr>
        <w:tc>
          <w:tcPr>
            <w:tcW w:w="19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rPr>
            </w:pPr>
            <w:r>
              <w:rPr>
                <w:rFonts w:hint="eastAsia" w:ascii="宋体" w:hAnsi="宋体" w:eastAsia="宋体" w:cs="宋体"/>
                <w:b/>
                <w:color w:val="000000"/>
                <w:sz w:val="16"/>
              </w:rPr>
              <w:t>135.00</w:t>
            </w:r>
          </w:p>
        </w:tc>
        <w:tc>
          <w:tcPr>
            <w:tcW w:w="9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rPr>
            </w:pPr>
            <w:r>
              <w:rPr>
                <w:rFonts w:hint="eastAsia" w:ascii="宋体" w:hAnsi="宋体" w:eastAsia="宋体" w:cs="宋体"/>
                <w:b/>
                <w:color w:val="000000"/>
                <w:sz w:val="16"/>
              </w:rPr>
              <w:t>429.95</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rPr>
            </w:pPr>
            <w:r>
              <w:rPr>
                <w:rFonts w:hint="eastAsia" w:ascii="宋体" w:hAnsi="宋体" w:eastAsia="宋体" w:cs="宋体"/>
                <w:b/>
                <w:color w:val="000000"/>
                <w:sz w:val="16"/>
              </w:rPr>
              <w:t>326.12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rPr>
            </w:pPr>
            <w:r>
              <w:rPr>
                <w:rFonts w:hint="eastAsia" w:ascii="宋体" w:hAnsi="宋体" w:eastAsia="宋体" w:cs="宋体"/>
                <w:b/>
                <w:color w:val="000000"/>
                <w:sz w:val="16"/>
              </w:rPr>
              <w:t>326.12</w:t>
            </w:r>
          </w:p>
        </w:tc>
        <w:tc>
          <w:tcPr>
            <w:tcW w:w="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6"/>
              </w:rPr>
            </w:pPr>
            <w:r>
              <w:rPr>
                <w:rFonts w:hint="eastAsia" w:ascii="宋体" w:hAnsi="宋体" w:eastAsia="宋体" w:cs="宋体"/>
                <w:b/>
                <w:color w:val="000000"/>
                <w:sz w:val="16"/>
              </w:rPr>
              <w:t>238.83</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其他支出</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135.00</w:t>
            </w:r>
          </w:p>
        </w:tc>
        <w:tc>
          <w:tcPr>
            <w:tcW w:w="9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429.95</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326.12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326.12</w:t>
            </w:r>
          </w:p>
        </w:tc>
        <w:tc>
          <w:tcPr>
            <w:tcW w:w="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right="30"/>
              <w:jc w:val="right"/>
              <w:rPr>
                <w:rFonts w:ascii="宋体" w:hAnsi="宋体" w:eastAsia="宋体" w:cs="宋体"/>
                <w:color w:val="000000"/>
                <w:sz w:val="16"/>
              </w:rPr>
            </w:pPr>
            <w:r>
              <w:rPr>
                <w:rFonts w:hint="eastAsia" w:ascii="宋体" w:hAnsi="宋体" w:eastAsia="宋体" w:cs="宋体"/>
                <w:color w:val="000000"/>
                <w:sz w:val="16"/>
              </w:rPr>
              <w:t>238.83</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22960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彩票公益金安排的支出</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135.00</w:t>
            </w:r>
          </w:p>
        </w:tc>
        <w:tc>
          <w:tcPr>
            <w:tcW w:w="9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429.95</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326.12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326.12</w:t>
            </w:r>
          </w:p>
        </w:tc>
        <w:tc>
          <w:tcPr>
            <w:tcW w:w="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238.83</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2296002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rPr>
            </w:pPr>
            <w:r>
              <w:rPr>
                <w:rFonts w:hint="eastAsia" w:ascii="宋体" w:hAnsi="宋体" w:eastAsia="宋体" w:cs="宋体"/>
                <w:color w:val="000000"/>
                <w:sz w:val="20"/>
              </w:rPr>
              <w:t xml:space="preserve"> 用于社会福利的彩票公益金支出</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135.00</w:t>
            </w:r>
          </w:p>
        </w:tc>
        <w:tc>
          <w:tcPr>
            <w:tcW w:w="9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349.54</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321.34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321.34</w:t>
            </w:r>
          </w:p>
        </w:tc>
        <w:tc>
          <w:tcPr>
            <w:tcW w:w="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163.21</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2296099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rPr>
            </w:pPr>
            <w:r>
              <w:rPr>
                <w:rFonts w:hint="eastAsia" w:ascii="宋体" w:hAnsi="宋体" w:eastAsia="宋体" w:cs="宋体"/>
                <w:color w:val="000000"/>
                <w:sz w:val="20"/>
              </w:rPr>
              <w:t xml:space="preserve"> 用于其他社会公益事业的彩票公益金支出</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9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80.41</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4.78</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4.78</w:t>
            </w:r>
          </w:p>
        </w:tc>
        <w:tc>
          <w:tcPr>
            <w:tcW w:w="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rPr>
            </w:pPr>
            <w:r>
              <w:rPr>
                <w:rFonts w:hint="eastAsia" w:ascii="宋体" w:hAnsi="宋体" w:eastAsia="宋体" w:cs="宋体"/>
                <w:color w:val="000000"/>
                <w:sz w:val="16"/>
              </w:rPr>
              <w:t>75.63</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宋体" w:hAnsi="宋体" w:cs="宋体"/>
          <w:color w:val="000000"/>
          <w:kern w:val="0"/>
          <w:szCs w:val="21"/>
          <w:lang w:bidi="ar"/>
        </w:rPr>
      </w:pPr>
      <w:r>
        <w:rPr>
          <w:rFonts w:hint="eastAsia" w:ascii="宋体" w:hAnsi="宋体" w:cs="宋体"/>
          <w:color w:val="000000"/>
          <w:kern w:val="0"/>
          <w:szCs w:val="21"/>
          <w:lang w:bidi="ar"/>
        </w:rPr>
        <w:t>注：本表反映部门本年度政府性基金预算财政拨款收入、支出及结转和结余情况。</w:t>
      </w: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p>
      <w:pPr>
        <w:rPr>
          <w:rFonts w:hint="eastAsia" w:ascii="宋体" w:hAnsi="宋体" w:cs="宋体"/>
          <w:color w:val="000000"/>
          <w:kern w:val="0"/>
          <w:szCs w:val="21"/>
          <w:lang w:bidi="ar"/>
        </w:rPr>
      </w:pPr>
    </w:p>
    <w:tbl>
      <w:tblPr>
        <w:tblStyle w:val="7"/>
        <w:tblW w:w="9915" w:type="dxa"/>
        <w:jc w:val="center"/>
        <w:tblLayout w:type="autofit"/>
        <w:tblCellMar>
          <w:top w:w="0" w:type="dxa"/>
          <w:left w:w="0" w:type="dxa"/>
          <w:bottom w:w="0" w:type="dxa"/>
          <w:right w:w="0" w:type="dxa"/>
        </w:tblCellMar>
      </w:tblPr>
      <w:tblGrid>
        <w:gridCol w:w="2941"/>
        <w:gridCol w:w="58"/>
        <w:gridCol w:w="58"/>
        <w:gridCol w:w="3177"/>
        <w:gridCol w:w="755"/>
        <w:gridCol w:w="1463"/>
        <w:gridCol w:w="1463"/>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部门：无极县民政局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311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jc w:val="left"/>
        <w:rPr>
          <w:rFonts w:ascii="楷体" w:hAnsi="楷体" w:eastAsia="楷体" w:cs="楷体"/>
          <w:sz w:val="22"/>
          <w:szCs w:val="32"/>
        </w:rPr>
      </w:pPr>
      <w:r>
        <w:rPr>
          <w:rFonts w:hint="eastAsia" w:ascii="宋体" w:hAnsi="宋体" w:eastAsia="宋体" w:cs="宋体"/>
          <w:color w:val="000000"/>
          <w:kern w:val="0"/>
          <w:sz w:val="22"/>
          <w:lang w:eastAsia="zh-CN" w:bidi="ar"/>
        </w:rPr>
        <w:t>注：</w:t>
      </w:r>
      <w:r>
        <w:rPr>
          <w:rFonts w:hint="eastAsia" w:ascii="宋体" w:hAnsi="宋体" w:eastAsia="宋体" w:cs="宋体"/>
          <w:color w:val="000000"/>
          <w:kern w:val="0"/>
          <w:sz w:val="22"/>
          <w:lang w:bidi="ar"/>
        </w:rPr>
        <w:t>本部门本年度无相关收入（或支出、收支及结转结余等）情况，按要求空表列示。</w:t>
      </w:r>
      <w:r>
        <w:br w:type="page"/>
      </w:r>
    </w:p>
    <w:p>
      <w:r>
        <mc:AlternateContent>
          <mc:Choice Requires="wps">
            <w:drawing>
              <wp:anchor distT="0" distB="0" distL="114300" distR="114300" simplePos="0" relativeHeight="25168793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8793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gm8tf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564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7"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564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CeAReY4AgAAYwQAAA4AAABkcnMvZTJvRG9jLnhtbK1U&#10;zW7UMBC+I/EOlu802+3fsmq2WloVIVW0UkGcvY7TRLI9lu1tUh4A3oBTL9x5rn0OPjubLSoceuDi&#10;jD3jb+b7PJPTs95odq98aMmWfH9vwpmykqrW3pX886fLNzPOQhS2EpqsKvmDCvxs8frVaefmakoN&#10;6Up5BhAb5p0reROjmxdFkI0yIuyRUxbOmrwREVt/V1RedEA3uphOJsdFR75ynqQKAacXg5NvEf1L&#10;AKmuW6kuSK6NsnFA9UqLCEqhaV3gi1xtXSsZr+s6qMh0ycE05hVJYK/SWixOxfzOC9e0cluCeEkJ&#10;zzgZ0Vok3UFdiCjY2rd/QZlWegpUxz1JphiIZEXAYn/yTJvbRjiVuUDq4Haih/8HKz/e33jWViU/&#10;POHMCoMX3/z4vnn8tfn5jR0lfToX5gi7dQiM/Tvq0TXjecBhot3X3qQvCDH4oe7DTl3VRybTpdl0&#10;NpvAJeGbHpwcvs3yF0+3nQ/xvSLDklFyj9fLoor7qxBRCULHkJTM0mWrdX5BbVlX8uODo0m+sPPg&#10;hrYpVuVe2MIkRkPlyYr9qt/SXFH1AJaehj4JTl62KOVKhHgjPBoD1WN04jWWWhNS0tbirCH/9V/n&#10;KR7vBS9nHRqt5BZzxZn+YPGOAIyj4UdjNRp2bc4JnbuPkXQym7jgox7N2pP5gnlaphxwCSuRqeRx&#10;NM/j0OyYR6mWyxyEznMiXtlbJxP0IOVyHalus8pJlEEJSJ426L0s/nZOUnP/uc9RT/+Gx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J4BF5jgCAABjBAAADgAAAAAAAAABACAAAAAoAQAAZHJz&#10;L2Uyb0RvYy54bWxQSwUGAAAAAAYABgBZAQAA0g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667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8"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7667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2ce+eOgIAAGUEAAAOAAAAZHJzL2Uyb0RvYy54bWyt&#10;VM2O0zAQviPxDpbvNOnfals1XZWtipAqdqUFcXYdp4lke4ztNikPAG/AaS/cea4+B2Mn6aKFwx64&#10;uGPP5Bt/33zu4qZRkhyFdRXojA4HKSVCc8grvc/op4+bN9eUOM90ziRokdGTcPRm+frVojZzMYIS&#10;ZC4sQRDt5rXJaOm9mSeJ46VQzA3ACI3JAqxiHrd2n+SW1YiuZDJK06ukBpsbC1w4h6frNkk7RPsS&#10;QCiKios18IMS2reoVkjmkZIrK+PoMt62KAT3d0XhhCcyo8jUxxWbYLwLa7JcsPneMlNWvLsCe8kV&#10;nnFSrNLY9AK1Zp6Rg63+glIVt+Cg8AMOKmmJREWQxTB9ps1DyYyIXFBqZy6iu/8Hyz8c7y2p8oxO&#10;cO6aKZz4+cf38+Ov889vZDgJAtXGzbHuwWClb95Cg7bpzx0eBt5NYVX4RUYE8yjv6SKvaDzheDi+&#10;Hs3SKSUcU+PZbDKcBpTk6WNjnX8nQJEQZNTi9KKo7Lh1vi3tS0IvDZtKyjhBqUmd0avxNI0fXDII&#10;LnWoFdELHUwg1F48RL7ZNR3LHeQnJGmh9YkzfFPhVbbM+Xtm0RjIC5+Ov8OlkIAtoYsoKcF+/dd5&#10;qMd5YZaSGo2WUfflwKygRL7XOMngyj6wfbDrA31Qt4DeHeKjNDyG+IH1sg8LC+ozvqhV6IIppjn2&#10;yqjvw1vf2h1fJBerVSxC7xnmt/rB8ADdirk6eCiqqHOQpdUC5xM26L44qe6lBHv/uY9VT/8Oy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4paM2gAAAAoBAAAPAAAAAAAAAAEAIAAAACIAAABkcnMv&#10;ZG93bnJldi54bWxQSwECFAAUAAAACACHTuJA9nHvnjoCAABlBAAADgAAAAAAAAABACAAAAApAQAA&#10;ZHJzL2Uyb0RvYy54bWxQSwUGAAAAAAYABgBZAQAA1Q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6"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GyNlF85AgAAZAQAAA4AAABkcnMvZTJvRG9jLnhtbK1U&#10;zW7UMBC+I/EOlu9sttsfllWz1dKqCKmilQri7HWcTSTbY9neJuUB4A04ceHOc/U5+Oxstqhw6IGL&#10;M/aMv5nv80x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Lj&#10;E86sMHjxh+/fHn78evj5lR0dJ4E6FxaIu3WIjP1b6tE243nAYeLd196kLxgx+CHv/V5e1Ucm06X5&#10;bD6fwiXhmx2+PnqT9S8ebzsf4jtFhiWj5B7Pl1UVd1chohKEjiEpmaXLVuv8hNqyruQnh8fTfGHv&#10;wQ1tU6zKzbCDSYyGypMV+3W/o7mm6h4sPQ2NEpy8bFHKlQjxRnh0BqrH7MRrLLUmpKSdxVlD/su/&#10;zlM8Hgxezjp0WsktBosz/d7iIQEYR8OPxno07NacE1r3ADPpZDZxwUc9mrUn8xkDtUo54BJWIlPJ&#10;42iex6HbMZBSrVY5CK3nRLyyt04m6EHK1TZS3WaVkyiDEpA8bdB8WfzdoKTu/nOfox5/Ds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GyNlF85AgAAZAQAAA4AAAAAAAAAAQAgAAAAKAEAAGRy&#10;cy9lMm9Eb2MueG1sUEsFBgAAAAAGAAYAWQEAANM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d6HRWRgMAAK0IAAAOAAAAZHJzL2Uyb0RvYy54bWzdVs1u&#10;EzEQviPxDpbvNLtJmqSrbqrQ0AqpopUK4ux4vT+S1za2k005I+DIiRMSghsSb4B4nJbXYOzdTZNQ&#10;RAWIAz1s7Rl7fr75Zpz9g2XJ0YJpU0gR43AnwIgJKpNCZDF+8vjo3ggjY4lICJeCxfiCGXwwvntn&#10;v1IR68pc8oRpBEaEiSoV49xaFXU6huasJGZHKiZAmUpdEgtbnXUSTSqwXvJONwgGnUrqRGlJmTEg&#10;ndZK3FjUtzEo07SgbCrpvGTC1lY148RCSiYvlMFjH22aMmpP09Qwi3iMIVPrv+AE1jP37Yz3SZRp&#10;ovKCNiGQ24SwlVNJCgFOV6amxBI018UPpsqCamlkaneoLDt1Ih4RyCIMtrA51nKufC5ZVGVqBToU&#10;agv13zZLHy3ONCqSGA8HGAlSQsW/fXlx+eY12h06dCqVRXDoWKtzdaYbQVbvXMLLVJfuP6SClh7X&#10;ixWubGkRBSGUPejuAuQUdP1g0A8a4GkO1XHXwl5viBFoR6OV6kFzuxe2V+GiC6lz7ZX5Ep8Y68Qu&#10;1FVklQJ6mmvMzJ9hdp4TxXwpjIOjxQyCrjG7evvq6t3nqw8v0aBGzR9zkCG7vC9diq3cgPAG5MJ+&#10;EG5C0MLXC0bgx2E36HsrawAobewxkyVyixhrILznIVk0oJCoPeJ8CnlUcA5gkYgLVIHFHoC7oQHj&#10;XDjJFrYmqgN3wNrlbOmpYKKZTC4gSS3r1jKKHhUQygkx9oxo6CUoO0wbewqflEtwKZsVRrnUz2+S&#10;u/NQLtBiVEFvxtg8mxPNMOIPBRRyL+wDE5D1m/7usAsbva6ZrWvEvDyU0P6ALkTnl+685e0y1bJ8&#10;CkNp4ryCiggKvmNs2+WhrScGDDXKJhN/CNpXEXsizhV1pmsIJ3Mr06IhY4uNZ6Yno+umf8FKmOBN&#10;J7//dPn1I2oaeUXJpnQ/I2Lbi2HQ7zvSAhWaVgzDvZqIvd52J7YsuyURjeRF4rjozBudzQ65Rgvi&#10;prT/a/p841jN2LA7hPGBqKNFCjMflqVKgCIig3rxDB41avUmp+smmBKT1z682Tq1srDwnPGihNmz&#10;7vmXPfAfE9/h13TB36O+H8/wivn53by47plc3/tWuf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7Mb3udcAAAAHAQAADwAAAAAAAAABACAAAAAiAAAAZHJzL2Rvd25yZXYueG1sUEsBAhQAFAAA&#10;AAgAh07iQB3odF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33"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27" name="矩形 2"/>
                      <wps:cNvSpPr/>
                      <wps:spPr>
                        <a:xfrm>
                          <a:off x="881" y="1538"/>
                          <a:ext cx="11925" cy="146"/>
                        </a:xfrm>
                        <a:prstGeom prst="rect">
                          <a:avLst/>
                        </a:prstGeom>
                        <a:solidFill>
                          <a:srgbClr val="FFD966"/>
                        </a:solidFill>
                        <a:ln w="12700">
                          <a:noFill/>
                        </a:ln>
                      </wps:spPr>
                      <wps:bodyPr anchor="ctr" upright="1"/>
                    </wps:wsp>
                    <wps:wsp>
                      <wps:cNvPr id="28"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32"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N/iExJcDAAAMDAAADgAAAGRycy9lMm9Eb2MueG1s1VbNbtw2&#10;EL4HyDsQuscStSvtruB1DnHtS5EESPoANEX9AJJIkNwf33PorTnnEiDIJY9QGO3T1G0fo0NS1P54&#10;7SzaJkH2sKI0n4Yz38w31OnTddugJZOq5t08wCdRgFhHeV535Tz46fXFk2mAlCZdThresXlwzVTw&#10;9Ozxo9OVyFjMK97kTCJw0qlsJeZBpbXIwlDRirVEnXDBOjAWXLZEw60sw1ySFXhvmzCOojRccZkL&#10;ySlTCp6eO2PQe5THOORFUVN2zumiZZ12XiVriIaUVFULFZzZaIuCUf2iKBTTqJkHkKm2/7AJrK/M&#10;f3h2SrJSElHVtA+BHBPCXk4tqTvYdHB1TjRBC1nfcdXWVHLFC31CeRu6RCwjkAWO9ri5lHwhbC5l&#10;tirFQDoUao/1f+2WPl++lKjO58FoFKCOtFDxv27e3L79GSUjw85KlBmALqV4JV7K/kHp7kzC60K2&#10;5gqpoLXl9Xrgla01ovBwkkySJAHKKdgm42maJo54WkF1zGvTKQ4QGJNosPzQv4zxbNS/ivFkFkc2&#10;rNDvHJoAh3hWAppSbZhS/42pVxURzBZAGRJ6puLJwNT7T7e/fUCxI8piBpZUpoCwAxT5XHEymjoa&#10;PE+Qapw4lvA4NbYhTZIJqfQl4y0yi3kgobVtx5Hlj0o7qIeYTRVv6vyibhp7I8urZ41ESwIyuLg4&#10;n6Xe+w6s6dAKRkI8iSLruuPGgfPddBCNoddlZVZXPL8GSkhHKw6SoloGaCFkXVYQH7bh9/UwbfQ1&#10;CgOjy7XwHzc3f7755fbju79//9VUqG/lIyuEIzyBGkM/plNLFMl8ieIUz1yFpqkt+1aF6MJVyDDu&#10;qwITIXf1gWeVX9F1B0uDgxUQCIJ2jAuujBySGbQBbO9ItKj7wS4kQNtpBvGAzyPQm/gfxIP0wPWR&#10;4INxu4j6fAXRhgUTn1mafnPxV24TY2j5kr3mFqIPsbGxN9027g4R3uyvwrobYJukPMBfHXA/dW/1&#10;V4faz9lbacMV63UJmVotD9kbTra6ZUeFaluskf31o2AH9r2LdRTfJ9axSdcMDBi5nx+nOBqnTqzD&#10;4TGIdTT24xRHdtZ+IbXC3DlafzYmI6m+qA+qL/ZovEngwRdczx6LTmYHIj9arziGc/yQYNN01+1n&#10;BYv96PLi8dc9xdod/XnkpL+L7NM3gT0E2w/QO/l/NPtNDlj7HQQfiXbO9B+05it0+96e4JuP+LN/&#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L5TRvfVAAAABgEAAA8AAAAAAAAAAQAgAAAAIgAAAGRy&#10;cy9kb3ducmV2LnhtbFBLAQIUABQAAAAIAIdO4kA3+ITElwMAAAwMAAAOAAAAAAAAAAEAIAAAACQB&#10;AABkcnMvZTJvRG9jLnhtbFBLBQYAAAAABgAGAFkBAAAtBwAAAAA=&#10;">
              <o:lock v:ext="edit" aspectratio="f"/>
              <v:rect id="矩形 2" o:spid="_x0000_s1026" o:spt="1" style="position:absolute;left:881;top:1538;height:146;width:11925;v-text-anchor:middle;" fillcolor="#FFD966" filled="t" stroked="f" coordsize="21600,21600" o:gfxdata="UEsDBAoAAAAAAIdO4kAAAAAAAAAAAAAAAAAEAAAAZHJzL1BLAwQUAAAACACHTuJAQDri27sAAADb&#10;AAAADwAAAGRycy9kb3ducmV2LnhtbEWPQYvCMBSE78L+h/AWvIgmCupSjR4WxT0oou4PeDRvm9Lm&#10;pTSpuv/eCILHYWa+YZbru6vFldpQetYwHikQxLk3JRcafi/b4ReIEJEN1p5Jwz8FWK8+ekvMjL/x&#10;ia7nWIgE4ZChBhtjk0kZcksOw8g3xMn7863DmGRbSNPiLcFdLSdKzaTDktOCxYa+LeXVuXMaumCm&#10;nT2qal8dZhx3blPlA6V1/3OsFiAi3eM7/Gr/GA2TOTy/pB8gV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Dri27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6EmUErYAAADb&#10;AAAADwAAAGRycy9kb3ducmV2LnhtbEVPuwrCMBTdBf8hXMFN0zqIVKODoog4+ALXS3Nti81NSWKt&#10;f28GwfFw3otVZ2rRkvOVZQXpOAFBnFtdcaHgdt2OZiB8QNZYWyYFH/KwWvZ7C8y0ffOZ2ksoRAxh&#10;n6GCMoQmk9LnJRn0Y9sQR+5hncEQoSukdviO4aaWkySZSoMVx4YSG1qXlD8vL6Pg1W5Oh/N+lt6P&#10;x273ed6dv5JTajhIkzmIQF34i3/uvVYwiWPjl/gD5PI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hJlBK2AAAA2wAAAA8A&#10;AAAAAAAAAQAgAAAAIgAAAGRycy9kb3ducmV2LnhtbFBLAQIUABQAAAAIAIdO4kAzLwWeOwAAADkA&#10;AAAQAAAAAAAAAAEAIAAAAAUBAABkcnMvc2hhcGV4bWwueG1sUEsFBgAAAAAGAAYAWwEAAK8DAAAA&#10;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9Yg3nbsAAADb&#10;AAAADwAAAGRycy9kb3ducmV2LnhtbEWP3YrCMBSE7wXfIRzBG1nTKrjSNYo/iN5JXR/g0JxtyjYn&#10;pYlafXojLOzlMDPfMItVZ2txo9ZXjhWk4wQEceF0xaWCy/f+Yw7CB2SNtWNS8CAPq2W/t8BMuzvn&#10;dDuHUkQI+wwVmBCaTEpfGLLox64hjt6Pay2GKNtS6hbvEW5rOUmSmbRYcVww2NDWUPF7vloFdKDc&#10;pFvPXV6sT83n6Lmh506p4SBNvkAE6sJ/+K991AqmE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Yg3nb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46"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43" name="矩形 2"/>
                      <wps:cNvSpPr/>
                      <wps:spPr>
                        <a:xfrm>
                          <a:off x="881" y="1538"/>
                          <a:ext cx="11925" cy="146"/>
                        </a:xfrm>
                        <a:prstGeom prst="rect">
                          <a:avLst/>
                        </a:prstGeom>
                        <a:solidFill>
                          <a:srgbClr val="FFD966"/>
                        </a:solidFill>
                        <a:ln w="12700">
                          <a:noFill/>
                        </a:ln>
                      </wps:spPr>
                      <wps:bodyPr anchor="ctr" upright="1"/>
                    </wps:wsp>
                    <wps:wsp>
                      <wps:cNvPr id="44"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45"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0q8W2o0DAAAMDAAADgAAAGRycy9lMm9Eb2MueG1s1VbLbtQw&#10;FN0j8Q9W9jSPmWRmok67oLQbBEjAB7iO85CS2LI9j+5ZsIM1GyTEhk9AFXwNBT6DazvOPDqU4SXE&#10;LCZOfHx9z7k+tg+Pl02N5lTIirVTLzwIPERbwrKqLabe0yend8Yekgq3Ga5ZS6feBZXe8dHtW4cL&#10;ntKIlazOqEAQpJXpgk+9Uime+r4kJW2wPGCcttCZM9FgBa+i8DOBFxC9qf0oCBJ/wUTGBSNUSvh6&#10;Yju9LqLYJyDL84rQE0ZmDW2VjSpojRVQkmXFpXdkss1zStTDPJdUoXrqAVNl/mESaJ/rf//oEKeF&#10;wLysSJcC3ieFLU4NrlqYtA91ghVGM1FdC9VURDDJcnVAWONbIkYRYBEGW9qcCTbjhkuRLgreiw6F&#10;2lL9l8OSB/NHAlXZ1BsmHmpxAxX/cvns6uVzNDDqLHiRAuhM8Mf8kQC59IfCvmnCy1w0+glU0NLo&#10;etHrSpcKEfg4ikdxHIPkBPpGw3GSxFZ4UkJ19LDxOPQQdMZB33OvGxyGE8jEDA3D0SQKBnqs72b2&#10;N/JZcFiUcqWU/D2lHpeYU1MAqUVwSg16pV6/u/rwBkU6Iz01YHqVZCpBsB0SOa5hPBhbGZxOQDWK&#10;O6pQjnWaOOVCqjPKGqQbU0/A0jYrDs/vS2WhDqInlayustOqrs2LKM7v1gLNMdjg9PRkkrjoG7C6&#10;RQvYEqJREJjQLdMBbOy6BdE1R8tKt85ZdgGS4JaUDCxFlPDQjIuqKCG/0KTf1cOq8/cLM3SF+XR5&#10;+fnZi6u3r75+fK8rZNbM3hUKg3A0MusxGRuhcOpKFCXhxFZonJiy9wsRp2RmK6QVd1WBHSGz9YFv&#10;pWuRZQtNjYMWCAiGtopzJrUd4gksA7CDFdGgvg+2KTnXQT4Qcw/0Kv8b8WA9CL0neGfeNqOOL8dK&#10;q6Dz00293mz+pZ1EdzRsTp8wA1G71Fj11+067poQrts9uQnXw1akHMA9LXCbuut1T4va5ux6Sc0k&#10;7XwJTM2W1bPXmqytlg0XynWzBubXbQUbsP/erLDE7XmzbdahpvsTZh0m1qz94dGbdTB022kYmL32&#10;L7kVrkx7+8/kpC3VFfVG90UOHa4I3DjArtl90fFkR+Z7+zWM4BzfZdgk2Qz7Q8OG5qoBEzvzuOeW&#10;Y82M7jyy1t9EdvR1YjfBthN0Qf6MZ//JAWvuQXBJNPtMd6HVt9D1d3OCry7xR9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UAAFtDb250ZW50&#10;X1R5cGVzXS54bWxQSwECFAAKAAAAAACHTuJAAAAAAAAAAAAAAAAABgAAAAAAAAAAABAAAADdBAAA&#10;X3JlbHMvUEsBAhQAFAAAAAgAh07iQIoUZjzRAAAAlAEAAAsAAAAAAAAAAQAgAAAAAQUAAF9yZWxz&#10;Ly5yZWxzUEsBAhQACgAAAAAAh07iQAAAAAAAAAAAAAAAAAQAAAAAAAAAAAAQAAAAAAAAAGRycy9Q&#10;SwECFAAUAAAACACHTuJAvlNG99UAAAAGAQAADwAAAAAAAAABACAAAAAiAAAAZHJzL2Rvd25yZXYu&#10;eG1sUEsBAhQAFAAAAAgAh07iQNKvFtqNAwAADAwAAA4AAAAAAAAAAQAgAAAAJAEAAGRycy9lMm9E&#10;b2MueG1sUEsFBgAAAAAGAAYAWQEAACMHAAAAAA==&#10;">
              <o:lock v:ext="edit" aspectratio="f"/>
              <v:rect id="矩形 2" o:spid="_x0000_s1026" o:spt="1" style="position:absolute;left:881;top:1538;height:146;width:11925;v-text-anchor:middle;" fillcolor="#FFD966" filled="t" stroked="f" coordsize="21600,21600" o:gfxdata="UEsDBAoAAAAAAIdO4kAAAAAAAAAAAAAAAAAEAAAAZHJzL1BLAwQUAAAACACHTuJA4t4BeL0AAADb&#10;AAAADwAAAGRycy9kb3ducmV2LnhtbEWPzWrDMBCE74W+g9hCLqWRkqYhuJZzKA3pISE0zQMs1tYy&#10;tlbGkvPz9lEgkOMwM98w+fLsWnGkPtSeNUzGCgRx6U3NlYbD3+ptASJEZIOtZ9JwoQDL4vkpx8z4&#10;E//ScR8rkSAcMtRgY+wyKUNpyWEY+444ef++dxiT7CtpejwluGvlVKm5dFhzWrDY0ZelstkPTsMQ&#10;zMdgd6rZNNs5x7X7bspXpfXoZaI+QUQ6x0f43v4xGmbvcPuSfoAsr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3gF4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tNt7t70AAADb&#10;AAAADwAAAGRycy9kb3ducmV2LnhtbEWPT4vCMBTE7wv7HcITvK1pRUS6ph6UFREP/lnw+miebWnz&#10;UpJY67c3wsIeh5n5DbNcDaYVPTlfW1aQThIQxIXVNZcKfi8/XwsQPiBrbC2Tgid5WOWfH0vMtH3w&#10;ifpzKEWEsM9QQRVCl0npi4oM+ontiKN3s85giNKVUjt8RLhp5TRJ5tJgzXGhwo7WFRXN+W4U3PvN&#10;cX/aLdLr4TBsn83V+Qs5pcajNPkGEWgI/+G/9k4rmM3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23u3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ImfclLwAAADb&#10;AAAADwAAAGRycy9kb3ducmV2LnhtbEWP3WrCQBSE7wu+w3IEb6RuIlpLdBV/EHtXon2AQ/Y0G8ye&#10;DdlVo0/vCoVeDjPzDbNYdbYWV2p95VhBOkpAEBdOV1wq+Dnt3z9B+ICssXZMCu7kYbXsvS0w0+7G&#10;OV2PoRQRwj5DBSaEJpPSF4Ys+pFriKP361qLIcq2lLrFW4TbWo6T5ENarDguGGxoa6g4Hy9WAR0o&#10;N+nWc5cX6+9mNnxs6LFTatBPkzmIQF34D/+1v7SCyR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Jn3JS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2816"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7"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4" name="矩形 2"/>
                      <wps:cNvSpPr/>
                      <wps:spPr>
                        <a:xfrm>
                          <a:off x="881" y="1538"/>
                          <a:ext cx="11925" cy="146"/>
                        </a:xfrm>
                        <a:prstGeom prst="rect">
                          <a:avLst/>
                        </a:prstGeom>
                        <a:solidFill>
                          <a:srgbClr val="FFD966"/>
                        </a:solidFill>
                        <a:ln w="12700">
                          <a:noFill/>
                        </a:ln>
                      </wps:spPr>
                      <wps:bodyPr anchor="ctr" upright="1"/>
                    </wps:wsp>
                    <wps:wsp>
                      <wps:cNvPr id="65"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66" name="任意多边形 4"/>
                      <wps:cNvSpPr/>
                      <wps:spPr>
                        <a:xfrm>
                          <a:off x="10467" y="505"/>
                          <a:ext cx="2385" cy="1107"/>
                        </a:xfrm>
                        <a:custGeom>
                          <a:avLst/>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281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9CBFPlgMAAAwMAAAOAAAAZHJzL2Uyb0RvYy54bWzV&#10;Vs2O2zYQvgfoOxC6dyV6bdkW1ptDN7uXoAmQ9AG4FPUDSCJB0j97zyG39txLgKCXPkKxaJ8mm/Yx&#10;OkOK8trZpGqbtqgPJqX5NJz5Zj6SZ493bUM2QptadquIniQRER2Xed2Vq+ibl5dfLiJiLOty1shO&#10;rKIbYaLH5188OtuqTExkJZtcaAJOOpNt1SqqrFVZHBteiZaZE6lEB8ZC6pZZeNRlnGu2Be9tE0+S&#10;JI23UudKSy6MgbcX3hj1HvUYh7Ioai4uJF+3orPeqxYNs5CSqWplonMXbVEIbp8VhRGWNKsIMrXu&#10;HxaB+TX+x+dnLCs1U1XN+xDYmBCOcmpZ3cGig6sLZhlZ6/oDV23NtTSysCdctrFPxDECWdDkiJsr&#10;LdfK5VJm21INpEOhjlj/y27515vnmtT5KkrnEelYCxX/9fbV3XevCZ0jO1tVZgC60uqFeq77F6V/&#10;woR3hW5xhFTIzvF6M/AqdpZweDmfzZfL5SwiHGxTms7SnnheQXXws8WCRgSMs2TmS8KrJ/3HlC7n&#10;YMRPKZ0vJ8kpIuKwcowBDvFsFTSl2TNl/h5TLyqmhCuAQRICU9OBqTc/3v38lkw8UQ4zsGQyA4Q9&#10;QFHIlc5OFz7ZwBOkOulZotP0IE2WKW3slZAtwckq0tDaruPY5qmxnpEAwUWNbOr8sm4a96DL668a&#10;TTYMZHB5ebFMg/cDWNORLbA8mSeJc91JdOB9Nx2QjvT6rHB2LfMboIR1vJIgKW51RNZK12UF8VEX&#10;fl8PbKN/ozBAnm/hd7e37199e/fD97/98hNWyPUMxgBV/OMK0YTOQQ3QcenCEcWyUKJJSpe+GRep&#10;K/vQiCzja18hZDxUBXaE3NcH3lVhxncdTBEHMyAQBO0ZV9KgHGYoFmz4vgcA9XGwDwnQTlQQzzj0&#10;Pv5P4mGjBNcjwQ/G7SPq81XMIguYDU6x33z8lV8EDa3ciJfSQexDbOztTXcf9wERwRxG5dwNsH1S&#10;ARBGDzxOPVjD6FHHOQcrb6QRvS4hU7dlDdkjJ/e65UCF5r5YE/fr2+AA9r8Xa/oxsU4x3T8h1ike&#10;XdCkw+ExiPV0EbZTmrjT7B9Ra5rAlWm0/lxMKKlR2g5ouk9ghFzHoh+MfLRe6SSduXNiL0gviTQ9&#10;JGRvD+I4UiINW1ewh/EYhyuG88hL/xDpJesC+xTsOMDg5PNo9j85YN09CC6Jbp/pL7R4C73/7E7w&#10;/SX+/H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Bkn3c+2gAAAAsBAAAPAAAAAAAAAAEAIAAAACIA&#10;AABkcnMvZG93bnJldi54bWxQSwECFAAUAAAACACHTuJAPQgRT5YDAAAMDAAADgAAAAAAAAABACAA&#10;AAApAQAAZHJzL2Uyb0RvYy54bWxQSwUGAAAAAAYABgBZAQAAMQcAAAAA&#10;">
              <o:lock v:ext="edit" aspectratio="f"/>
              <v:rect id="矩形 2" o:spid="_x0000_s1026" o:spt="1" style="position:absolute;left:881;top:1538;height:146;width:11925;v-text-anchor:middle;" fillcolor="#FFD966" filled="t" stroked="f" coordsize="21600,21600" o:gfxdata="UEsDBAoAAAAAAIdO4kAAAAAAAAAAAAAAAAAEAAAAZHJzL1BLAwQUAAAACACHTuJAJoLFbL0AAADb&#10;AAAADwAAAGRycy9kb3ducmV2LnhtbEWPQWvCQBSE70L/w/IKvYjuWjSU6CaH0tIeFFH7Ax7Z12xI&#10;9m3IbtT++64geBxm5htmU15dJ840hMazhsVcgSCuvGm41vBz+py9gQgR2WDnmTT8UYCyeJpsMDf+&#10;wgc6H2MtEoRDjhpsjH0uZagsOQxz3xMn79cPDmOSQy3NgJcEd518VSqTDhtOCxZ7erdUtcfRaRiD&#10;WY12r9ptu8s4frmPtpoqrV+eF2oNItI1PsL39rfRkC3h9iX9AFn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gsV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kCKCTL0AAADb&#10;AAAADwAAAGRycy9kb3ducmV2LnhtbEWPT4vCMBTE78J+h/AEb5pWWJ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IoJ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mQAeg7sAAADb&#10;AAAADwAAAGRycy9kb3ducmV2LnhtbEWPQYvCMBSE78L+h/CEvYim3UNdqlFcZdGbVPcHPJpnU2xe&#10;ShO16683guBxmJlvmPmyt424UudrxwrSSQKCuHS65krB3/F3/A3CB2SNjWNS8E8elouPwRxz7W5c&#10;0PUQKhEh7HNUYEJocyl9aciin7iWOHon11kMUXaV1B3eItw28itJMmmx5rhgsKW1ofJ8uFgFtKXC&#10;pGvPfVGu9u10dP+h+0apz2GazEAE6sM7/GrvtIIsg+eX+APk4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Aeg7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384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8"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384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7aXrWUMCAAB1BAAADgAAAGRycy9lMm9Eb2MueG1s&#10;rVTNjtMwEL4j8Q6W7zRp+rNs1XRVtipCWrErFcTZdZwmku0xttukPAC8wZ64cOe5+hyMnbZbLRz2&#10;wMUdeybf+Pvmc6c3rZJkJ6yrQee030spEZpDUetNTj9/Wr55S4nzTBdMghY53QtHb2avX00bMxEZ&#10;VCALYQmCaDdpTE4r780kSRyvhGKuB0ZoTJZgFfO4tZuksKxBdCWTLE3HSQO2MBa4cA5PF12SHhHt&#10;SwChLGsuFsC3SmjfoVohmUdKrqqNo7N427IU3N+XpROeyJwiUx9XbILxOqzJbMomG8tMVfPjFdhL&#10;rvCMk2K1xqZnqAXzjGxt/ReUqrkFB6XvcVBJRyQqgiz66TNtVhUzInJBqZ05i+7+Hyz/uHuwpC5y&#10;Osa5a6Zw4ofHH4efvw+/vpNx0KcxboJlK4OFvn0HLbrmdO7wMNBuS6vCLxIimEd192d1ResJx8Ps&#10;ejAYZRklHHPD9CodjAJM8vS1sc6/F6BICHJqcXpRVLa7c74rPZWEZhqWtZRxglKTBikMRmn84JxB&#10;cKlDrYheOMIERt3NQ+TbdXukuYZijywtdD5xhi9rvModc/6BWTQGEsOn4+9xKSVgSzhGlFRgv/3r&#10;PNTjvDBLSYNGy6n7umVWUCI/aJzkdX84DM6Mm+HoKsONvcysLzN6q24BvdzHR2p4DEO9l6ewtKC+&#10;4Aubh66YYppj75z6U3jrO/vjC+ViPo9F6EXD/J1eGR6gO3HnWw9lHXUPMnXa4LzCBt0YJ3d8OcHu&#10;l/tY9fRvMfs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6FnAdsAAAAKAQAADwAAAAAAAAABACAA&#10;AAAiAAAAZHJzL2Rvd25yZXYueG1sUEsBAhQAFAAAAAgAh07iQO2l61lDAgAAdQQAAA4AAAAAAAAA&#10;AQAgAAAAKgEAAGRycy9lMm9Eb2MueG1sUEsFBgAAAAAGAAYAWQEAAN8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0768"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60"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7" name="矩形 2"/>
                      <wps:cNvSpPr/>
                      <wps:spPr>
                        <a:xfrm>
                          <a:off x="881" y="1538"/>
                          <a:ext cx="11925" cy="146"/>
                        </a:xfrm>
                        <a:prstGeom prst="rect">
                          <a:avLst/>
                        </a:prstGeom>
                        <a:solidFill>
                          <a:srgbClr val="FFD966"/>
                        </a:solidFill>
                        <a:ln w="12700">
                          <a:noFill/>
                        </a:ln>
                      </wps:spPr>
                      <wps:bodyPr anchor="ctr" upright="1"/>
                    </wps:wsp>
                    <wps:wsp>
                      <wps:cNvPr id="58"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59"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0768;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CIw9eymgMAAAsMAAAOAAAAZHJzL2Uyb0RvYy54bWzV&#10;Vs2O2zYQvhfIOwi6ZyXKlmwLa+dQ13spmgBJHoBLUT+AJBIk/bP3HHJrzrkEKHrpIwSL5GmySR6j&#10;Q1KUbMfduG3aoj5YlObTcOab+Ya6fLRram9DhaxYO/fRReh7tCUsq9pi7j9/tno49T2pcJvhmrV0&#10;7t9Q6T9aPPjucstTGrGS1RkVHjhpZbrlc79UiqdBIElJGywvGKctGHMmGqzgVhRBJvAWvDd1EIVh&#10;EmyZyLhghEoJT5fW6HcexTkOWZ5XhC4ZWTe0VdaroDVWkJIsKy79hYk2zylRj/NcUuXVcx8yVeYf&#10;NoH1tf4PFpc4LQTmZUW6EPA5IRzl1OCqhU17V0ussLcW1ReumooIJlmuLghrApuIYQSyQOERN1eC&#10;rbnJpUi3Be9Jh0Idsf6X3ZKfNk+EV2VzPwFKWtxAxT/dvrh79dKLNTlbXqSAuRL8KX8iugeFvdP5&#10;7nLR6Ctk4u0MrTc9rXSnPAIPJ3E8mmn3BGzj8SSZGNc4JSUUR782nSLfA2Mc9pYfupcRmo26VxGa&#10;zKJwpMMK3M6BDrCPZ8uhJ+VAlPx7RD0tMaeGf6lJ6IiKJz1Rb367e/eLF1miDKZnSaYSCDtBkcsV&#10;xaOpfhGnjidINYotS2icHKSJUy6kuqKs8fRi7gvobNNwePOjVJYRB9E+JaurbFXVtbkRxfX3tfA2&#10;GFSwWi1nifN+AKtbbwsTIZqEoXHdMu3A+q5bIF3Ta7PSq2uW3QAluCUlA0URJXxvzUVVlBAfMuF3&#10;9dBt9G8UBiaX7eAPt7cfX/x89+vrz+/f6gqZntExQBW/XiEUognUGPoxmRqihhJFCZrZCk0TU/a+&#10;EaGb17ZCmnFXFRgIma0PPCvdiuxaWGocrIBA0LNlnDOp5RDPoA1ge0uiQf0x2IYEaDPMIB7weQZ6&#10;iP9ePEgPXJ8JPhm3jajLl2OlWdDx6aXuNxt/aTfRhoZt6DNmIOoUG4O9bvdxXxDhzO7KjbseNiTl&#10;AO5qgcepO6u7WtRxzs5KaiZpp0vI1IysPnvNyV63HKhQ7os1NL9uFBzA/vdiBR2dFutYp/snxDpO&#10;rFj7w8PN02g0duMUhWbW/kNqhblztv5MTFpSXVHvVZ/NANBoSODeF2zPnouOZyciP1uvKEpic04M&#10;grSSSJJDt4PdieNIiciNLmd312Oc3tGdR1b6h8gu/a/BjgN0Tr6NZv+TA9Z8B8E3opkz3fes/gjd&#10;vzcn+PANv/g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RPys19oAAAAJAQAADwAAAAAAAAABACAA&#10;AAAiAAAAZHJzL2Rvd25yZXYueG1sUEsBAhQAFAAAAAgAh07iQIjD17KaAwAACwwAAA4AAAAAAAAA&#10;AQAgAAAAKQEAAGRycy9lMm9Eb2MueG1sUEsFBgAAAAAGAAYAWQEAADUHAAAAAA==&#10;">
              <o:lock v:ext="edit" aspectratio="f"/>
              <v:rect id="矩形 2" o:spid="_x0000_s1026" o:spt="1" style="position:absolute;left:881;top:1538;height:146;width:11925;v-text-anchor:middle;" fillcolor="#FFD966" filled="t" stroked="f" coordsize="21600,21600" o:gfxdata="UEsDBAoAAAAAAIdO4kAAAAAAAAAAAAAAAAAEAAAAZHJzL1BLAwQUAAAACACHTuJAGDyRprsAAADb&#10;AAAADwAAAGRycy9kb3ducmV2LnhtbEWPQYvCMBSE78L+h/AW9iKaKKhLNXpYFD0oou4PeDRvm9Lm&#10;pTSpuv/eCILHYWa+YRaru6vFldpQetYwGioQxLk3JRcafi+bwTeIEJEN1p5Jwz8FWC0/egvMjL/x&#10;ia7nWIgE4ZChBhtjk0kZcksOw9A3xMn7863DmGRbSNPiLcFdLcdKTaXDktOCxYZ+LOXVuXMaumAm&#10;nT2qal8dphy3bl3lfaX11+dIzUFEusd3+NXeGQ2TGTy/pB8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DyRpr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sE/nb7oAAADb&#10;AAAADwAAAGRycy9kb3ducmV2LnhtbEVPz2vCMBS+D/wfwhN2m2kHDumMHhSHSA9WB14fzbMtNi8l&#10;SWv73y8HYceP7/d6O5pWDOR8Y1lBukhAEJdWN1wp+L0ePlYgfEDW2FomBRN52G5mb2vMtH1yQcMl&#10;VCKGsM9QQR1Cl0npy5oM+oXtiCN3t85giNBVUjt8xnDTys8k+ZIGG44NNXa0q6l8XHqjoB/251Nx&#10;XKW3PB9/psfN+Ss5pd7nafINItAY/sUv91ErWMax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T+dv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JvNATLwAAADb&#10;AAAADwAAAGRycy9kb3ducmV2LnhtbEWP3WrCQBSE7wu+w3IEb6RuImhtdBV/EHtXon2AQ/Y0G8ye&#10;DdlVo0/vCoVeDjPzDbNYdbYWV2p95VhBOkpAEBdOV1wq+Dnt32cgfEDWWDsmBXfysFr23haYaXfj&#10;nK7HUIoIYZ+hAhNCk0npC0MW/cg1xNH7da3FEGVbSt3iLcJtLcdJMpUWK44LBhvaGirOx4tVQAfK&#10;Tbr13OXF+rv5GD429NgpNeinyRxEoC78h//aX1rB5BN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bzQE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377825</wp:posOffset>
              </wp:positionV>
              <wp:extent cx="3556000" cy="406400"/>
              <wp:effectExtent l="0" t="0" r="0" b="0"/>
              <wp:wrapNone/>
              <wp:docPr id="61"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179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B3JxRFRgMAAK0IAAAOAAAAZHJzL2Uyb0RvYy54bWzdVs1u&#10;EzEQviPxDpbvNLvJJk2jbqrQ0AqpopUK4ux4vT+S1za2k005I+DIiRMSghsSb4B4nLavwdi7m6Sh&#10;EhU/F3rYjj32/HzzzTj7B8uSowXTppAixuFOgBETVCaFyGL87OnRgyFGxhKREC4Fi/EFM/hgfP/e&#10;fqVGrCtzyROmERgRZlSpGOfWqlGnY2jOSmJ2pGIClKnUJbGw1Fkn0aQC6yXvdINg0KmkTpSWlBkD&#10;u9NaiRuL+i4GZZoWlE0lnZdM2NqqZpxYSMnkhTJ47KNNU0btaZoaZhGPMWRq/RecgDxz3854n4wy&#10;TVRe0CYEcpcQtnIqSSHA6crUlFiC5rr4yVRZUC2NTO0OlWWnTsQjAlmEwRY2x1rOlc8lG1WZWoEO&#10;hdpC/bfN0ieLM42KJMaDECNBSqj49bdXl+/eomjg0KlUNoJDx1qdqzPdbGT1yiW8THXp/kMqaOlx&#10;vVjhypYWUdjs9fuDIADIKeiiYBCB7IGnOVTHXQt7vV2MQDscrlSP2tthv7kKF929ztor8yU+MdZt&#10;u1BXkVUK6GnWmJk/w+w8J4r5UhgHR4tZt8Xs6v2bqw9frz69Rg1q/piDDNnlQ+lSrNE0IwObtyAX&#10;RgFUYBOCFXzBEMBx2A0ib2UDAKWNPWayRE6IsQbCex6SRQMKGbVHnE8hjwrOPfZcoAos9gDcGxow&#10;zoXb2cK2DdwBa5ezJRhx4kwmF5CklnVrGUWPCgjlhBh7RjT0EtQOpo09hU/KJbiUjYRRLvXL2/bd&#10;eSgXaDGqoDdjbF7MiWYY8ccCCrkXRsAEZP0i6u92YaE3NbNNjZiXhxLaH9CF6LzozlveiqmW5XMY&#10;ShPnFVREUPAdY9uKh7aeGDDUKJtM/CFoX0XsiThX1JmuIZzMrUyLhowtNp6Znow1Yv+elb2Wldcf&#10;v1x+/4x2W+oBc1dd3NZz3UxNC696MQyiqO7TlolhuFcTsdfb7sSWZXckopG8SBwXHXBGZ7NDrtGC&#10;uCnt/5o+v3GsZmzY3fWjxNEihZkPAZUqAYqIDOrFM3jUqNU3OV03wZSYvPbhzdaplYWF54wXJcye&#10;Tc+/7IH/mPgOv6YL/h71/XiGV8zP7+bFdc/k5tq3yvpXxvg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x6bsHtcAAAAHAQAADwAAAAAAAAABACAAAAAiAAAAZHJzL2Rvd25yZXYueG1sUEsBAhQAFAAA&#10;AAgAh07iQHcnFEV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DLwBEb0AAADb&#10;AAAADwAAAGRycy9kb3ducmV2LnhtbEWPS6vCMBSE94L/IRzBnaYWFKlGuRREEV342Lg7Nse23Oak&#10;NvFx7683guBymJlvmOn8aSpxp8aVlhUM+hEI4szqknMFx8OiNwbhPLLGyjIp+CMH81m7NcVE2wfv&#10;6L73uQgQdgkqKLyvEyldVpBB17c1cfAutjHog2xyqRt8BLipZBxFI2mw5LBQYE1pQdnv/mYUrNPF&#10;Fnfn2Iz/q3S5ufzU1+NpqFS3M4gmIDw9/Tf8aa+0glEM7y/h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vAER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i07WTLwAAADb&#10;AAAADwAAAGRycy9kb3ducmV2LnhtbEWPQWsCMRSE7wX/Q3iCl6LJ2la2W6OIKPTqVjy/bl53Fzcv&#10;SxJX/femUOhxmJlvmOX6ZjsxkA+tYw3ZTIEgrpxpudZw/NpPcxAhIhvsHJOGOwVYr0ZPSyyMu/KB&#10;hjLWIkE4FKihibEvpAxVQxbDzPXEyftx3mJM0tfSeLwmuO3kXKmFtNhyWmiwp21D1bm82EQ5vm/e&#10;5C7/zl6ft6fcD1l5UHutJ+NMfYCIdIv/4b/2p9GweIHfL+kH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tO1ky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page">
                <wp:posOffset>0</wp:posOffset>
              </wp:positionV>
              <wp:extent cx="7575550" cy="483235"/>
              <wp:effectExtent l="0" t="0" r="0" b="0"/>
              <wp:wrapNone/>
              <wp:docPr id="52"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9" name="矩形 2"/>
                      <wps:cNvSpPr/>
                      <wps:spPr>
                        <a:xfrm>
                          <a:off x="881" y="1538"/>
                          <a:ext cx="11925" cy="146"/>
                        </a:xfrm>
                        <a:prstGeom prst="rect">
                          <a:avLst/>
                        </a:prstGeom>
                        <a:solidFill>
                          <a:srgbClr val="FFD966"/>
                        </a:solidFill>
                        <a:ln w="12700">
                          <a:noFill/>
                        </a:ln>
                      </wps:spPr>
                      <wps:bodyPr anchor="ctr" upright="1"/>
                    </wps:wsp>
                    <wps:wsp>
                      <wps:cNvPr id="50"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51"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77696;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afCwpoDAAAMDAAADgAAAGRycy9lMm9Eb2MueG1s1VbNjtQ4&#10;EL4j8Q5W7kzidCfdHU0Ph52duawAaeABPI7zIyWxZbt/5s6BG5y5ICEuPAIawdMwwGNs2Y7T003v&#10;0LvL7mr70HFSn8tVX9Vn+/jhum3QkklV824e4KMoQKyjPK+7ch48e3r2YBogpUmXk4Z3bB5cMRU8&#10;PLl/73glMhbzijc5kwicdCpbiXlQaS2yMFS0Yi1RR1ywDowFly3R8CrLMJdkBd7bJoyjKA1XXOZC&#10;csqUgq+nzhj0HuUhDnlR1JSdcrpoWaedV8kaoiElVdVCBSc22qJgVD8uCsU0auYBZKrtPywC40vz&#10;H54ck6yURFQ17UMgh4Swk1NL6g4WHVydEk3QQtbfuWprKrnihT6ivA1dIpYRyAJHO9ycS74QNpcy&#10;W5ViIB0KtcP6X3ZLHy2fSFTn8yCJA9SRFir+9fr5zasXCMeGnZUoMwCdS3Ehnsj+Q+neTMLrQrbm&#10;CamgteX1auCVrTWi8HGSTJIkAcop2MbTUTxKHPG0guqYadMpDhAYk2iw/NpPxng26qdiPJnF0cjM&#10;Df3KoQlwiGcloCnVhin195i6qIhgtgDKkNAzNZ4NTL15f/PxLeqJspiBJZUpIGwPRT5XnIymjgbP&#10;E6QaJ44lPE630iSZkEqfM94iM5gHElrbdhxZ/qa0Y8RDzKKKN3V+VjeNfZHl5S+NREsCMjg7O52l&#10;3vsWrOnQCraEeBJF1nXHjQPnu+mAdEOvy8qMLnl+BZSQjlYcJEW1DNBCyLqsID5sw+/rYdroXyiM&#10;aTHXwp+vr788f3nz7vW3Tx9MhWzPmBigij+uEI7wZGL7MZ1aokjmSxSnGKpv+nia2rIPjUgyunAV&#10;Moz7qsCOkLv6wLfKj+i6g6HBwQgIBEE7xgVXRg7JDNoA1nAkWtQfg11IgLa7GcQDPg9Ab+K/Ew+U&#10;biV7J3hv3C6iPl9BtGHBxGeGpt9c/JVj1BhavmRPuYXofWxs7E13G/cdEd7sn8K6G2AbBjzAPx1w&#10;N3Vv9U+H2s3ZW2nDFet1CZnaLWvI3nByq1u2VKhuizWyv34r2IL978UKO/5+sY5Nun9CrOPUiXU4&#10;PAaxjsZ+O8WR3Wv/IbXClelg/dmYjKT6ot4pqNij8SaBOye4nj0Uncz2RH6wXnGcJvac2AjSSSJN&#10;t91u7F4cO0rEfuvydv/cxZkV/XnkpL+N7NP/EWw3QO/k52j2Pzlg7T0ILol2n+kvtOYWevvdnuCb&#10;S/zJ7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OimF77VAAAABQEAAA8AAAAAAAAAAQAgAAAAIgAA&#10;AGRycy9kb3ducmV2LnhtbFBLAQIUABQAAAAIAIdO4kD5p8LCmgMAAAwMAAAOAAAAAAAAAAEAIAAA&#10;ACQBAABkcnMvZTJvRG9jLnhtbFBLBQYAAAAABgAGAFkBAAAwBwAAAAA=&#10;">
              <o:lock v:ext="edit" aspectratio="f"/>
              <v:rect id="矩形 2" o:spid="_x0000_s1026" o:spt="1" style="position:absolute;left:881;top:1538;height:146;width:11925;v-text-anchor:middle;" fillcolor="#FFD966" filled="t" stroked="f" coordsize="21600,21600" o:gfxdata="UEsDBAoAAAAAAIdO4kAAAAAAAAAAAAAAAAAEAAAAZHJzL1BLAwQUAAAACACHTuJAgzY2kr0AAADb&#10;AAAADwAAAGRycy9kb3ducmV2LnhtbEWPzWrDMBCE74W8g9hAL6WRUpLQuJZzCCnNoSHk5wEWa2sZ&#10;Wytjyfl5+6hQ6HGYmW+YfHVzrbhQH2rPGqYTBYK49KbmSsP59Pn6DiJEZIOtZ9JwpwCrYvSUY2b8&#10;lQ90OcZKJAiHDDXYGLtMylBachgmviNO3o/vHcYk+0qaHq8J7lr5ptRCOqw5LVjsaG2pbI6D0zAE&#10;Mx/sXjXfzW7B8cttmvJFaf08nqoPEJFu8T/8194aDbMl/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Nja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TjnraboAAADb&#10;AAAADwAAAGRycy9kb3ducmV2LnhtbEVPz2vCMBS+D/wfwhN2m2kHDumMHhSHSA9WB14fzbMtNi8l&#10;SWv73y8HYceP7/d6O5pWDOR8Y1lBukhAEJdWN1wp+L0ePlYgfEDW2FomBRN52G5mb2vMtH1yQcMl&#10;VCKGsM9QQR1Cl0npy5oM+oXtiCN3t85giNBVUjt8xnDTys8k+ZIGG44NNXa0q6l8XHqjoB/251Nx&#10;XKW3PB9/psfN+Ss5pd7nafINItAY/sUv91ErWMb1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OOetp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2IVMSrsAAADb&#10;AAAADwAAAGRycy9kb3ducmV2LnhtbEWP0YrCMBRE3xf8h3AXfFnWtIK6VKO4iuibVP2AS3NtyjY3&#10;pclq9euNIPg4zMwZZrbobC0u1PrKsYJ0kIAgLpyuuFRwOm6+f0D4gKyxdkwKbuRhMe99zDDT7so5&#10;XQ6hFBHCPkMFJoQmk9IXhiz6gWuIo3d2rcUQZVtK3eI1wm0th0kylhYrjgsGG1oZKv4O/1YBbSk3&#10;6cpzlxfLfTP5uv/Sfa1U/zNNpiACdeEdfrV3WsEoheeX+AP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IVMS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8720" behindDoc="0" locked="0" layoutInCell="1" allowOverlap="1">
              <wp:simplePos x="0" y="0"/>
              <wp:positionH relativeFrom="page">
                <wp:align>left</wp:align>
              </wp:positionH>
              <wp:positionV relativeFrom="page">
                <wp:posOffset>377825</wp:posOffset>
              </wp:positionV>
              <wp:extent cx="3228975" cy="406400"/>
              <wp:effectExtent l="0" t="0" r="0" b="0"/>
              <wp:wrapNone/>
              <wp:docPr id="53"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4"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5"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7872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SWkKnSQMAAK0IAAAOAAAAZHJzL2Uyb0RvYy54bWzdVs1u&#10;EzEQviPxDpbvNLv5adJVN1VoaIVU0UoFcXa83h/JaxvbyaacEXDkxAkJwQ2JN0A8TstrMPbu5g8k&#10;KkAc6GFre+wZzzffN87h0bLkaMG0KaSIcbgXYMQElUkhshg/eXxyb4SRsUQkhEvBYnzFDD4a371z&#10;WKmIdWUuecI0AifCRJWKcW6tijodQ3NWErMnFRNgTKUuiYWpzjqJJhV4L3mnGwT7nUrqRGlJmTGw&#10;Oq2NuPGob+NQpmlB2VTSecmErb1qxomFlExeKIPH/rZpyqg9T1PDLOIxhkyt/0IQGM/ctzM+JFGm&#10;icoL2lyB3OYKOzmVpBAQdOVqSixBc1384KosqJZGpnaPyrJTJ+IRgSzCYAebUy3nyueSRVWmVqBD&#10;oXZQ/2239NHiQqMiifGgh5EgJVT825cX129eo3DfoVOpLIJNp1pdqgvdLGT1zCW8THXp/kMqaOlx&#10;vVrhypYWUVjsdbujg+EAIwq2frDfDxrgaQ7VccfCXm+IEVhHo5XpQXs6HEC13FE46K7UWUdlvsRn&#10;xrpld9XVzSoF9DRrzMyfYXaZE8V8KYyDo8Ws32J28/bVzbvPNx9eogY1v81BhuzyvnQp1miayMDi&#10;T5AL+0G4DcEKvmAE4NQAeC8bACht7CmTJXKDGGsgvOchWTSgkKjd4mIKeVJwDmCRiAtUAaQ9AHfL&#10;As65cCs72LYXd8Da5WzpqWCimUyuIEkta2kZRU8KuMoZMfaCaNAS1A66jT2HT8olhJTNCKNc6uc/&#10;W3f7oVxgxagCbcbYPJsTzTDiDwUU8iDsAxOQ9ZP+YNiFid60zDYtYl4eS5A/oAu380O33/J2mGpZ&#10;PoWmNHFRwUQEhdgxtu3w2NYdA5oaZZOJ3wTyVcSeiUtFnesawsncyrRoyNhi45npyejU9C9YCUpr&#10;lPz+0/XXj2jYUg+Yu1JxW8+1mBoJr7QYBv2+OwlUaKQYhgc1EXu9XSW2LLslEY3kReK46Nwbnc2O&#10;uUYL4rq0/2t0vrWtZmzYHUL7QNTRIoWeD8NSJUARkUG9eAaPGrV6m9O1CKbE5HUM77ZOrSwsPGe8&#10;KKH3bEb+pQb+Y+I7/BoV/D3q+/YMr5jv382L657JzbmXyvpXxvg7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PCAQPtcAAAAHAQAADwAAAAAAAAABACAAAAAiAAAAZHJzL2Rvd25yZXYueG1sUEsBAhQA&#10;FAAAAAgAh07iQBJaQqdJAwAArQgAAA4AAAAAAAAAAQAgAAAAJgEAAGRycy9lMm9Eb2MueG1sUEsF&#10;BgAAAAAGAAYAWQEAAOEGAAAAAA==&#10;">
              <o:lock v:ext="edit" aspectratio="f"/>
              <v:shape id="文本框 6" o:spid="_x0000_s1026" o:spt="202" type="#_x0000_t202" style="position:absolute;left:1401;top:880;height:641;width:3087;" filled="f" stroked="f" coordsize="21600,21600" o:gfxdata="UEsDBAoAAAAAAIdO4kAAAAAAAAAAAAAAAAAEAAAAZHJzL1BLAwQUAAAACACHTuJAInX2Q78AAADb&#10;AAAADwAAAGRycy9kb3ducmV2LnhtbEWPQWvCQBSE7wX/w/IEb3UTaY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19kO/&#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pYchHrwAAADb&#10;AAAADwAAAGRycy9kb3ducmV2LnhtbEWPQWvCQBSE74X+h+UVeim6m9JIjK4iUqFXo3h+Zp9JMPs2&#10;7K7R/vtuodDjMDPfMMv1w/ZiJB86xxqyqQJBXDvTcaPheNhNChAhIhvsHZOGbwqwXj0/LbE07s57&#10;GqvYiAThUKKGNsahlDLULVkMUzcQJ+/ivMWYpG+k8XhPcNvLd6Vm0mLHaaHFgbYt1dfqZhPlON/k&#10;8rM4Zx9v21Phx6zaq53Wry+ZWoCI9Ij/4b/2l9GQ5/D7Jf0Auf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HIR6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hint="eastAsia" w:ascii="微软雅黑" w:hAnsi="微软雅黑" w:eastAsia="微软雅黑" w:cs="微软雅黑"/>
                                <w:b/>
                                <w:bCs/>
                                <w:sz w:val="32"/>
                                <w:szCs w:val="40"/>
                                <w:lang w:eastAsia="zh-CN"/>
                              </w:rPr>
                            </w:pPr>
                            <w:r>
                              <w:rPr>
                                <w:rFonts w:hint="eastAsia" w:ascii="微软雅黑" w:hAnsi="微软雅黑" w:eastAsia="微软雅黑" w:cs="微软雅黑"/>
                                <w:b/>
                                <w:bCs/>
                                <w:sz w:val="32"/>
                                <w:szCs w:val="40"/>
                              </w:rPr>
                              <w:t>第</w:t>
                            </w:r>
                            <w:r>
                              <w:rPr>
                                <w:rFonts w:hint="eastAsia" w:ascii="微软雅黑" w:hAnsi="微软雅黑" w:eastAsia="微软雅黑" w:cs="微软雅黑"/>
                                <w:b/>
                                <w:bCs/>
                                <w:sz w:val="32"/>
                                <w:szCs w:val="40"/>
                                <w:lang w:eastAsia="zh-CN"/>
                              </w:rPr>
                              <w:t>一</w:t>
                            </w:r>
                            <w:r>
                              <w:rPr>
                                <w:rFonts w:hint="eastAsia" w:ascii="微软雅黑" w:hAnsi="微软雅黑" w:eastAsia="微软雅黑" w:cs="微软雅黑"/>
                                <w:b/>
                                <w:bCs/>
                                <w:sz w:val="32"/>
                                <w:szCs w:val="40"/>
                              </w:rPr>
                              <w:t>部分  部门</w:t>
                            </w:r>
                            <w:r>
                              <w:rPr>
                                <w:rFonts w:hint="eastAsia" w:ascii="微软雅黑" w:hAnsi="微软雅黑" w:eastAsia="微软雅黑" w:cs="微软雅黑"/>
                                <w:b/>
                                <w:bCs/>
                                <w:sz w:val="32"/>
                                <w:szCs w:val="40"/>
                                <w:lang w:eastAsia="zh-CN"/>
                              </w:rPr>
                              <w:t>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hint="eastAsia" w:ascii="微软雅黑" w:hAnsi="微软雅黑" w:eastAsia="微软雅黑" w:cs="微软雅黑"/>
                          <w:b/>
                          <w:bCs/>
                          <w:sz w:val="32"/>
                          <w:szCs w:val="40"/>
                          <w:lang w:eastAsia="zh-CN"/>
                        </w:rPr>
                      </w:pPr>
                      <w:r>
                        <w:rPr>
                          <w:rFonts w:hint="eastAsia" w:ascii="微软雅黑" w:hAnsi="微软雅黑" w:eastAsia="微软雅黑" w:cs="微软雅黑"/>
                          <w:b/>
                          <w:bCs/>
                          <w:sz w:val="32"/>
                          <w:szCs w:val="40"/>
                        </w:rPr>
                        <w:t>第</w:t>
                      </w:r>
                      <w:r>
                        <w:rPr>
                          <w:rFonts w:hint="eastAsia" w:ascii="微软雅黑" w:hAnsi="微软雅黑" w:eastAsia="微软雅黑" w:cs="微软雅黑"/>
                          <w:b/>
                          <w:bCs/>
                          <w:sz w:val="32"/>
                          <w:szCs w:val="40"/>
                          <w:lang w:eastAsia="zh-CN"/>
                        </w:rPr>
                        <w:t>一</w:t>
                      </w:r>
                      <w:r>
                        <w:rPr>
                          <w:rFonts w:hint="eastAsia" w:ascii="微软雅黑" w:hAnsi="微软雅黑" w:eastAsia="微软雅黑" w:cs="微软雅黑"/>
                          <w:b/>
                          <w:bCs/>
                          <w:sz w:val="32"/>
                          <w:szCs w:val="40"/>
                        </w:rPr>
                        <w:t>部分  部门</w:t>
                      </w:r>
                      <w:r>
                        <w:rPr>
                          <w:rFonts w:hint="eastAsia" w:ascii="微软雅黑" w:hAnsi="微软雅黑" w:eastAsia="微软雅黑" w:cs="微软雅黑"/>
                          <w:b/>
                          <w:bCs/>
                          <w:sz w:val="32"/>
                          <w:szCs w:val="40"/>
                          <w:lang w:eastAsia="zh-CN"/>
                        </w:rPr>
                        <w:t>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37"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34" name="矩形 2"/>
                      <wps:cNvSpPr/>
                      <wps:spPr>
                        <a:xfrm>
                          <a:off x="881" y="1538"/>
                          <a:ext cx="11925" cy="146"/>
                        </a:xfrm>
                        <a:prstGeom prst="rect">
                          <a:avLst/>
                        </a:prstGeom>
                        <a:solidFill>
                          <a:srgbClr val="FFD966"/>
                        </a:solidFill>
                        <a:ln w="12700">
                          <a:noFill/>
                        </a:ln>
                      </wps:spPr>
                      <wps:bodyPr anchor="ctr" upright="1"/>
                    </wps:wsp>
                    <wps:wsp>
                      <wps:cNvPr id="35"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36" name="任意多边形 4"/>
                      <wps:cNvSpPr/>
                      <wps:spPr>
                        <a:xfrm>
                          <a:off x="10467" y="505"/>
                          <a:ext cx="2385" cy="1107"/>
                        </a:xfrm>
                        <a:custGeom>
                          <a:avLst/>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NJWNBeQAwAADAwAAA4AAABkcnMvZTJvRG9jLnhtbNVW&#10;zW7UMBC+I/EOVu408XY3uxt12wOlvSBAankA13F+pCS2bO9P7xy4wZkLEuLCI6AKnoYCj8HYjrPd&#10;pZTwL/awcTxfxjPfzGd772BVV2jBpCp5MwvwThQg1lCelk0+Cx6fHt2ZBEhp0qSk4g2bBedMBQf7&#10;t2/tLUXCBrzgVcokAieNSpZiFhRaiyQMFS1YTdQOF6wBY8ZlTTS8yjxMJVmC97oKB1EUh0suUyE5&#10;ZUrB7KEzBq1H2cchz7KSskNO5zVrtPMqWUU0pKSKUqhg30abZYzqh1mmmEbVLIBMtf2HRWB8Zv7D&#10;/T2S5JKIoqRtCKRPCFs51aRsYNHO1SHRBM1l+ZWruqSSK57pHcrr0CViGYEscLTFzbHkc2FzyZNl&#10;LjrSoVBbrP+0W/pg8UiiMp0Fu+MANaSGin+6eHL5/CmCCWBnKfIEQMdSnIhHsp3I3ZtJeJXJ2jwh&#10;FbSyvJ53vLKVRhQmx6PxdDodBYiCbYjjUdwSTwuojvlsMsEBAuMoGrmS0OJe+zHG0zEYzacYj6eD&#10;aNcgQr9yaALs4lkKaEq1Zkr9GlMnBRHMFkAZEjxTw46pl28u371CA0eUxXQsqUQBYddQ5HPFo92J&#10;S9bzBKkOWpbwMN5IkyRCKn3MeI3MYBZIaG3bcWRxX2nHiIeYRRWvyvSorCr7IvOzu5VECwIyODo6&#10;nMbe+wasatASWB6Mo8i6brhx4HxXDZBu6HVZmdEZT8+BEtLQgoOkqJYBmgtZ5gXEh234bT1MG/2N&#10;wgB5roU/XFx8fPLs8vWLz+/fmgrZnjExQBW/XyEc4TGoATounliiSOJLNIjx1DXjJLZl7xqRJHTu&#10;KmQY91WBHSF19YG5wo/oqoGhwcEICARBO8YFV0YOIyMW0/BtDwDq22AXEqCtqCCefuh1/DfiYaME&#10;1z3B18btImrzFUQbFkw2Zmj6zcVfuEWMoeYLdsotRF/HxtpeNVdxXxHhzf4prLsOtk7KA/zTAbdT&#10;91b/dKjtnL2VVlyxVpeQqd2yuuwNJ1e6ZUOF6qpYI/tr22AD9t+LNf6WWIcm3R8Q6zB2Yu0Oj06s&#10;uxO/neLInmZ/RK1xBFem3vqzMRlJ9dK2R+N1Aj3k2hd9beS99YoH8cieE2tBOknE8SYha7sXx5YS&#10;sd+6vN0/t3FmRX8eOelvIp1kbWA3wbYD9E5+j2b/yQFr70FwSbT7THuhNbfQq+/2BF9f4ve/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IGAABb&#10;Q29udGVudF9UeXBlc10ueG1sUEsBAhQACgAAAAAAh07iQAAAAAAAAAAAAAAAAAYAAAAAAAAAAAAQ&#10;AAAA5AQAAF9yZWxzL1BLAQIUABQAAAAIAIdO4kCKFGY80QAAAJQBAAALAAAAAAAAAAEAIAAAAAgF&#10;AABfcmVscy8ucmVsc1BLAQIUAAoAAAAAAIdO4kAAAAAAAAAAAAAAAAAEAAAAAAAAAAAAEAAAAAAA&#10;AABkcnMvUEsBAhQAFAAAAAgAh07iQEVYLIXZAAAACQEAAA8AAAAAAAAAAQAgAAAAIgAAAGRycy9k&#10;b3ducmV2LnhtbFBLAQIUABQAAAAIAIdO4kDSVjQXkAMAAAwMAAAOAAAAAAAAAAEAIAAAACgBAABk&#10;cnMvZTJvRG9jLnhtbFBLBQYAAAAABgAGAFkBAAAqBwAAAAA=&#10;">
              <o:lock v:ext="edit" aspectratio="f"/>
              <v:rect id="矩形 2" o:spid="_x0000_s1026" o:spt="1" style="position:absolute;left:881;top:1538;height:146;width:11925;v-text-anchor:middle;" fillcolor="#FFD966" filled="t" stroked="f" coordsize="21600,21600" o:gfxdata="UEsDBAoAAAAAAIdO4kAAAAAAAAAAAAAAAAAEAAAAZHJzL1BLAwQUAAAACACHTuJANTHqcb0AAADb&#10;AAAADwAAAGRycy9kb3ducmV2LnhtbEWPzWrDMBCE74W+g9hCLqWRkqYhuJZzKA3pISE0zQMs1tYy&#10;tlbGkvPz9lEgkOMwM98w+fLsWnGkPtSeNUzGCgRx6U3NlYbD3+ptASJEZIOtZ9JwoQDL4vkpx8z4&#10;E//ScR8rkSAcMtRgY+wyKUNpyWEY+444ef++dxiT7CtpejwluGvlVKm5dFhzWrDY0ZelstkPTsMQ&#10;zMdgd6rZNNs5x7X7bspXpfXoZaI+QUQ6x0f43v4xGt5ncPuSfoAsr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Mepx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g5GtUbwAAADb&#10;AAAADwAAAGRycy9kb3ducmV2LnhtbEWPQYvCMBSE78L+h/AW9qZpXRSpRg+7rIh40Cp4fTRv22Lz&#10;UpJY6783guBxmJlvmMWqN43oyPnasoJ0lIAgLqyuuVRwOv4NZyB8QNbYWCYFd/KwWn4MFphpe+MD&#10;dXkoRYSwz1BBFUKbSemLigz6kW2Jo/dvncEQpSuldniLcNPIcZJMpcGa40KFLf1UVFzyq1Fw7X73&#10;28Nmlp53u359v5ydP5JT6uszTeYgAvXhHX61N1rB9w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ORrVG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irMxnrsAAADb&#10;AAAADwAAAGRycy9kb3ducmV2LnhtbEWP3YrCMBSE7wXfIRzBG1nTKujSNYo/LHon1X2AQ3O2Kduc&#10;lCZq16c3guDlMDPfMItVZ2txpdZXjhWk4wQEceF0xaWCn/P3xycIH5A11o5JwT95WC37vQVm2t04&#10;p+splCJC2GeowITQZFL6wpBFP3YNcfR+XWsxRNmWUrd4i3Bby0mSzKTFiuOCwYa2hoq/08UqoD3l&#10;Jt167vJifWzmo/uG7julhoM0+QIRqAvv8Kt90AqmM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rMxnr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612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30"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31"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9612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bVHKb0oDAACtCAAADgAAAGRycy9lMm9Eb2MueG1s3VbN&#10;btQwEL4j8Q6W7zTJbna3jZqi0tIKqYJKBXH2Os6P5NjG9jZbzgg4cuKEhOCGxBsgHofyGoztZHcp&#10;SFSAONBDanvG8/PNN+Pdvb1sOTpn2jRS5DjZijFigsqiEVWOHz08urWNkbFEFIRLwXJ8wQy+vXfz&#10;xm6nMjaSteQF0wiMCJN1Kse1tSqLIkNr1hKzJRUTICylbomFra6iQpMOrLc8GsXxNOqkLpSWlBkD&#10;p4dBiHuL+joGZVk2lB1KumiZsMGqZpxYSMnUjTJ4z0dblozaB2VpmEU8x5Cp9V9wAuu5+0Z7uySr&#10;NFF1Q/sQyHVCuJJTSxoBTlemDoklaKGbH0y1DdXSyNJuUdlGIRGPCGSRxFewOdZyoXwuVdZVagU6&#10;FOoK6r9tlt4/P9WoKXI8BkgEaaHiXz89+/LqJUoTh06nqgyUjrU6U6e6P6jCziW8LHXr/kMqaOlx&#10;vVjhypYWUTgcx+k03plgREGWxrN4PAnA0xqq464l4/EMI5BuT1aiu8PtUTwNV6chpGjtlfkSnxgL&#10;gUUu1FVknQJ6mjVm5s8wO6uJYr4UxsExYJYMmF2+fnH55uPlu+doGlDzag4yZJd3pEtxODdw+BPk&#10;knQCaW5CsIZvG8Bx2P0IgNLGHjPZIrfIsQbCex6S8x4Ukg0qzqeQRw3nnvRcoA4sjiexv7CSALpc&#10;ON0r2JosBO6Atcv50lPBZHNZXECSWobWMooeNRDKCTH2lGjoJaAVTBv7AD4ll+BS9iuMaqmf/uzc&#10;6UO5QIpRB72ZY/NkQTTDiN8TUMidJE1dM/tNOpmNYKM3JfNNiVi0BxLaH2oF0fml07d8WJZato9h&#10;KO07ryAigoLvHNtheWDDxIChRtn+vleC9lXEnogzRZ3pAO7+wsqy6ck4YOOZ6cnouukfsHK6M7Dy&#10;69sPXz6/R7OBesDcVRcP9Vw3U9/Cq15M4jQNfTowMUnAtCPiGKaFa7n15YFl1ySikbwpHBcdcEZX&#10;8wOu0TlxU9r/9da/UwuMTUazGIpEHS1KmPmwbFUBFBEV1ItX8KhRq7/ndGiCQ2Lq4MObDam1jYXn&#10;jDctzJ5Nz7/sgf+Y+A6/vgv+HvX9eIZXzLOmf3HdM7m5962y/pWx9w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DeSJ2A2AAAAAgBAAAPAAAAAAAAAAEAIAAAACIAAABkcnMvZG93bnJldi54bWxQSwEC&#10;FAAUAAAACACHTuJAbVHKb0oDAACtCAAADgAAAAAAAAABACAAAAAnAQAAZHJzL2Uyb0RvYy54bWxQ&#10;SwUGAAAAAAYABgBZAQAA4wYAAAAA&#10;">
              <o:lock v:ext="edit" aspectratio="f"/>
              <v:shape id="文本框 6" o:spid="_x0000_s1026" o:spt="202" type="#_x0000_t202" style="position:absolute;left:1456;top:855;height:641;width:3087;" filled="f" stroked="f" coordsize="21600,21600" o:gfxdata="UEsDBAoAAAAAAIdO4kAAAAAAAAAAAAAAAAAEAAAAZHJzL1BLAwQUAAAACACHTuJA792we74AAADb&#10;AAAADwAAAGRycy9kb3ducmV2LnhtbEWPS4vCQBCE74L/YWjBm06iKJJ1lCUgiujBx8Vbb6ZNwmZ6&#10;YmZ87a/fEQSPRVV9RU3nD1OJGzWutKwg7kcgiDOrS84VHA+L3gSE88gaK8uk4EkO5rN2a4qJtnfe&#10;0W3vcxEg7BJUUHhfJ1K6rCCDrm9r4uCdbWPQB9nkUjd4D3BTyUEUjaXBksNCgTWlBWW/+6tRsE4X&#10;W9z9DMzkr0qXm/N3fTmeRkp1O3H0BcLTw3/C7/ZKKxjG8PoSfoC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92we7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6qbhprwAAADb&#10;AAAADwAAAGRycy9kb3ducmV2LnhtbEWPQWsCMRSE7wX/Q3iCl6LJSivrahSRCr26lZ6fm+fu4uZl&#10;SdJV/70pFHocZuYbZr29204M5EPrWEM2UyCIK2darjWcvg7THESIyAY7x6ThQQG2m9HLGgvjbnyk&#10;oYy1SBAOBWpoYuwLKUPVkMUwcz1x8i7OW4xJ+loaj7cEt52cK7WQFltOCw32tG+oupY/NlFOy927&#10;/MjP2dvr/jv3Q1Ye1UHryThTKxCR7vE//Nf+NBoWS/j9kn6A3D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m4aa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95104"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70" name="组合 70"/>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71" name="矩形 2"/>
                      <wps:cNvSpPr/>
                      <wps:spPr>
                        <a:xfrm>
                          <a:off x="881" y="1538"/>
                          <a:ext cx="11925" cy="146"/>
                        </a:xfrm>
                        <a:prstGeom prst="rect">
                          <a:avLst/>
                        </a:prstGeom>
                        <a:solidFill>
                          <a:srgbClr val="FFD966"/>
                        </a:solidFill>
                        <a:ln w="12700">
                          <a:noFill/>
                        </a:ln>
                      </wps:spPr>
                      <wps:bodyPr anchor="ctr" upright="1"/>
                    </wps:wsp>
                    <wps:wsp>
                      <wps:cNvPr id="72"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73" name="任意多边形 4"/>
                      <wps:cNvSpPr/>
                      <wps:spPr>
                        <a:xfrm>
                          <a:off x="10467" y="505"/>
                          <a:ext cx="2385" cy="1107"/>
                        </a:xfrm>
                        <a:custGeom>
                          <a:avLst/>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95104;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B6Xpm2WAwAADAwAAA4AAABkcnMvZTJvRG9jLnhtbNVW&#10;zY7UOBC+I+07WLkziTPTSXc0PRwYZi4IkAYewOM4P1ISW7b7Z+4cuMGZCxLiwiOgETwNw+5jbNmO&#10;0z8MbHZBi+hDx3F9KVd9VZ/t43vrtkFLJlXNu3mAD6IAsY7yvO7KefDs6dndaYCUJl1OGt6xeXDF&#10;VHDv5I87xyuRsZhXvMmZROCkU9lKzINKa5GFoaIVa4k64IJ1YCy4bImGV1mGuSQr8N42YRxFSbji&#10;MheSU6YUzJ46Y9B7lGMc8qKoKTvldNGyTjuvkjVEQ0qqqoUKTmy0RcGoflwUimnUzAPIVNt/WATG&#10;l+Y/PDkmWSmJqGrah0DGhLCXU0vqDhYdXJ0STdBC1l+5amsqueKFPqC8DV0ilhHIAkd73JxLvhA2&#10;lzJblWIgHQq1x/p/dksfLZ9IVOfzIAVKOtJCxf+8fn7z6gWCCWBnJcoMQOdSXIgnsp8o3ZtJeF3I&#10;1jwhFbS2vF4NvLK1RhQm00k6m80mAaJgO8LJJOmJpxVUx3w2neIAgXESTVxJaPWg/xjjWQpG8ynG&#10;6SyODg0i9CuHJsAhnpWAplQbptSPMXVREcFsAZQhwTMF4fRMvXl/8/Etih1RFjOwpDIFhN1Ckc8V&#10;Tw6nLlnPE6Qa9yzho2QnTZIJqfQ54y0yg3kgobVtx5HlQ6UdIx5iFlW8qfOzumnsiywv7zcSLQnI&#10;4OzsdJZ47zuwpkMrYDlOo8i67rhx4Hw3HZBu6HVZmdElz6+AEtLRioOkqJYBWghZlxXEh234fT1M&#10;G/0fhYl9YT5fX395/vLm3eu/Pn0wFbI9Y2KAKv5zhXCE09T2YzK1RJHMlyhO8Mw14zSxZR8akWR0&#10;4SpkGPdVgR0hd/WBucqP6LqDocHBCAgEQTvGBVdGDhMjFtPwfQ8A6ttgFxKgraggnnHoTfzfxcOu&#10;AK5Hgm+N20XU5yuINiyYbMzQ9JuLv3KLGEPLl+wptxB9Gxsbe9Nt474iwpv9U1h3A2yTlAf4pwPu&#10;p+6t/ulQ+zl7K224Yr0uIVO7ZQ3ZG062umVHhWpbrJH99W2wA/vtxXr4LbEemXT/hViPEifW4fAY&#10;xHo49dspjtKeRH9gbfP/Y2pNIrgyjdafjclIapS2PRpvEhgh17HoWyMfrVccJxN7TmwE6SSRJLuE&#10;bOxeHHtKxH7r8nb/3MeZFf155KS/i3SStYF9D7YfoHfyczT7Sw5Yew+CS6LdZ/oLrbmFbr/bE3xz&#10;iT/5G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EVYLIXZAAAACQEAAA8AAAAAAAAAAQAgAAAAIgAA&#10;AGRycy9kb3ducmV2LnhtbFBLAQIUABQAAAAIAIdO4kAel6ZtlgMAAAwMAAAOAAAAAAAAAAEAIAAA&#10;ACgBAABkcnMvZTJvRG9jLnhtbFBLBQYAAAAABgAGAFkBAAAwBwAAAAA=&#10;">
              <o:lock v:ext="edit" aspectratio="f"/>
              <v:rect id="矩形 2" o:spid="_x0000_s1026" o:spt="1" style="position:absolute;left:881;top:1538;height:146;width:11925;v-text-anchor:middle;" fillcolor="#FFD966" filled="t" stroked="f" coordsize="21600,21600" o:gfxdata="UEsDBAoAAAAAAIdO4kAAAAAAAAAAAAAAAAAEAAAAZHJzL1BLAwQUAAAACACHTuJAsyzwKb0AAADb&#10;AAAADwAAAGRycy9kb3ducmV2LnhtbEWPzWrDMBCE74W+g9hCLiWRHMgPbmQfSkNyaClx+wCLtbWM&#10;rZWx5Py8fRUo9DjMzDfMrry6XpxpDK1nDdlCgSCuvWm50fD9tZ9vQYSIbLD3TBpuFKAsHh92mBt/&#10;4ROdq9iIBOGQowYb45BLGWpLDsPCD8TJ+/Gjw5jk2Egz4iXBXS+XSq2lw5bTgsWBXi3VXTU5DVMw&#10;q8l+qu69+1hzPLi3rn5WWs+eMvUCItI1/of/2kejYZPB/Uv6AbL4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LPAp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hKM5b0AAADb&#10;AAAADwAAAGRycy9kb3ducmV2LnhtbEWPT4vCMBTE7wv7HcITvK1pPah0TT0oKyIe/LPg9dE829Lm&#10;pSSx1m9vhIU9DjPzG2a5GkwrenK+tqwgnSQgiAuray4V/F5+vhYgfEDW2FomBU/ysMo/P5aYafvg&#10;E/XnUIoIYZ+hgiqELpPSFxUZ9BPbEUfvZp3BEKUrpXb4iHDTymmSzKTBmuNChR2tKyqa890ouPeb&#10;4/60W6TXw2HYPpur8xdySo1HafINItAQ/sN/7Z1WMJ/C+0v8ATJ/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Eozl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DK4rxr0AAADb&#10;AAAADwAAAGRycy9kb3ducmV2LnhtbEWPwWrDMBBE74X+g9hALqWR3UBSnCihdSnJLTjtByzWxjKx&#10;VsZSbcdfXwUKPQ4z84bZ7kfbiJ46XztWkC4SEMSl0zVXCr6/Pp9fQfiArLFxTApu5GG/e3zYYqbd&#10;wAX151CJCGGfoQITQptJ6UtDFv3CtcTRu7jOYoiyq6TucIhw28iXJFlJizXHBYMt5YbK6/nHKqAD&#10;FSbNPY9F+XZq10/TO00fSs1nabIBEWgM/+G/9lErWC/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rivGvQAA&#10;ANsAAAAPAAAAAAAAAAEAIAAAACIAAABkcnMvZG93bnJldi54bWxQSwECFAAUAAAACACHTuJAMy8F&#10;njsAAAA5AAAAEAAAAAAAAAABACAAAAAMAQAAZHJzL3NoYXBleG1sLnhtbFBLBQYAAAAABgAGAFsB&#10;AAC2AwAAAAA=&#10;" path="m668,0l2619,10,2619,1265,0,1265,668,0xe">
                <v:path o:connectlocs="608,0;2385,8;2385,1107;0,1107;608,0" o:connectangles="0,0,0,0,0"/>
                <v:fill on="t" focussize="0,0"/>
                <v:stroke on="f" weight="1pt"/>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42"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38" name="矩形 2"/>
                      <wps:cNvSpPr/>
                      <wps:spPr>
                        <a:xfrm>
                          <a:off x="881" y="1538"/>
                          <a:ext cx="11925" cy="146"/>
                        </a:xfrm>
                        <a:prstGeom prst="rect">
                          <a:avLst/>
                        </a:prstGeom>
                        <a:solidFill>
                          <a:srgbClr val="FFD966"/>
                        </a:solidFill>
                        <a:ln w="12700">
                          <a:noFill/>
                        </a:ln>
                      </wps:spPr>
                      <wps:bodyPr anchor="ctr" upright="1"/>
                    </wps:wsp>
                    <wps:wsp>
                      <wps:cNvPr id="39" name="任意多边形 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41" name="任意多边形 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Hru8inAMAAAwMAAAOAAAAZHJzL2Uyb0RvYy54bWzVVsuO&#10;1DoQ3SPxD1b2TOJ0d7o7mh4WDDMbBEhwP8DjOA8piS3b/Zg9C3awZoOE7uZ+Ahpxv+bOhc+gbMfp&#10;6TAMzVv0ouOkTspVp+qUc3h309RoxaSqeLsI8EEUINZSnlVtsQj+enpyZxYgpUmbkZq3bBGcMxXc&#10;Pbp963AtUhbzktcZkwictCpdi0VQai3SMFS0ZA1RB1ywFow5lw3RcCuLMJNkDd6bOoyjKAnXXGZC&#10;csqUgqfHzhh0HuU+DnmeV5Qdc7psWKudV8lqoiElVVZCBUc22jxnVD/Kc8U0qhcBZKrtP2wC6zPz&#10;Hx4dkrSQRJQV7UIg+4QwyKkhVQub9q6OiSZoKatPXDUVlVzxXB9Q3oQuEcsIZIGjATenki+FzaVI&#10;14XoSYdCDVj/Zrf04eqxRFW2CMZxgFrSQMXfXzy7fPkcxRPDzloUKYBOpXgiHsvuQeHuTMKbXDbm&#10;CqmgjeX1vOeVbTSi8HA6mYzmCVBOwTaeRcncuiYpLaE65rXZDAcIjJOot9zvXsZ4PupexXg6j6OR&#10;CSv0O4cmwD6etYCmVFum1Pcx9aQkgtkCKENCx9QIFNIx9fqfy3dvUOyIspieJZUqIOwainyueAKO&#10;bP95niBVIN2yhMfJTpokFVLpU8YbZBaLQEJr244jqwdKO0Y8xGyqeF1lJ1Vd2xtZnN2rJVoRkMHJ&#10;yfE88d53YHWL1jAS4mkUWdctNw6c77oF0g29LiuzOuPZOVBCWlpykBTVMkBLIauihPiwDb+rh2mj&#10;X1GYuS/MfxcX/z97cfn3qw//vjUVsj1jYoAqfrlCOMLTqe3HZGaJIqkvUZxg2MT08SyxZe8bEbp5&#10;6SpkGPdVgYmQufrAs9Kv6KaFpcHBCggEQTvGBVdGDhMQiJGDI9GiPg92IQHaTjOIB3zugd7GfyMe&#10;pLeT7I3ga+N2EXX5CqINCyY+szT95uIvHaPG0PAVe8otRF/HxtZet1dxnxDhzf4qrLsetmXAA/zV&#10;AYepe6u/OtQwZ2+lNVes0yVkakdWn73h5Eq37KhQXRVrZH/dKNiB/eliHcPEd1N0KNaxSfcrxDpO&#10;nFj7w6MX62jsxymO7Kz9SWqFA2Fv/dmYjKS6ot4oqNij8TaBG19wPbsvejK/JvK99YrjZGLPia0g&#10;nSSSZNft1u7FMVAi9qPL2/11iDM7+vPISX8X2aX/JdgwQO/kx2j2txyw9jsIPhLtnOk+aM1X6NV7&#10;e4JvP+KPPg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AXocOx1wAAAAUBAAAPAAAAAAAAAAEAIAAA&#10;ACIAAABkcnMvZG93bnJldi54bWxQSwECFAAUAAAACACHTuJAB67vIpwDAAAMDAAADgAAAAAAAAAB&#10;ACAAAAAmAQAAZHJzL2Uyb0RvYy54bWxQSwUGAAAAAAYABgBZAQAANAcAAAAA&#10;">
              <o:lock v:ext="edit" aspectratio="f"/>
              <v:rect id="矩形 2" o:spid="_x0000_s1026" o:spt="1" style="position:absolute;left:881;top:1538;height:146;width:11925;v-text-anchor:middle;" fillcolor="#FFD966" filled="t" stroked="f" coordsize="21600,21600" o:gfxdata="UEsDBAoAAAAAAIdO4kAAAAAAAAAAAAAAAAAEAAAAZHJzL1BLAwQUAAAACACHTuJAtHzgdLgAAADb&#10;AAAADwAAAGRycy9kb3ducmV2LnhtbEVPy4rCMBTdC/MP4Q64GcZEZWSoRhei6EIRHx9waa5NaXNT&#10;mtTH35uF4PJw3rPFw9XiRm0oPWsYDhQI4tybkgsNl/P69x9EiMgGa8+k4UkBFvOv3gwz4+98pNsp&#10;FiKFcMhQg42xyaQMuSWHYeAb4sRdfeswJtgW0rR4T+GuliOlJtJhyanBYkNLS3l16pyGLpi/zh5U&#10;tav2E44bt6ryH6V1/3uopiAiPeJH/HZvjYZxGpu+pB8g5y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HzgdLgAAADbAAAA&#10;DwAAAAAAAAABACAAAAAiAAAAZHJzL2Rvd25yZXYueG1sUEsBAhQAFAAAAAgAh07iQDMvBZ47AAAA&#10;OQAAABAAAAAAAAAAAQAgAAAABwEAAGRycy9zaGFwZXhtbC54bWxQSwUGAAAAAAYABgBbAQAAsQMA&#10;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tynVL0AAADb&#10;AAAADwAAAGRycy9kb3ducmV2LnhtbEWPQWvCQBSE74L/YXkFb7pJCyWNrh4qLSIeGi14fWSf2WD2&#10;bdhdY/z33UKhx2FmvmFWm9F2YiAfWscK8kUGgrh2uuVGwffpY16ACBFZY+eYFDwowGY9nayw1O7O&#10;FQ3H2IgE4VCiAhNjX0oZakMWw8L1xMm7OG8xJukbqT3eE9x28jnLXqXFltOCwZ7eDdXX480quA3b&#10;r321K/Lz4TB+Pq5nH07klZo95dkSRKQx/of/2jut4OUNfr+kH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3KdU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XVzal7sAAADb&#10;AAAADwAAAGRycy9kb3ducmV2LnhtbEWP0YrCMBRE3xf8h3AXfFnWtCK6VKO4iuibVP2AS3NtyjY3&#10;pclq9euNIPg4zMwZZrbobC0u1PrKsYJ0kIAgLpyuuFRwOm6+f0D4gKyxdkwKbuRhMe99zDDT7so5&#10;XQ6hFBHCPkMFJoQmk9IXhiz6gWuIo3d2rcUQZVtK3eI1wm0th0kylhYrjgsGG1oZKv4O/1YBbSk3&#10;6cpzlxfLfTP5uv/Sfa1U/zNNpiACdeEdfrV3WsEoheeX+AP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Vzal7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8A3CA9"/>
    <w:multiLevelType w:val="singleLevel"/>
    <w:tmpl w:val="BD8A3CA9"/>
    <w:lvl w:ilvl="0" w:tentative="0">
      <w:start w:val="2"/>
      <w:numFmt w:val="chineseCounting"/>
      <w:suff w:val="nothing"/>
      <w:lvlText w:val="（%1）"/>
      <w:lvlJc w:val="left"/>
      <w:rPr>
        <w:rFonts w:hint="eastAsia"/>
      </w:rPr>
    </w:lvl>
  </w:abstractNum>
  <w:abstractNum w:abstractNumId="1">
    <w:nsid w:val="DBB23F6C"/>
    <w:multiLevelType w:val="singleLevel"/>
    <w:tmpl w:val="DBB23F6C"/>
    <w:lvl w:ilvl="0" w:tentative="0">
      <w:start w:val="1"/>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9950409"/>
    <w:multiLevelType w:val="singleLevel"/>
    <w:tmpl w:val="59950409"/>
    <w:lvl w:ilvl="0" w:tentative="0">
      <w:start w:val="1"/>
      <w:numFmt w:val="decimal"/>
      <w:suff w:val="space"/>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04C36"/>
    <w:rsid w:val="00011B51"/>
    <w:rsid w:val="00045E69"/>
    <w:rsid w:val="0006272E"/>
    <w:rsid w:val="000642F6"/>
    <w:rsid w:val="0007063E"/>
    <w:rsid w:val="00073392"/>
    <w:rsid w:val="00073F4E"/>
    <w:rsid w:val="00086C89"/>
    <w:rsid w:val="00091A8D"/>
    <w:rsid w:val="000A39FB"/>
    <w:rsid w:val="000B0B42"/>
    <w:rsid w:val="00117746"/>
    <w:rsid w:val="00163F95"/>
    <w:rsid w:val="00172362"/>
    <w:rsid w:val="00180A9A"/>
    <w:rsid w:val="001829C0"/>
    <w:rsid w:val="00184809"/>
    <w:rsid w:val="00192112"/>
    <w:rsid w:val="001B0127"/>
    <w:rsid w:val="001C12D5"/>
    <w:rsid w:val="001C69F7"/>
    <w:rsid w:val="001D6F97"/>
    <w:rsid w:val="002463AD"/>
    <w:rsid w:val="00246C6C"/>
    <w:rsid w:val="002650EC"/>
    <w:rsid w:val="0027607F"/>
    <w:rsid w:val="002A6C46"/>
    <w:rsid w:val="002C19B5"/>
    <w:rsid w:val="002D0B34"/>
    <w:rsid w:val="00323041"/>
    <w:rsid w:val="00333863"/>
    <w:rsid w:val="00375D9C"/>
    <w:rsid w:val="003A4EE8"/>
    <w:rsid w:val="003A7B4D"/>
    <w:rsid w:val="003C2735"/>
    <w:rsid w:val="003D1246"/>
    <w:rsid w:val="00404320"/>
    <w:rsid w:val="00442CC2"/>
    <w:rsid w:val="00446244"/>
    <w:rsid w:val="00473C20"/>
    <w:rsid w:val="004B70B9"/>
    <w:rsid w:val="004D61CB"/>
    <w:rsid w:val="005011D6"/>
    <w:rsid w:val="0050132B"/>
    <w:rsid w:val="00503F2E"/>
    <w:rsid w:val="00552226"/>
    <w:rsid w:val="00566120"/>
    <w:rsid w:val="00566BBC"/>
    <w:rsid w:val="00582E6D"/>
    <w:rsid w:val="005954D5"/>
    <w:rsid w:val="005A53FA"/>
    <w:rsid w:val="005C7B73"/>
    <w:rsid w:val="005D1293"/>
    <w:rsid w:val="005D1928"/>
    <w:rsid w:val="005D7929"/>
    <w:rsid w:val="005F77A1"/>
    <w:rsid w:val="006115B4"/>
    <w:rsid w:val="006145F4"/>
    <w:rsid w:val="006445B0"/>
    <w:rsid w:val="00644D5F"/>
    <w:rsid w:val="00657F86"/>
    <w:rsid w:val="00665B74"/>
    <w:rsid w:val="006727AD"/>
    <w:rsid w:val="00691425"/>
    <w:rsid w:val="006A516E"/>
    <w:rsid w:val="006B0830"/>
    <w:rsid w:val="006C7D2B"/>
    <w:rsid w:val="006E797F"/>
    <w:rsid w:val="006F61D5"/>
    <w:rsid w:val="007015ED"/>
    <w:rsid w:val="00716E2B"/>
    <w:rsid w:val="00723CA7"/>
    <w:rsid w:val="007573DA"/>
    <w:rsid w:val="0076241E"/>
    <w:rsid w:val="00770F18"/>
    <w:rsid w:val="00773B74"/>
    <w:rsid w:val="0078290C"/>
    <w:rsid w:val="00790B24"/>
    <w:rsid w:val="007A0A0A"/>
    <w:rsid w:val="007C06CA"/>
    <w:rsid w:val="007D5622"/>
    <w:rsid w:val="007F7E55"/>
    <w:rsid w:val="00813D30"/>
    <w:rsid w:val="008163FB"/>
    <w:rsid w:val="0082605B"/>
    <w:rsid w:val="00855C36"/>
    <w:rsid w:val="00857DBE"/>
    <w:rsid w:val="008701BC"/>
    <w:rsid w:val="00883D92"/>
    <w:rsid w:val="00893202"/>
    <w:rsid w:val="008A5362"/>
    <w:rsid w:val="008D7C35"/>
    <w:rsid w:val="008E2543"/>
    <w:rsid w:val="008F21F1"/>
    <w:rsid w:val="008F221B"/>
    <w:rsid w:val="008F5A2D"/>
    <w:rsid w:val="00921602"/>
    <w:rsid w:val="0092488F"/>
    <w:rsid w:val="00930BFF"/>
    <w:rsid w:val="009366AD"/>
    <w:rsid w:val="0093753C"/>
    <w:rsid w:val="00957EA1"/>
    <w:rsid w:val="00963C43"/>
    <w:rsid w:val="00966E5B"/>
    <w:rsid w:val="00983E3F"/>
    <w:rsid w:val="009B4EF0"/>
    <w:rsid w:val="009D271F"/>
    <w:rsid w:val="00A0007C"/>
    <w:rsid w:val="00A24C8D"/>
    <w:rsid w:val="00A5504D"/>
    <w:rsid w:val="00A929C2"/>
    <w:rsid w:val="00AA1D63"/>
    <w:rsid w:val="00AB37E3"/>
    <w:rsid w:val="00AC1231"/>
    <w:rsid w:val="00AC378B"/>
    <w:rsid w:val="00AD097F"/>
    <w:rsid w:val="00AE45C7"/>
    <w:rsid w:val="00AF3CEE"/>
    <w:rsid w:val="00B4324E"/>
    <w:rsid w:val="00B61C47"/>
    <w:rsid w:val="00B76DA6"/>
    <w:rsid w:val="00B844F4"/>
    <w:rsid w:val="00BA06A1"/>
    <w:rsid w:val="00BA770A"/>
    <w:rsid w:val="00BB6052"/>
    <w:rsid w:val="00BE77AB"/>
    <w:rsid w:val="00C054DE"/>
    <w:rsid w:val="00C5099B"/>
    <w:rsid w:val="00C6680C"/>
    <w:rsid w:val="00C679A9"/>
    <w:rsid w:val="00C7541C"/>
    <w:rsid w:val="00C8691A"/>
    <w:rsid w:val="00CA28A1"/>
    <w:rsid w:val="00CC0FAA"/>
    <w:rsid w:val="00CC73A6"/>
    <w:rsid w:val="00CD0736"/>
    <w:rsid w:val="00CD38B9"/>
    <w:rsid w:val="00D1570F"/>
    <w:rsid w:val="00D206A6"/>
    <w:rsid w:val="00D32830"/>
    <w:rsid w:val="00D35422"/>
    <w:rsid w:val="00D37029"/>
    <w:rsid w:val="00D454A6"/>
    <w:rsid w:val="00D867D2"/>
    <w:rsid w:val="00D86D85"/>
    <w:rsid w:val="00DA5752"/>
    <w:rsid w:val="00DB7153"/>
    <w:rsid w:val="00DB7F05"/>
    <w:rsid w:val="00DD38D0"/>
    <w:rsid w:val="00DE2332"/>
    <w:rsid w:val="00E028C3"/>
    <w:rsid w:val="00E14F77"/>
    <w:rsid w:val="00E3076B"/>
    <w:rsid w:val="00E36978"/>
    <w:rsid w:val="00E82A1E"/>
    <w:rsid w:val="00E96DDA"/>
    <w:rsid w:val="00EA05EC"/>
    <w:rsid w:val="00EB18CC"/>
    <w:rsid w:val="00EC06F4"/>
    <w:rsid w:val="00ED69BA"/>
    <w:rsid w:val="00ED76F3"/>
    <w:rsid w:val="00EE4E36"/>
    <w:rsid w:val="00EF090F"/>
    <w:rsid w:val="00F279AB"/>
    <w:rsid w:val="00F443D5"/>
    <w:rsid w:val="00F665F4"/>
    <w:rsid w:val="00F72565"/>
    <w:rsid w:val="00F81005"/>
    <w:rsid w:val="00F8186D"/>
    <w:rsid w:val="00F92273"/>
    <w:rsid w:val="00FA4C8D"/>
    <w:rsid w:val="00FD225F"/>
    <w:rsid w:val="01487A3B"/>
    <w:rsid w:val="044855E1"/>
    <w:rsid w:val="05B00A30"/>
    <w:rsid w:val="06173020"/>
    <w:rsid w:val="075C5A0B"/>
    <w:rsid w:val="09B37EBA"/>
    <w:rsid w:val="09EF7D48"/>
    <w:rsid w:val="0B011416"/>
    <w:rsid w:val="0F101F4B"/>
    <w:rsid w:val="0F800FD2"/>
    <w:rsid w:val="125A49BD"/>
    <w:rsid w:val="134E5255"/>
    <w:rsid w:val="15A379BF"/>
    <w:rsid w:val="17305337"/>
    <w:rsid w:val="186376A0"/>
    <w:rsid w:val="18813A31"/>
    <w:rsid w:val="1B152073"/>
    <w:rsid w:val="1D1667E8"/>
    <w:rsid w:val="21FC7355"/>
    <w:rsid w:val="25C4518E"/>
    <w:rsid w:val="2773213B"/>
    <w:rsid w:val="2AB13D9B"/>
    <w:rsid w:val="2E75268B"/>
    <w:rsid w:val="31C2036A"/>
    <w:rsid w:val="320D02A5"/>
    <w:rsid w:val="331F4953"/>
    <w:rsid w:val="348E566F"/>
    <w:rsid w:val="35470CE8"/>
    <w:rsid w:val="36397988"/>
    <w:rsid w:val="36851F66"/>
    <w:rsid w:val="394D7421"/>
    <w:rsid w:val="3A226944"/>
    <w:rsid w:val="3AEE6A48"/>
    <w:rsid w:val="3B6A1E05"/>
    <w:rsid w:val="3C1620AA"/>
    <w:rsid w:val="3D8F080F"/>
    <w:rsid w:val="42E15EA8"/>
    <w:rsid w:val="438B4546"/>
    <w:rsid w:val="44CE1FA4"/>
    <w:rsid w:val="47702B77"/>
    <w:rsid w:val="47E548BE"/>
    <w:rsid w:val="487F73ED"/>
    <w:rsid w:val="4A347EAE"/>
    <w:rsid w:val="52600405"/>
    <w:rsid w:val="529B4319"/>
    <w:rsid w:val="53835D90"/>
    <w:rsid w:val="545C57F6"/>
    <w:rsid w:val="54A61C24"/>
    <w:rsid w:val="57773DD6"/>
    <w:rsid w:val="578B79AB"/>
    <w:rsid w:val="5B3700BE"/>
    <w:rsid w:val="5CCD3FD5"/>
    <w:rsid w:val="5DFB78F2"/>
    <w:rsid w:val="5EE16705"/>
    <w:rsid w:val="5FC63E62"/>
    <w:rsid w:val="61FA5F9D"/>
    <w:rsid w:val="623038FA"/>
    <w:rsid w:val="64CD6910"/>
    <w:rsid w:val="6789158D"/>
    <w:rsid w:val="67D81BA4"/>
    <w:rsid w:val="6808769D"/>
    <w:rsid w:val="68C64CD1"/>
    <w:rsid w:val="6AAF1C96"/>
    <w:rsid w:val="6B183F2F"/>
    <w:rsid w:val="6BC63538"/>
    <w:rsid w:val="6BCC65B9"/>
    <w:rsid w:val="6BFC66A8"/>
    <w:rsid w:val="6E8A5CBA"/>
    <w:rsid w:val="6F9A7799"/>
    <w:rsid w:val="75681757"/>
    <w:rsid w:val="75A346A8"/>
    <w:rsid w:val="7629355B"/>
    <w:rsid w:val="79B9382C"/>
    <w:rsid w:val="79BF7338"/>
    <w:rsid w:val="7B043B76"/>
    <w:rsid w:val="7C041A6A"/>
    <w:rsid w:val="7C212702"/>
    <w:rsid w:val="7D37525F"/>
    <w:rsid w:val="7E327570"/>
    <w:rsid w:val="7F4A5660"/>
    <w:rsid w:val="7F6079F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 w:type="paragraph" w:customStyle="1" w:styleId="14">
    <w:name w:val="Normal"/>
    <w:basedOn w:val="15"/>
    <w:qFormat/>
    <w:uiPriority w:val="7"/>
    <w:pPr>
      <w:widowControl/>
      <w:jc w:val="both"/>
    </w:pPr>
    <w:rPr>
      <w:rFonts w:ascii="Times New Roman" w:hAnsi="Times New Roman" w:eastAsia="Times New Roman"/>
      <w:sz w:val="21"/>
    </w:rPr>
  </w:style>
  <w:style w:type="paragraph" w:customStyle="1" w:styleId="15">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5.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2.bmp"/><Relationship Id="rId25" Type="http://schemas.openxmlformats.org/officeDocument/2006/relationships/theme" Target="theme/theme1.xml"/><Relationship Id="rId24" Type="http://schemas.openxmlformats.org/officeDocument/2006/relationships/footer" Target="footer7.xml"/><Relationship Id="rId23" Type="http://schemas.openxmlformats.org/officeDocument/2006/relationships/header" Target="header15.xml"/><Relationship Id="rId22" Type="http://schemas.openxmlformats.org/officeDocument/2006/relationships/header" Target="header14.xml"/><Relationship Id="rId21" Type="http://schemas.openxmlformats.org/officeDocument/2006/relationships/header" Target="header13.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footer" Target="footer6.xml"/><Relationship Id="rId17" Type="http://schemas.openxmlformats.org/officeDocument/2006/relationships/footer" Target="footer5.xml"/><Relationship Id="rId16" Type="http://schemas.openxmlformats.org/officeDocument/2006/relationships/header" Target="header10.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L:\&#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L:\&#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L:\&#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L:\&#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L:\&#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2"/>
          <c:y val="0.850746268656717"/>
        </c:manualLayout>
      </c:layout>
      <c:overlay val="0"/>
    </c:title>
    <c:autoTitleDeleted val="0"/>
    <c:plotArea>
      <c:layout>
        <c:manualLayout>
          <c:layoutTarget val="inner"/>
          <c:xMode val="edge"/>
          <c:yMode val="edge"/>
          <c:x val="0.0943148809218805"/>
          <c:y val="0.0575245818153331"/>
          <c:w val="0.811370238156239"/>
          <c:h val="0.76554785129471"/>
        </c:manualLayout>
      </c:layout>
      <c:pieChart>
        <c:varyColors val="1"/>
        <c:ser>
          <c:idx val="0"/>
          <c:order val="0"/>
          <c:explosion val="0"/>
          <c:dPt>
            <c:idx val="0"/>
            <c:bubble3D val="0"/>
            <c:explosion val="14"/>
          </c:dPt>
          <c:dPt>
            <c:idx val="1"/>
            <c:bubble3D val="0"/>
          </c:dPt>
          <c:dPt>
            <c:idx val="2"/>
            <c:bubble3D val="0"/>
          </c:dPt>
          <c:dLbls>
            <c:dLbl>
              <c:idx val="1"/>
              <c:layout>
                <c:manualLayout>
                  <c:x val="0.0508618117678998"/>
                  <c:y val="0"/>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819141066899428"/>
                  <c:y val="0.0098666666666666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收入情况说明!$C$9:$C$11</c:f>
              <c:strCache>
                <c:ptCount val="3"/>
                <c:pt idx="0">
                  <c:v>财政拨款收入</c:v>
                </c:pt>
                <c:pt idx="1">
                  <c:v>事业收入</c:v>
                </c:pt>
                <c:pt idx="2">
                  <c:v>其他收入</c:v>
                </c:pt>
              </c:strCache>
            </c:strRef>
          </c:cat>
          <c:val>
            <c:numRef>
              <c:f>收入情况说明!$D$9:$D$11</c:f>
              <c:numCache>
                <c:formatCode>General</c:formatCode>
                <c:ptCount val="3"/>
                <c:pt idx="0">
                  <c:v>11899.16</c:v>
                </c:pt>
                <c:pt idx="1">
                  <c:v>165.04</c:v>
                </c:pt>
                <c:pt idx="2">
                  <c:v>4</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1"/>
        </c:manualLayout>
      </c:layout>
      <c:overlay val="0"/>
    </c:title>
    <c:autoTitleDeleted val="0"/>
    <c:plotArea>
      <c:layout>
        <c:manualLayout>
          <c:layoutTarget val="inner"/>
          <c:xMode val="edge"/>
          <c:yMode val="edge"/>
          <c:x val="0.101627059597234"/>
          <c:y val="0.103243458204088"/>
          <c:w val="0.808785007968814"/>
          <c:h val="0.655154696572022"/>
        </c:manualLayout>
      </c:layout>
      <c:pieChart>
        <c:varyColors val="1"/>
        <c:ser>
          <c:idx val="0"/>
          <c:order val="0"/>
          <c:explosion val="0"/>
          <c:dPt>
            <c:idx val="0"/>
            <c:bubble3D val="0"/>
          </c:dPt>
          <c:dPt>
            <c:idx val="1"/>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支出情况说明!$A$5:$A$6</c:f>
              <c:strCache>
                <c:ptCount val="2"/>
                <c:pt idx="0">
                  <c:v>基本支出</c:v>
                </c:pt>
                <c:pt idx="1">
                  <c:v>项目支出</c:v>
                </c:pt>
              </c:strCache>
            </c:strRef>
          </c:cat>
          <c:val>
            <c:numRef>
              <c:f>支出情况说明!$B$5:$B$6</c:f>
              <c:numCache>
                <c:formatCode>General</c:formatCode>
                <c:ptCount val="2"/>
                <c:pt idx="0">
                  <c:v>1361</c:v>
                </c:pt>
                <c:pt idx="1">
                  <c:v>11804.16</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11899.16</c:v>
                </c:pt>
                <c:pt idx="1">
                  <c:v>13000.76</c:v>
                </c:pt>
              </c:numCache>
            </c:numRef>
          </c:val>
        </c:ser>
        <c:ser>
          <c:idx val="1"/>
          <c:order val="1"/>
          <c:tx>
            <c:strRef>
              <c:f>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16013.26</c:v>
                </c:pt>
                <c:pt idx="1">
                  <c:v>14258.51</c:v>
                </c:pt>
              </c:numCache>
            </c:numRef>
          </c:val>
        </c:ser>
        <c:dLbls>
          <c:showLegendKey val="0"/>
          <c:showVal val="1"/>
          <c:showCatName val="0"/>
          <c:showSerName val="0"/>
          <c:showPercent val="0"/>
          <c:showBubbleSize val="0"/>
        </c:dLbls>
        <c:gapWidth val="75"/>
        <c:axId val="63613568"/>
        <c:axId val="63619456"/>
      </c:barChart>
      <c:catAx>
        <c:axId val="636135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63619456"/>
        <c:crosses val="autoZero"/>
        <c:auto val="1"/>
        <c:lblAlgn val="ctr"/>
        <c:lblOffset val="100"/>
        <c:noMultiLvlLbl val="0"/>
      </c:catAx>
      <c:valAx>
        <c:axId val="6361945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63613568"/>
        <c:crosses val="autoZero"/>
        <c:crossBetween val="between"/>
      </c:valAx>
    </c:plotArea>
    <c:legend>
      <c:legendPos val="b"/>
      <c:layout>
        <c:manualLayout>
          <c:xMode val="edge"/>
          <c:yMode val="edge"/>
          <c:x val="0.426340551181102"/>
          <c:y val="0.756835299740889"/>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18579.89</c:v>
                </c:pt>
                <c:pt idx="1">
                  <c:v>18579.89</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11899.16</c:v>
                </c:pt>
                <c:pt idx="1">
                  <c:v>13165.15</c:v>
                </c:pt>
              </c:numCache>
            </c:numRef>
          </c:val>
        </c:ser>
        <c:dLbls>
          <c:showLegendKey val="0"/>
          <c:showVal val="1"/>
          <c:showCatName val="0"/>
          <c:showSerName val="0"/>
          <c:showPercent val="0"/>
          <c:showBubbleSize val="0"/>
        </c:dLbls>
        <c:gapWidth val="75"/>
        <c:axId val="200672768"/>
        <c:axId val="200674304"/>
      </c:barChart>
      <c:catAx>
        <c:axId val="2006727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0674304"/>
        <c:crosses val="autoZero"/>
        <c:auto val="1"/>
        <c:lblAlgn val="ctr"/>
        <c:lblOffset val="100"/>
        <c:noMultiLvlLbl val="0"/>
      </c:catAx>
      <c:valAx>
        <c:axId val="20067430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0672768"/>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Lbls>
            <c:dLbl>
              <c:idx val="3"/>
              <c:layout>
                <c:manualLayout>
                  <c:x val="-0.0701555637950509"/>
                  <c:y val="1.35341473478114e-1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0287673657261437"/>
                  <c:y val="0.00285714285714286"/>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支出决算结构!$A$5:$A$9</c:f>
              <c:strCache>
                <c:ptCount val="5"/>
                <c:pt idx="0">
                  <c:v>社会保障和就业支出</c:v>
                </c:pt>
                <c:pt idx="1">
                  <c:v>卫生健康支出</c:v>
                </c:pt>
                <c:pt idx="2">
                  <c:v>农林水支出</c:v>
                </c:pt>
                <c:pt idx="3">
                  <c:v>灾害防治及应急管理支出</c:v>
                </c:pt>
                <c:pt idx="4">
                  <c:v>其他支出</c:v>
                </c:pt>
              </c:strCache>
            </c:strRef>
          </c:cat>
          <c:val>
            <c:numRef>
              <c:f>支出决算结构!$B$5:$B$9</c:f>
              <c:numCache>
                <c:formatCode>General</c:formatCode>
                <c:ptCount val="5"/>
                <c:pt idx="0">
                  <c:v>9230.01</c:v>
                </c:pt>
                <c:pt idx="1">
                  <c:v>34.75</c:v>
                </c:pt>
                <c:pt idx="2">
                  <c:v>3291.89</c:v>
                </c:pt>
                <c:pt idx="3">
                  <c:v>118</c:v>
                </c:pt>
                <c:pt idx="4">
                  <c:v>326.12</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502E729-3B54-4821-99F8-185CABAB81BC}">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36</Pages>
  <Words>9805</Words>
  <Characters>7355</Characters>
  <Lines>61</Lines>
  <Paragraphs>34</Paragraphs>
  <TotalTime>4</TotalTime>
  <ScaleCrop>false</ScaleCrop>
  <LinksUpToDate>false</LinksUpToDate>
  <CharactersWithSpaces>17126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2020-09-07T02:11:00Z</dcterms:created>
  <dc:creator>王明新TIAD</dc:creator>
  <cp:lastModifiedBy>浮生</cp:lastModifiedBy>
  <cp:lastPrinted>2020-07-30T02:37:00Z</cp:lastPrinted>
  <dcterms:modified xsi:type="dcterms:W3CDTF">2025-03-04T08:05:19Z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3F80DD5678514E8E8F82ED6EFEA5DEE6</vt:lpwstr>
  </property>
</Properties>
</file>