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10.odttf" ContentType="application/vnd.openxmlformats-officedocument.obfuscatedFont"/>
  <Override PartName="/word/fonts/font1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rPr>
          <w:rFonts w:asciiTheme="minorEastAsia" w:hAnsiTheme="minorEastAsia" w:eastAsiaTheme="minorEastAsia"/>
          <w:b/>
          <w:sz w:val="72"/>
          <w:szCs w:val="72"/>
        </w:rPr>
      </w:pPr>
      <w:r>
        <w:rPr>
          <w:rFonts w:hint="eastAsia" w:hAnsi="宋体" w:asciiTheme="minorEastAsia" w:eastAsiaTheme="minorEastAsia"/>
          <w:color w:val="002060"/>
          <w:sz w:val="72"/>
          <w:szCs w:val="72"/>
        </w:rPr>
        <w:drawing>
          <wp:anchor distT="0" distB="0" distL="114300" distR="114300" simplePos="0" relativeHeight="251637760" behindDoc="1" locked="0" layoutInCell="1" allowOverlap="1">
            <wp:simplePos x="0" y="0"/>
            <wp:positionH relativeFrom="column">
              <wp:posOffset>-1000125</wp:posOffset>
            </wp:positionH>
            <wp:positionV relativeFrom="paragraph">
              <wp:posOffset>-1355090</wp:posOffset>
            </wp:positionV>
            <wp:extent cx="7576820" cy="10796905"/>
            <wp:effectExtent l="0" t="0" r="5080" b="4445"/>
            <wp:wrapNone/>
            <wp:docPr id="7" name="图片 7" descr="wc g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wc ga"/>
                    <pic:cNvPicPr>
                      <a:picLocks noChangeAspect="1"/>
                    </pic:cNvPicPr>
                  </pic:nvPicPr>
                  <pic:blipFill>
                    <a:blip r:embed="rId4" cstate="print"/>
                    <a:stretch>
                      <a:fillRect/>
                    </a:stretch>
                  </pic:blipFill>
                  <pic:spPr>
                    <a:xfrm>
                      <a:off x="0" y="0"/>
                      <a:ext cx="7576820" cy="10796905"/>
                    </a:xfrm>
                    <a:prstGeom prst="rect">
                      <a:avLst/>
                    </a:prstGeom>
                  </pic:spPr>
                </pic:pic>
              </a:graphicData>
            </a:graphic>
          </wp:anchor>
        </w:drawing>
      </w:r>
    </w:p>
    <w:p>
      <w:pPr>
        <w:widowControl/>
        <w:jc w:val="center"/>
        <w:rPr>
          <w:rFonts w:hAnsi="宋体" w:asciiTheme="minorEastAsia" w:eastAsiaTheme="minorEastAsia"/>
          <w:color w:val="002060"/>
          <w:sz w:val="72"/>
          <w:szCs w:val="72"/>
        </w:rPr>
      </w:pPr>
      <w:r>
        <w:rPr>
          <w:sz w:val="72"/>
        </w:rPr>
        <w:pict>
          <v:shape id="_x0000_s1026" o:spid="_x0000_s1026" o:spt="202" type="#_x0000_t202" style="position:absolute;left:0pt;margin-left:-83.1pt;margin-top:43.25pt;height:166.25pt;width:596.2pt;z-index:251638784;mso-width-relative:page;mso-height-relative:page;" filled="f" stroked="f" coordsize="21600,21600" o:gfxdata="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HDPDVNsAAAAMAQAADwAAAAAAAAABACAAAAAiAAAAZHJzL2Rvd25yZXYueG1sUEsB&#10;AhQAFAAAAAgAh07iQBU3WBcrAgAAJQQAAA4AAAAAAAAAAQAgAAAAKgEAAGRycy9lMm9Eb2MueG1s&#10;UEsFBgAAAAAGAAYAWQEAAMcFA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无极县财政局</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w:t>
                  </w:r>
                </w:p>
                <w:p>
                  <w:pPr>
                    <w:rPr>
                      <w:color w:val="FDEFBE"/>
                      <w:sz w:val="96"/>
                      <w:szCs w:val="96"/>
                    </w:rPr>
                  </w:pPr>
                </w:p>
              </w:txbxContent>
            </v:textbox>
          </v:shape>
        </w:pict>
      </w: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Theme="minorEastAsia" w:hAnsiTheme="minorEastAsia" w:eastAsiaTheme="minorEastAsia"/>
          <w:b/>
          <w:sz w:val="72"/>
          <w:szCs w:val="72"/>
        </w:rPr>
      </w:pPr>
    </w:p>
    <w:p>
      <w:pPr>
        <w:widowControl/>
        <w:jc w:val="center"/>
        <w:rPr>
          <w:rFonts w:ascii="楷体" w:hAnsi="楷体" w:eastAsia="楷体" w:cs="楷体"/>
          <w:b/>
          <w:sz w:val="40"/>
          <w:szCs w:val="40"/>
        </w:rPr>
      </w:pPr>
    </w:p>
    <w:p>
      <w:pPr>
        <w:widowControl/>
        <w:jc w:val="center"/>
        <w:rPr>
          <w:rFonts w:ascii="楷体_GB2312" w:hAnsi="楷体" w:eastAsia="楷体_GB2312" w:cs="楷体"/>
          <w:b/>
          <w:sz w:val="40"/>
          <w:szCs w:val="40"/>
        </w:rPr>
        <w:sectPr>
          <w:pgSz w:w="11906" w:h="16838"/>
          <w:pgMar w:top="2098" w:right="1474" w:bottom="1985" w:left="1588" w:header="851" w:footer="992" w:gutter="0"/>
          <w:cols w:space="425" w:num="1"/>
          <w:docGrid w:type="lines" w:linePitch="312" w:charSpace="0"/>
        </w:sectPr>
      </w:pPr>
      <w:r>
        <w:rPr>
          <w:rFonts w:hint="eastAsia" w:ascii="楷体_GB2312" w:hAnsi="楷体" w:eastAsia="楷体_GB2312" w:cs="楷体"/>
          <w:b/>
          <w:sz w:val="40"/>
          <w:szCs w:val="40"/>
        </w:rPr>
        <w:t>二</w:t>
      </w:r>
      <w:r>
        <w:rPr>
          <w:rFonts w:hint="eastAsia" w:ascii="宋体" w:hAnsi="宋体" w:cs="宋体"/>
          <w:b/>
          <w:sz w:val="40"/>
          <w:szCs w:val="40"/>
        </w:rPr>
        <w:t>〇</w:t>
      </w:r>
      <w:r>
        <w:rPr>
          <w:rFonts w:hint="eastAsia" w:ascii="楷体_GB2312" w:hAnsi="楷体_GB2312" w:eastAsia="楷体_GB2312" w:cs="楷体_GB2312"/>
          <w:b/>
          <w:sz w:val="40"/>
          <w:szCs w:val="40"/>
        </w:rPr>
        <w:t>一九年九</w:t>
      </w:r>
      <w:r>
        <w:rPr>
          <w:rFonts w:hint="eastAsia" w:ascii="楷体_GB2312" w:hAnsi="楷体" w:eastAsia="楷体_GB2312" w:cs="楷体"/>
          <w:b/>
          <w:sz w:val="40"/>
          <w:szCs w:val="40"/>
        </w:rPr>
        <w:t>月十日</w:t>
      </w:r>
    </w:p>
    <w:p>
      <w:pPr>
        <w:spacing w:beforeLines="200" w:after="0" w:line="1000" w:lineRule="exact"/>
        <w:jc w:val="center"/>
        <w:rPr>
          <w:rFonts w:ascii="黑体" w:eastAsia="黑体"/>
          <w:sz w:val="48"/>
          <w:szCs w:val="48"/>
        </w:rPr>
      </w:pPr>
      <w:r>
        <w:rPr>
          <w:rFonts w:hint="eastAsia" w:ascii="黑体" w:eastAsia="黑体"/>
          <w:sz w:val="48"/>
          <w:szCs w:val="48"/>
        </w:rPr>
        <w:t>目    录</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仿宋_GB2312"/>
          <w:sz w:val="24"/>
          <w:szCs w:val="32"/>
        </w:rPr>
      </w:pPr>
      <w:r>
        <w:rPr>
          <w:rFonts w:eastAsia="黑体"/>
          <w:sz w:val="32"/>
          <w:szCs w:val="32"/>
        </w:rPr>
        <w:t>第一部分部门概况</w:t>
      </w:r>
    </w:p>
    <w:p>
      <w:pPr>
        <w:widowControl/>
        <w:spacing w:line="580" w:lineRule="exact"/>
        <w:ind w:firstLine="1273" w:firstLineChars="398"/>
        <w:rPr>
          <w:rFonts w:eastAsia="仿宋_GB2312"/>
          <w:sz w:val="32"/>
          <w:szCs w:val="32"/>
        </w:rPr>
      </w:pPr>
      <w:r>
        <w:rPr>
          <w:rFonts w:eastAsia="仿宋_GB2312"/>
          <w:sz w:val="32"/>
          <w:szCs w:val="32"/>
        </w:rPr>
        <w:t>一、部门</w:t>
      </w:r>
      <w:r>
        <w:rPr>
          <w:rFonts w:hint="eastAsia" w:eastAsia="仿宋_GB2312"/>
          <w:sz w:val="32"/>
          <w:szCs w:val="32"/>
        </w:rPr>
        <w:t>职责</w:t>
      </w:r>
    </w:p>
    <w:p>
      <w:pPr>
        <w:widowControl/>
        <w:spacing w:line="580" w:lineRule="exact"/>
        <w:ind w:firstLine="1273" w:firstLineChars="398"/>
        <w:rPr>
          <w:rFonts w:eastAsia="仿宋_GB2312"/>
          <w:sz w:val="32"/>
          <w:szCs w:val="32"/>
        </w:rPr>
      </w:pPr>
      <w:r>
        <w:rPr>
          <w:rFonts w:eastAsia="仿宋_GB2312"/>
          <w:sz w:val="32"/>
          <w:szCs w:val="32"/>
        </w:rPr>
        <w:t>二、</w:t>
      </w:r>
      <w:r>
        <w:rPr>
          <w:rFonts w:hint="eastAsia" w:eastAsia="仿宋_GB2312"/>
          <w:sz w:val="32"/>
          <w:szCs w:val="32"/>
        </w:rPr>
        <w:t>机构设置</w:t>
      </w:r>
    </w:p>
    <w:p>
      <w:pPr>
        <w:widowControl/>
        <w:spacing w:line="580" w:lineRule="exact"/>
        <w:ind w:firstLine="640" w:firstLineChars="200"/>
        <w:rPr>
          <w:rFonts w:eastAsia="仿宋_GB2312"/>
          <w:sz w:val="20"/>
          <w:szCs w:val="32"/>
        </w:rPr>
      </w:pPr>
      <w:r>
        <w:rPr>
          <w:rFonts w:eastAsia="黑体"/>
          <w:sz w:val="32"/>
          <w:szCs w:val="32"/>
        </w:rPr>
        <w:t>第二部分   201</w:t>
      </w:r>
      <w:r>
        <w:rPr>
          <w:rFonts w:hint="eastAsia" w:eastAsia="黑体"/>
          <w:sz w:val="32"/>
          <w:szCs w:val="32"/>
        </w:rPr>
        <w:t>8</w:t>
      </w:r>
      <w:r>
        <w:rPr>
          <w:rFonts w:eastAsia="黑体"/>
          <w:sz w:val="32"/>
          <w:szCs w:val="32"/>
        </w:rPr>
        <w:t>年度部门决算报表</w:t>
      </w:r>
    </w:p>
    <w:p>
      <w:pPr>
        <w:widowControl/>
        <w:spacing w:line="580" w:lineRule="exact"/>
        <w:ind w:left="640" w:firstLine="640" w:firstLineChars="200"/>
        <w:rPr>
          <w:rFonts w:eastAsia="仿宋_GB2312"/>
          <w:sz w:val="32"/>
          <w:szCs w:val="32"/>
        </w:rPr>
      </w:pPr>
      <w:r>
        <w:rPr>
          <w:rFonts w:eastAsia="仿宋_GB2312"/>
          <w:sz w:val="32"/>
          <w:szCs w:val="32"/>
        </w:rPr>
        <w:t>一、收入支出决算总表</w:t>
      </w:r>
    </w:p>
    <w:p>
      <w:pPr>
        <w:widowControl/>
        <w:spacing w:line="580" w:lineRule="exact"/>
        <w:ind w:left="640" w:firstLine="640" w:firstLineChars="200"/>
        <w:rPr>
          <w:rFonts w:eastAsia="仿宋_GB2312"/>
          <w:sz w:val="32"/>
          <w:szCs w:val="32"/>
        </w:rPr>
      </w:pPr>
      <w:r>
        <w:rPr>
          <w:rFonts w:eastAsia="仿宋_GB2312"/>
          <w:sz w:val="32"/>
          <w:szCs w:val="32"/>
        </w:rPr>
        <w:t>二、收入决算表</w:t>
      </w:r>
    </w:p>
    <w:p>
      <w:pPr>
        <w:widowControl/>
        <w:spacing w:line="580" w:lineRule="exact"/>
        <w:ind w:left="640" w:firstLine="640" w:firstLineChars="200"/>
        <w:rPr>
          <w:rFonts w:eastAsia="仿宋_GB2312"/>
          <w:sz w:val="32"/>
          <w:szCs w:val="32"/>
        </w:rPr>
      </w:pPr>
      <w:r>
        <w:rPr>
          <w:rFonts w:eastAsia="仿宋_GB2312"/>
          <w:sz w:val="32"/>
          <w:szCs w:val="32"/>
        </w:rPr>
        <w:t>三、支出决算表</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四、财政拨款收入支出决算总表</w:t>
      </w:r>
    </w:p>
    <w:p>
      <w:pPr>
        <w:widowControl/>
        <w:spacing w:line="580" w:lineRule="exact"/>
        <w:ind w:left="640" w:firstLine="640" w:firstLineChars="200"/>
        <w:rPr>
          <w:rFonts w:eastAsia="仿宋_GB2312"/>
          <w:sz w:val="32"/>
          <w:szCs w:val="32"/>
        </w:rPr>
      </w:pPr>
      <w:r>
        <w:rPr>
          <w:rFonts w:eastAsia="仿宋_GB2312"/>
          <w:sz w:val="32"/>
          <w:szCs w:val="32"/>
        </w:rPr>
        <w:t>五、一般公共预算财政拨款支出决算表</w:t>
      </w:r>
    </w:p>
    <w:p>
      <w:pPr>
        <w:widowControl/>
        <w:spacing w:line="580" w:lineRule="exact"/>
        <w:ind w:left="640" w:firstLine="640" w:firstLineChars="200"/>
        <w:rPr>
          <w:rFonts w:eastAsia="仿宋_GB2312"/>
          <w:sz w:val="32"/>
          <w:szCs w:val="32"/>
        </w:rPr>
      </w:pPr>
      <w:r>
        <w:rPr>
          <w:rFonts w:eastAsia="仿宋_GB2312"/>
          <w:sz w:val="32"/>
          <w:szCs w:val="32"/>
        </w:rPr>
        <w:t>六、一般公共预算财政拨款基本支出决算表</w:t>
      </w:r>
    </w:p>
    <w:p>
      <w:pPr>
        <w:widowControl/>
        <w:spacing w:line="580" w:lineRule="exact"/>
        <w:ind w:left="640" w:firstLine="640" w:firstLineChars="200"/>
        <w:rPr>
          <w:rFonts w:eastAsia="仿宋_GB2312"/>
          <w:sz w:val="32"/>
          <w:szCs w:val="32"/>
        </w:rPr>
      </w:pPr>
      <w:r>
        <w:rPr>
          <w:rFonts w:eastAsia="仿宋_GB2312"/>
          <w:sz w:val="32"/>
          <w:szCs w:val="32"/>
        </w:rPr>
        <w:t>七、</w:t>
      </w:r>
      <w:r>
        <w:rPr>
          <w:rFonts w:hint="eastAsia" w:eastAsia="仿宋_GB2312"/>
          <w:sz w:val="32"/>
          <w:szCs w:val="32"/>
        </w:rPr>
        <w:t>一般公共预算财政拨款</w:t>
      </w:r>
      <w:r>
        <w:rPr>
          <w:rFonts w:eastAsia="仿宋_GB2312"/>
          <w:sz w:val="32"/>
          <w:szCs w:val="32"/>
        </w:rPr>
        <w:t>“三公”经费</w:t>
      </w:r>
      <w:r>
        <w:rPr>
          <w:rFonts w:hint="eastAsia"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八、</w:t>
      </w:r>
      <w:r>
        <w:rPr>
          <w:rFonts w:eastAsia="仿宋_GB2312"/>
          <w:sz w:val="32"/>
          <w:szCs w:val="32"/>
        </w:rPr>
        <w:t>政府性基金预算财政拨款收入支出决算表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九</w:t>
      </w:r>
      <w:r>
        <w:rPr>
          <w:rFonts w:eastAsia="仿宋_GB2312"/>
          <w:sz w:val="32"/>
          <w:szCs w:val="32"/>
        </w:rPr>
        <w:t>、国有资本经营预算</w:t>
      </w:r>
      <w:r>
        <w:rPr>
          <w:rFonts w:hint="eastAsia" w:eastAsia="仿宋_GB2312"/>
          <w:sz w:val="32"/>
          <w:szCs w:val="32"/>
        </w:rPr>
        <w:t>财政拨款</w:t>
      </w:r>
      <w:r>
        <w:rPr>
          <w:rFonts w:eastAsia="仿宋_GB2312"/>
          <w:sz w:val="32"/>
          <w:szCs w:val="32"/>
        </w:rPr>
        <w:t>支出决算表</w:t>
      </w:r>
    </w:p>
    <w:p>
      <w:pPr>
        <w:widowControl/>
        <w:spacing w:line="580" w:lineRule="exact"/>
        <w:ind w:left="640" w:firstLine="640" w:firstLineChars="200"/>
        <w:rPr>
          <w:rFonts w:eastAsia="仿宋_GB2312"/>
          <w:sz w:val="32"/>
          <w:szCs w:val="32"/>
        </w:rPr>
      </w:pPr>
      <w:r>
        <w:rPr>
          <w:rFonts w:hint="eastAsia" w:eastAsia="仿宋_GB2312"/>
          <w:sz w:val="32"/>
          <w:szCs w:val="32"/>
        </w:rPr>
        <w:t>十</w:t>
      </w:r>
      <w:r>
        <w:rPr>
          <w:rFonts w:eastAsia="仿宋_GB2312"/>
          <w:sz w:val="32"/>
          <w:szCs w:val="32"/>
        </w:rPr>
        <w:t>、政府采购情况表</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r>
        <w:rPr>
          <w:rFonts w:eastAsia="黑体"/>
          <w:sz w:val="32"/>
          <w:szCs w:val="32"/>
        </w:rPr>
        <w:t xml:space="preserve">第三部分  </w:t>
      </w:r>
      <w:r>
        <w:rPr>
          <w:rFonts w:hint="eastAsia" w:eastAsia="黑体"/>
          <w:sz w:val="32"/>
          <w:szCs w:val="32"/>
        </w:rPr>
        <w:t>无极县财政局</w:t>
      </w:r>
      <w:r>
        <w:rPr>
          <w:rFonts w:eastAsia="黑体"/>
          <w:sz w:val="32"/>
          <w:szCs w:val="32"/>
        </w:rPr>
        <w:t>201</w:t>
      </w:r>
      <w:r>
        <w:rPr>
          <w:rFonts w:hint="eastAsia" w:eastAsia="黑体"/>
          <w:sz w:val="32"/>
          <w:szCs w:val="32"/>
        </w:rPr>
        <w:t>8</w:t>
      </w:r>
      <w:r>
        <w:rPr>
          <w:rFonts w:eastAsia="黑体"/>
          <w:sz w:val="32"/>
          <w:szCs w:val="32"/>
        </w:rPr>
        <w:t>年部门决算情况说明</w:t>
      </w:r>
    </w:p>
    <w:p>
      <w:pPr>
        <w:widowControl/>
        <w:spacing w:line="580" w:lineRule="exact"/>
        <w:ind w:left="640" w:firstLine="640" w:firstLineChars="200"/>
        <w:rPr>
          <w:rFonts w:eastAsia="仿宋_GB2312"/>
          <w:sz w:val="32"/>
          <w:szCs w:val="32"/>
        </w:rPr>
      </w:pPr>
      <w:r>
        <w:rPr>
          <w:rFonts w:eastAsia="仿宋_GB2312"/>
          <w:sz w:val="32"/>
          <w:szCs w:val="32"/>
        </w:rPr>
        <w:t>一、收入支出决算总体情况说明</w:t>
      </w:r>
    </w:p>
    <w:p>
      <w:pPr>
        <w:widowControl/>
        <w:spacing w:line="580" w:lineRule="exact"/>
        <w:ind w:left="640" w:firstLine="640" w:firstLineChars="200"/>
        <w:rPr>
          <w:rFonts w:eastAsia="仿宋_GB2312"/>
          <w:sz w:val="32"/>
          <w:szCs w:val="32"/>
        </w:rPr>
      </w:pPr>
      <w:r>
        <w:rPr>
          <w:rFonts w:eastAsia="仿宋_GB2312"/>
          <w:sz w:val="32"/>
          <w:szCs w:val="32"/>
        </w:rPr>
        <w:t>二、收入决算情况说明</w:t>
      </w:r>
    </w:p>
    <w:p>
      <w:pPr>
        <w:widowControl/>
        <w:spacing w:line="580" w:lineRule="exact"/>
        <w:ind w:left="640" w:firstLine="640" w:firstLineChars="200"/>
        <w:rPr>
          <w:rFonts w:eastAsia="仿宋_GB2312"/>
          <w:sz w:val="32"/>
          <w:szCs w:val="32"/>
        </w:rPr>
      </w:pPr>
      <w:r>
        <w:rPr>
          <w:rFonts w:eastAsia="仿宋_GB2312"/>
          <w:sz w:val="32"/>
          <w:szCs w:val="32"/>
        </w:rPr>
        <w:t>三、支出决算情况说明</w:t>
      </w:r>
    </w:p>
    <w:p>
      <w:pPr>
        <w:widowControl/>
        <w:spacing w:line="580" w:lineRule="exact"/>
        <w:ind w:left="640" w:firstLine="640" w:firstLineChars="200"/>
        <w:rPr>
          <w:rFonts w:eastAsia="仿宋_GB2312"/>
          <w:sz w:val="32"/>
          <w:szCs w:val="32"/>
        </w:rPr>
      </w:pPr>
      <w:r>
        <w:rPr>
          <w:rFonts w:eastAsia="仿宋_GB2312"/>
          <w:sz w:val="32"/>
          <w:szCs w:val="32"/>
        </w:rPr>
        <w:t>四、财政拨款收入支出决算情况说明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五、一般公共预算财政拨款</w:t>
      </w:r>
      <w:r>
        <w:rPr>
          <w:rFonts w:eastAsia="仿宋_GB2312"/>
          <w:sz w:val="32"/>
          <w:szCs w:val="32"/>
        </w:rPr>
        <w:t>“三公”经费支出决算情况说明</w:t>
      </w:r>
    </w:p>
    <w:p>
      <w:pPr>
        <w:widowControl/>
        <w:spacing w:line="580" w:lineRule="exact"/>
        <w:ind w:left="640" w:firstLine="640" w:firstLineChars="200"/>
        <w:rPr>
          <w:rFonts w:eastAsia="仿宋_GB2312"/>
          <w:sz w:val="32"/>
          <w:szCs w:val="32"/>
        </w:rPr>
      </w:pPr>
      <w:r>
        <w:rPr>
          <w:rFonts w:hint="eastAsia" w:eastAsia="仿宋_GB2312"/>
          <w:sz w:val="32"/>
          <w:szCs w:val="32"/>
        </w:rPr>
        <w:t>六</w:t>
      </w:r>
      <w:r>
        <w:rPr>
          <w:rFonts w:eastAsia="仿宋_GB2312"/>
          <w:sz w:val="32"/>
          <w:szCs w:val="32"/>
        </w:rPr>
        <w:t>、预算绩效情况说明</w:t>
      </w:r>
    </w:p>
    <w:p>
      <w:pPr>
        <w:widowControl/>
        <w:spacing w:line="580" w:lineRule="exact"/>
        <w:ind w:left="640" w:firstLine="640" w:firstLineChars="200"/>
        <w:rPr>
          <w:rFonts w:eastAsia="仿宋_GB2312"/>
          <w:sz w:val="32"/>
          <w:szCs w:val="32"/>
        </w:rPr>
      </w:pPr>
      <w:r>
        <w:rPr>
          <w:rFonts w:hint="eastAsia" w:eastAsia="仿宋_GB2312"/>
          <w:sz w:val="32"/>
          <w:szCs w:val="32"/>
        </w:rPr>
        <w:t>七</w:t>
      </w:r>
      <w:r>
        <w:rPr>
          <w:rFonts w:eastAsia="仿宋_GB2312"/>
          <w:sz w:val="32"/>
          <w:szCs w:val="32"/>
        </w:rPr>
        <w:t>、其他重要事项的说明</w:t>
      </w:r>
    </w:p>
    <w:p>
      <w:pPr>
        <w:widowControl/>
        <w:spacing w:line="580" w:lineRule="exact"/>
        <w:ind w:firstLine="640" w:firstLineChars="200"/>
        <w:rPr>
          <w:rFonts w:eastAsia="黑体"/>
          <w:sz w:val="32"/>
          <w:szCs w:val="32"/>
        </w:rPr>
      </w:pPr>
      <w:r>
        <w:rPr>
          <w:rFonts w:eastAsia="黑体"/>
          <w:sz w:val="32"/>
          <w:szCs w:val="32"/>
        </w:rPr>
        <w:t>第四部分名词解释</w:t>
      </w: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pPr>
        <w:widowControl/>
        <w:spacing w:line="580" w:lineRule="exact"/>
        <w:ind w:firstLine="640" w:firstLineChars="200"/>
        <w:rPr>
          <w:rFonts w:eastAsia="黑体"/>
          <w:sz w:val="32"/>
          <w:szCs w:val="32"/>
        </w:rPr>
      </w:pPr>
    </w:p>
    <w:p>
      <w:r>
        <w:br w:type="page"/>
      </w:r>
    </w:p>
    <w:p>
      <w:r>
        <w:rPr>
          <w:rFonts w:hint="eastAsia" w:ascii="宋体" w:hAnsi="宋体" w:cs="ArialUnicodeMS"/>
          <w:color w:val="000000"/>
          <w:kern w:val="0"/>
        </w:rPr>
        <w:drawing>
          <wp:anchor distT="0" distB="0" distL="114300" distR="114300" simplePos="0" relativeHeight="251639808" behindDoc="1" locked="0" layoutInCell="1" allowOverlap="1">
            <wp:simplePos x="0" y="0"/>
            <wp:positionH relativeFrom="column">
              <wp:posOffset>-1024890</wp:posOffset>
            </wp:positionH>
            <wp:positionV relativeFrom="paragraph">
              <wp:posOffset>-1351915</wp:posOffset>
            </wp:positionV>
            <wp:extent cx="7585710" cy="10727055"/>
            <wp:effectExtent l="0" t="0" r="15240" b="17145"/>
            <wp:wrapNone/>
            <wp:docPr id="12" name="图片 12"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2"/>
                    <pic:cNvPicPr>
                      <a:picLocks noChangeAspect="1"/>
                    </pic:cNvPicPr>
                  </pic:nvPicPr>
                  <pic:blipFill>
                    <a:blip r:embed="rId5" cstate="print"/>
                    <a:stretch>
                      <a:fillRect/>
                    </a:stretch>
                  </pic:blipFill>
                  <pic:spPr>
                    <a:xfrm>
                      <a:off x="0" y="0"/>
                      <a:ext cx="7585710" cy="10727055"/>
                    </a:xfrm>
                    <a:prstGeom prst="rect">
                      <a:avLst/>
                    </a:prstGeom>
                  </pic:spPr>
                </pic:pic>
              </a:graphicData>
            </a:graphic>
          </wp:anchor>
        </w:drawing>
      </w:r>
      <w:r>
        <w:rPr>
          <w:sz w:val="72"/>
        </w:rPr>
        <w:pict>
          <v:shape id="_x0000_s1045" o:spid="_x0000_s1045" o:spt="202" type="#_x0000_t202" style="position:absolute;left:0pt;margin-left:-97.3pt;margin-top:259.1pt;height:81.7pt;width:613.65pt;z-index:251652096;mso-width-relative:page;mso-height-relative:page;" filled="f" stroked="f" coordsize="21600,21600" o:gfxdata="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oisOp3gAAAA0BAAAPAAAAAAAAAAEAIAAAACIAAABkcnMvZG93bnJldi54bWxQSwECFAAU&#10;AAAACACHTuJAVy+BgSQCAAAdBAAADgAAAAAAAAABACAAAAAtAQAAZHJzL2Uyb0RvYy54bWxQSwUG&#10;AAAAAAYABgBZAQAAwwUAAAAA&#10;">
            <v:path/>
            <v:fill on="f" focussize="0,0"/>
            <v:stroke on="f" weight="0.5pt" joinstyle="miter"/>
            <v:imagedata o:title=""/>
            <o:lock v:ext="edit"/>
            <v:textbox>
              <w:txbxContent>
                <w:p>
                  <w:pPr>
                    <w:widowControl/>
                    <w:jc w:val="center"/>
                    <w:rPr>
                      <w:color w:val="FDEFBE"/>
                      <w:sz w:val="96"/>
                      <w:szCs w:val="96"/>
                    </w:rPr>
                  </w:pPr>
                  <w:r>
                    <w:rPr>
                      <w:rFonts w:hint="eastAsia" w:hAnsi="宋体" w:asciiTheme="minorEastAsia" w:eastAsiaTheme="minorEastAsia"/>
                      <w:color w:val="FDEFBE"/>
                      <w:sz w:val="96"/>
                      <w:szCs w:val="96"/>
                    </w:rPr>
                    <w:t>第一部分  部门概况</w:t>
                  </w:r>
                </w:p>
              </w:txbxContent>
            </v:textbox>
          </v:shape>
        </w:pict>
      </w:r>
    </w:p>
    <w:p/>
    <w:p/>
    <w:p/>
    <w:p/>
    <w:p/>
    <w:p/>
    <w:p/>
    <w:p/>
    <w:p/>
    <w:p/>
    <w:p/>
    <w:p/>
    <w:p/>
    <w:p/>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一、部门职责</w:t>
      </w:r>
    </w:p>
    <w:p>
      <w:pPr>
        <w:spacing w:line="560" w:lineRule="exact"/>
        <w:ind w:firstLine="640" w:firstLineChars="200"/>
        <w:rPr>
          <w:rFonts w:hAnsi="宋体" w:eastAsia="仿宋_GB2312" w:cs="宋体"/>
          <w:color w:val="000000"/>
          <w:kern w:val="0"/>
          <w:sz w:val="32"/>
          <w:szCs w:val="32"/>
        </w:rPr>
      </w:pPr>
      <w:r>
        <w:rPr>
          <w:rFonts w:hint="eastAsia" w:hAnsi="宋体" w:eastAsia="仿宋_GB2312" w:cs="宋体"/>
          <w:kern w:val="0"/>
          <w:sz w:val="32"/>
          <w:szCs w:val="32"/>
        </w:rPr>
        <w:t>（一）拟订财税发展规划、政策和改革方案并组织实施。分析预测宏观经济形势，参与制定各项宏观经济政策，</w:t>
      </w:r>
      <w:r>
        <w:rPr>
          <w:rFonts w:hint="eastAsia" w:hAnsi="宋体" w:eastAsia="仿宋_GB2312" w:cs="宋体"/>
          <w:color w:val="000000"/>
          <w:kern w:val="0"/>
          <w:sz w:val="32"/>
          <w:szCs w:val="32"/>
        </w:rPr>
        <w:t>提出运用财税政策实施宏观调控和综合平衡社会财力的建议；拟订县与乡（镇）</w:t>
      </w:r>
      <w:r>
        <w:rPr>
          <w:rFonts w:hint="eastAsia" w:hAnsi="宋体" w:eastAsia="仿宋_GB2312" w:cs="宋体"/>
          <w:kern w:val="0"/>
          <w:sz w:val="32"/>
          <w:szCs w:val="32"/>
        </w:rPr>
        <w:t>、政府与</w:t>
      </w:r>
      <w:r>
        <w:rPr>
          <w:rFonts w:hint="eastAsia" w:hAnsi="宋体" w:eastAsia="仿宋_GB2312" w:cs="宋体"/>
          <w:color w:val="000000"/>
          <w:kern w:val="0"/>
          <w:sz w:val="32"/>
          <w:szCs w:val="32"/>
        </w:rPr>
        <w:t>企业的分配政策，完善鼓励公益事业发展的财税政策。</w:t>
      </w:r>
    </w:p>
    <w:p>
      <w:pPr>
        <w:spacing w:line="560" w:lineRule="exact"/>
        <w:ind w:firstLine="640" w:firstLineChars="200"/>
        <w:rPr>
          <w:rFonts w:hAnsi="宋体" w:eastAsia="仿宋_GB2312" w:cs="宋体"/>
          <w:kern w:val="0"/>
          <w:sz w:val="32"/>
          <w:szCs w:val="32"/>
        </w:rPr>
      </w:pPr>
      <w:r>
        <w:rPr>
          <w:rFonts w:hint="eastAsia" w:eastAsia="仿宋_GB2312"/>
          <w:color w:val="000000"/>
          <w:kern w:val="0"/>
          <w:sz w:val="32"/>
          <w:szCs w:val="32"/>
          <w:lang w:val="zh-CN"/>
        </w:rPr>
        <w:t>（二）</w:t>
      </w:r>
      <w:r>
        <w:rPr>
          <w:rFonts w:hint="eastAsia" w:eastAsia="仿宋_GB2312"/>
          <w:kern w:val="0"/>
          <w:sz w:val="32"/>
          <w:szCs w:val="32"/>
          <w:lang w:val="zh-CN"/>
        </w:rPr>
        <w:t>贯彻执行关于财政、税收、财务、会计管理方面的法律、法规、规章</w:t>
      </w:r>
      <w:r>
        <w:rPr>
          <w:rFonts w:hint="eastAsia" w:hAnsi="宋体" w:eastAsia="仿宋_GB2312" w:cs="宋体"/>
          <w:kern w:val="0"/>
          <w:sz w:val="32"/>
          <w:szCs w:val="32"/>
        </w:rPr>
        <w:t>。</w:t>
      </w:r>
    </w:p>
    <w:p>
      <w:pPr>
        <w:spacing w:line="560" w:lineRule="exact"/>
        <w:rPr>
          <w:rFonts w:hAnsi="宋体" w:eastAsia="仿宋_GB2312" w:cs="宋体"/>
          <w:b/>
          <w:bCs/>
          <w:color w:val="000000"/>
          <w:kern w:val="0"/>
          <w:sz w:val="32"/>
          <w:szCs w:val="32"/>
          <w:highlight w:val="yellow"/>
        </w:rPr>
      </w:pPr>
      <w:r>
        <w:rPr>
          <w:rFonts w:hint="eastAsia" w:hAnsi="宋体" w:eastAsia="仿宋_GB2312" w:cs="宋体"/>
          <w:color w:val="000000"/>
          <w:kern w:val="0"/>
          <w:sz w:val="32"/>
          <w:szCs w:val="32"/>
        </w:rPr>
        <w:t xml:space="preserve">    （三）</w:t>
      </w:r>
      <w:r>
        <w:rPr>
          <w:rFonts w:hint="eastAsia" w:hAnsi="宋体" w:eastAsia="仿宋_GB2312" w:cs="宋体"/>
          <w:kern w:val="0"/>
          <w:sz w:val="32"/>
          <w:szCs w:val="32"/>
        </w:rPr>
        <w:t>负责管理县级各项财政收支。编制年度县级预决算草案并组织执行，汇编全县预决算草案。组织制定经费开支标准、定额，审核批复部门（单位）年度预决算。受县政府委托，向县人民代表大会及其常委会报告财政预算、执行和决算等情况。负责政府投资基金县级财政出资的资产管理。负责县级财政预决算公开。</w:t>
      </w:r>
    </w:p>
    <w:p>
      <w:pPr>
        <w:spacing w:line="560" w:lineRule="exact"/>
        <w:ind w:firstLine="640" w:firstLineChars="200"/>
        <w:rPr>
          <w:rFonts w:ascii="仿宋_GB2312" w:hAnsi="仿宋_GB2312" w:eastAsia="仿宋_GB2312"/>
          <w:color w:val="000000"/>
          <w:sz w:val="32"/>
          <w:szCs w:val="32"/>
          <w:highlight w:val="yellow"/>
        </w:rPr>
      </w:pPr>
      <w:r>
        <w:rPr>
          <w:rFonts w:hint="eastAsia" w:ascii="仿宋_GB2312" w:hAnsi="仿宋_GB2312" w:eastAsia="仿宋_GB2312"/>
          <w:color w:val="000000"/>
          <w:sz w:val="32"/>
          <w:szCs w:val="32"/>
        </w:rPr>
        <w:t>（四）</w:t>
      </w:r>
      <w:r>
        <w:rPr>
          <w:rFonts w:hint="eastAsia" w:ascii="仿宋_GB2312" w:eastAsia="仿宋_GB2312"/>
          <w:sz w:val="32"/>
          <w:szCs w:val="32"/>
        </w:rPr>
        <w:t>提出上级授权税目税率调整、减免和地方税收政策等重大事项的建议。组织推进税收制度改革。</w:t>
      </w:r>
    </w:p>
    <w:p>
      <w:pPr>
        <w:numPr>
          <w:ilvl w:val="0"/>
          <w:numId w:val="1"/>
        </w:numPr>
        <w:adjustRightInd w:val="0"/>
        <w:spacing w:after="0" w:line="560" w:lineRule="exact"/>
        <w:ind w:firstLine="640" w:firstLineChars="200"/>
        <w:rPr>
          <w:rFonts w:ascii="仿宋_GB2312" w:eastAsia="仿宋_GB2312"/>
          <w:sz w:val="32"/>
          <w:szCs w:val="32"/>
        </w:rPr>
      </w:pPr>
      <w:r>
        <w:rPr>
          <w:rFonts w:hint="eastAsia" w:ascii="仿宋_GB2312" w:eastAsia="仿宋_GB2312"/>
          <w:sz w:val="32"/>
          <w:szCs w:val="32"/>
        </w:rPr>
        <w:t>按分工负责政府非税收入管理。负责政府性基金管理，按规定管理行政事业性收费。管理财政票据。贯彻实施彩票管理政策和有关办法，参与管理彩票市场，按规定管理彩票资金。</w:t>
      </w:r>
    </w:p>
    <w:p>
      <w:pPr>
        <w:spacing w:line="560" w:lineRule="exact"/>
        <w:ind w:firstLine="640" w:firstLineChars="200"/>
        <w:rPr>
          <w:rFonts w:hAnsi="宋体" w:eastAsia="仿宋_GB2312" w:cs="宋体"/>
          <w:color w:val="000000"/>
          <w:kern w:val="0"/>
          <w:sz w:val="32"/>
          <w:szCs w:val="32"/>
          <w:highlight w:val="yellow"/>
        </w:rPr>
      </w:pPr>
      <w:r>
        <w:rPr>
          <w:rFonts w:hint="eastAsia" w:hAnsi="宋体" w:eastAsia="仿宋_GB2312" w:cs="宋体"/>
          <w:color w:val="000000"/>
          <w:kern w:val="0"/>
          <w:sz w:val="32"/>
          <w:szCs w:val="32"/>
        </w:rPr>
        <w:t>（六）</w:t>
      </w:r>
      <w:r>
        <w:rPr>
          <w:rFonts w:hint="eastAsia" w:ascii="仿宋_GB2312" w:eastAsia="仿宋_GB2312"/>
          <w:sz w:val="32"/>
          <w:szCs w:val="32"/>
        </w:rPr>
        <w:t>研究制定国库管理制度、国库集中收付制度，按规定开展国库资金现金管理工作。制定</w:t>
      </w:r>
      <w:r>
        <w:rPr>
          <w:rFonts w:hint="eastAsia" w:ascii="仿宋_GB2312" w:eastAsia="仿宋_GB2312"/>
          <w:bCs/>
          <w:sz w:val="32"/>
          <w:szCs w:val="32"/>
        </w:rPr>
        <w:t>政府财务报告编制办法并组织实施。制定政府采购制度并监督管理。</w:t>
      </w:r>
    </w:p>
    <w:p>
      <w:pPr>
        <w:numPr>
          <w:ilvl w:val="0"/>
          <w:numId w:val="2"/>
        </w:numPr>
        <w:adjustRightInd w:val="0"/>
        <w:spacing w:after="0" w:line="560" w:lineRule="exact"/>
        <w:ind w:firstLine="640" w:firstLineChars="200"/>
        <w:rPr>
          <w:rFonts w:ascii="仿宋_GB2312" w:eastAsia="仿宋_GB2312"/>
          <w:sz w:val="32"/>
          <w:szCs w:val="32"/>
        </w:rPr>
      </w:pPr>
      <w:r>
        <w:rPr>
          <w:rFonts w:hint="eastAsia" w:ascii="仿宋_GB2312" w:eastAsia="仿宋_GB2312"/>
          <w:sz w:val="32"/>
          <w:szCs w:val="32"/>
        </w:rPr>
        <w:t>拟订政府债务管理制度和办法并组织实施。</w:t>
      </w:r>
      <w:r>
        <w:rPr>
          <w:rFonts w:hint="eastAsia" w:ascii="仿宋_GB2312" w:hAnsi="仿宋_GB2312" w:eastAsia="仿宋_GB2312" w:cs="仿宋_GB2312"/>
          <w:sz w:val="32"/>
          <w:szCs w:val="32"/>
        </w:rPr>
        <w:t>负责政府债务限额管理，按规定组织政府债券申报、转贷和还本付息等工作。</w:t>
      </w:r>
      <w:r>
        <w:rPr>
          <w:rFonts w:hint="eastAsia" w:ascii="仿宋_GB2312" w:eastAsia="仿宋_GB2312"/>
          <w:sz w:val="32"/>
          <w:szCs w:val="32"/>
        </w:rPr>
        <w:t>执行国家外债管理政策，管理县政府国外债务。开展对外财经交流。</w:t>
      </w:r>
    </w:p>
    <w:p>
      <w:pPr>
        <w:numPr>
          <w:ilvl w:val="0"/>
          <w:numId w:val="2"/>
        </w:numPr>
        <w:adjustRightInd w:val="0"/>
        <w:spacing w:after="0" w:line="560" w:lineRule="exact"/>
        <w:ind w:firstLine="640" w:firstLineChars="200"/>
        <w:rPr>
          <w:rFonts w:ascii="仿宋_GB2312" w:eastAsia="仿宋_GB2312"/>
          <w:color w:val="000000"/>
          <w:sz w:val="32"/>
          <w:szCs w:val="32"/>
        </w:rPr>
      </w:pPr>
      <w:r>
        <w:rPr>
          <w:rFonts w:hint="eastAsia" w:ascii="仿宋_GB2312" w:eastAsia="仿宋_GB2312"/>
          <w:color w:val="000000"/>
          <w:sz w:val="32"/>
          <w:szCs w:val="32"/>
        </w:rPr>
        <w:t>牵头编制国有资产管理情况报告。根据县政府授权，逐步履行县级国有金融资本出资人职责。执行国有金融资本管理规章制度。拟订行政事业单位国有资产管理制度并组织实施，制定需要全县统一规定的开支标准和支出政策。</w:t>
      </w:r>
    </w:p>
    <w:p>
      <w:pPr>
        <w:spacing w:line="560" w:lineRule="exact"/>
        <w:ind w:firstLine="640" w:firstLineChars="200"/>
        <w:rPr>
          <w:rFonts w:hAnsi="宋体" w:eastAsia="仿宋_GB2312" w:cs="宋体"/>
          <w:b/>
          <w:bCs/>
          <w:color w:val="000000"/>
          <w:kern w:val="0"/>
          <w:sz w:val="32"/>
          <w:szCs w:val="32"/>
          <w:highlight w:val="yellow"/>
        </w:rPr>
      </w:pPr>
      <w:r>
        <w:rPr>
          <w:rFonts w:hint="eastAsia" w:hAnsi="宋体" w:eastAsia="仿宋_GB2312" w:cs="宋体"/>
          <w:color w:val="000000"/>
          <w:kern w:val="0"/>
          <w:sz w:val="32"/>
          <w:szCs w:val="32"/>
        </w:rPr>
        <w:t>（九）</w:t>
      </w:r>
      <w:r>
        <w:rPr>
          <w:rFonts w:hint="eastAsia" w:ascii="仿宋_GB2312" w:eastAsia="仿宋_GB2312"/>
          <w:sz w:val="32"/>
          <w:szCs w:val="32"/>
        </w:rPr>
        <w:t>负责审核并汇总编制全县国有资本经营预决算草案，组织实施国有资本经营预算制度，收取县属企业国有资本收益。负责财政预算内行政事业单位和社会团体的非贸易外汇管理。</w:t>
      </w:r>
    </w:p>
    <w:p>
      <w:pPr>
        <w:spacing w:line="560" w:lineRule="exact"/>
        <w:ind w:firstLine="645"/>
        <w:rPr>
          <w:rFonts w:hAnsi="宋体" w:eastAsia="仿宋_GB2312" w:cs="宋体"/>
          <w:color w:val="000000"/>
          <w:kern w:val="0"/>
          <w:sz w:val="32"/>
          <w:szCs w:val="32"/>
        </w:rPr>
      </w:pPr>
      <w:r>
        <w:rPr>
          <w:rFonts w:hint="eastAsia" w:hAnsi="宋体" w:eastAsia="仿宋_GB2312" w:cs="宋体"/>
          <w:color w:val="000000"/>
          <w:kern w:val="0"/>
          <w:sz w:val="32"/>
          <w:szCs w:val="32"/>
        </w:rPr>
        <w:t>（十）</w:t>
      </w:r>
      <w:r>
        <w:rPr>
          <w:rFonts w:hint="eastAsia" w:ascii="仿宋_GB2312" w:eastAsia="仿宋_GB2312"/>
          <w:sz w:val="32"/>
          <w:szCs w:val="32"/>
        </w:rPr>
        <w:t>负责审核并汇总编制全县社会保险基金预决算草案，会同有关部门拟订有关资金（基金）财务管理制度并组织实施。承担社会保险基金财政监管工作。</w:t>
      </w:r>
      <w:r>
        <w:rPr>
          <w:rFonts w:hint="eastAsia" w:hAnsi="宋体" w:eastAsia="仿宋_GB2312" w:cs="宋体"/>
          <w:kern w:val="0"/>
          <w:sz w:val="32"/>
          <w:szCs w:val="32"/>
        </w:rPr>
        <w:t xml:space="preserve"> </w:t>
      </w:r>
    </w:p>
    <w:p>
      <w:pPr>
        <w:spacing w:line="560" w:lineRule="exact"/>
        <w:ind w:firstLine="645"/>
        <w:rPr>
          <w:rFonts w:ascii="宋体" w:hAnsi="宋体" w:cs="宋体"/>
          <w:b/>
          <w:bCs/>
          <w:color w:val="000000"/>
          <w:kern w:val="0"/>
          <w:sz w:val="32"/>
          <w:szCs w:val="32"/>
          <w:highlight w:val="yellow"/>
        </w:rPr>
      </w:pPr>
      <w:r>
        <w:rPr>
          <w:rFonts w:hint="eastAsia" w:hAnsi="宋体" w:eastAsia="仿宋_GB2312" w:cs="宋体"/>
          <w:color w:val="000000"/>
          <w:kern w:val="0"/>
          <w:sz w:val="32"/>
          <w:szCs w:val="32"/>
        </w:rPr>
        <w:t>（十一）</w:t>
      </w:r>
      <w:r>
        <w:rPr>
          <w:rFonts w:hint="eastAsia" w:ascii="仿宋_GB2312" w:hAnsi="仿宋_GB2312" w:eastAsia="仿宋_GB2312"/>
          <w:sz w:val="32"/>
          <w:szCs w:val="32"/>
        </w:rPr>
        <w:t>负责办理和监督县级财政的经济发展支出、县级政府性投资项目的财政拨款，参与拟订县级建设投资的有关政策，制定基建财务管理制度。</w:t>
      </w:r>
      <w:r>
        <w:rPr>
          <w:rFonts w:hint="eastAsia" w:ascii="仿宋_GB2312" w:hAnsi="仿宋_GB2312" w:eastAsia="仿宋_GB2312"/>
          <w:bCs/>
          <w:sz w:val="32"/>
          <w:szCs w:val="32"/>
        </w:rPr>
        <w:t>负责财政评审管理。</w:t>
      </w:r>
    </w:p>
    <w:p>
      <w:pPr>
        <w:spacing w:line="560" w:lineRule="exact"/>
        <w:ind w:firstLine="640" w:firstLineChars="200"/>
        <w:rPr>
          <w:rFonts w:ascii="仿宋_GB2312" w:eastAsia="仿宋_GB2312"/>
          <w:sz w:val="32"/>
          <w:szCs w:val="32"/>
        </w:rPr>
      </w:pPr>
      <w:r>
        <w:rPr>
          <w:rFonts w:hint="eastAsia" w:hAnsi="宋体" w:eastAsia="仿宋_GB2312" w:cs="宋体"/>
          <w:color w:val="000000"/>
          <w:kern w:val="0"/>
          <w:sz w:val="32"/>
          <w:szCs w:val="32"/>
        </w:rPr>
        <w:t>（十二）</w:t>
      </w:r>
      <w:r>
        <w:rPr>
          <w:rFonts w:hint="eastAsia" w:ascii="仿宋_GB2312" w:eastAsia="仿宋_GB2312"/>
          <w:color w:val="000000"/>
          <w:sz w:val="32"/>
          <w:szCs w:val="32"/>
        </w:rPr>
        <w:t>负责管理全县会计工作，监督和规范会计行为，组织实施会计制度。</w:t>
      </w:r>
      <w:r>
        <w:rPr>
          <w:rFonts w:hint="eastAsia" w:ascii="仿宋_GB2312" w:eastAsia="仿宋_GB2312"/>
          <w:sz w:val="32"/>
          <w:szCs w:val="32"/>
        </w:rPr>
        <w:t>完成县委、县政府交办的其他任务。</w:t>
      </w:r>
    </w:p>
    <w:p>
      <w:pPr>
        <w:pStyle w:val="2"/>
        <w:spacing w:before="0" w:after="0" w:line="600" w:lineRule="exact"/>
        <w:jc w:val="left"/>
        <w:rPr>
          <w:rFonts w:ascii="仿宋_GB2312" w:hAnsi="仿宋_GB2312" w:eastAsia="仿宋_GB2312"/>
          <w:sz w:val="32"/>
          <w:szCs w:val="32"/>
        </w:rPr>
      </w:pPr>
    </w:p>
    <w:p>
      <w:pPr>
        <w:pStyle w:val="2"/>
        <w:spacing w:before="0" w:after="0" w:line="600" w:lineRule="exact"/>
        <w:jc w:val="left"/>
        <w:rPr>
          <w:rFonts w:ascii="黑体" w:eastAsia="黑体" w:cs="黑体" w:hAnsiTheme="minorHAnsi"/>
          <w:b w:val="0"/>
          <w:bCs w:val="0"/>
          <w:kern w:val="0"/>
          <w:sz w:val="32"/>
          <w:szCs w:val="32"/>
        </w:rPr>
      </w:pPr>
      <w:r>
        <w:rPr>
          <w:rFonts w:hint="eastAsia" w:ascii="黑体" w:eastAsia="黑体" w:cs="黑体" w:hAnsiTheme="minorHAnsi"/>
          <w:b w:val="0"/>
          <w:bCs w:val="0"/>
          <w:kern w:val="0"/>
          <w:sz w:val="32"/>
          <w:szCs w:val="32"/>
        </w:rPr>
        <w:t>二、机构设置</w:t>
      </w:r>
    </w:p>
    <w:p>
      <w:pPr>
        <w:spacing w:after="0" w:line="560" w:lineRule="exact"/>
        <w:rPr>
          <w:rFonts w:ascii="仿宋_GB2312" w:eastAsia="仿宋_GB2312" w:cs="ArialUnicodeMS" w:hAnsiTheme="minorHAnsi"/>
          <w:kern w:val="0"/>
          <w:sz w:val="32"/>
          <w:szCs w:val="32"/>
        </w:rPr>
      </w:pPr>
      <w:r>
        <w:rPr>
          <w:rFonts w:hint="eastAsia" w:ascii="仿宋_GB2312" w:eastAsia="仿宋_GB2312" w:cs="ArialUnicodeMS" w:hAnsiTheme="minorHAnsi"/>
          <w:kern w:val="0"/>
          <w:sz w:val="32"/>
          <w:szCs w:val="32"/>
        </w:rPr>
        <w:t>从决算编报单位构成看，纳入2018 年度本部门决算汇编范围的独立核算单位（以下简称“单位”）共 1个，具体情况如下：</w:t>
      </w:r>
    </w:p>
    <w:tbl>
      <w:tblPr>
        <w:tblStyle w:val="13"/>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序号</w:t>
            </w:r>
          </w:p>
        </w:tc>
        <w:tc>
          <w:tcPr>
            <w:tcW w:w="348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单位名称</w:t>
            </w:r>
          </w:p>
        </w:tc>
        <w:tc>
          <w:tcPr>
            <w:tcW w:w="244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单位基本性质</w:t>
            </w:r>
          </w:p>
        </w:tc>
        <w:tc>
          <w:tcPr>
            <w:tcW w:w="2665" w:type="dxa"/>
            <w:vAlign w:val="center"/>
          </w:tcPr>
          <w:p>
            <w:pPr>
              <w:spacing w:after="0" w:line="560" w:lineRule="exact"/>
              <w:jc w:val="center"/>
              <w:rPr>
                <w:rFonts w:ascii="仿宋_GB2312" w:eastAsia="仿宋_GB2312" w:cs="ArialUnicodeMS" w:hAnsiTheme="minorHAnsi"/>
                <w:b/>
                <w:bCs/>
                <w:kern w:val="0"/>
                <w:sz w:val="28"/>
                <w:szCs w:val="28"/>
              </w:rPr>
            </w:pPr>
            <w:r>
              <w:rPr>
                <w:rFonts w:hint="eastAsia" w:ascii="仿宋_GB2312" w:eastAsia="仿宋_GB2312" w:cs="ArialUnicodeMS" w:hAnsiTheme="minorHAnsi"/>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1</w:t>
            </w:r>
          </w:p>
        </w:tc>
        <w:tc>
          <w:tcPr>
            <w:tcW w:w="3485" w:type="dxa"/>
          </w:tcPr>
          <w:p>
            <w:pPr>
              <w:spacing w:after="0" w:line="560" w:lineRule="exact"/>
              <w:rPr>
                <w:rFonts w:cs="宋体" w:asciiTheme="majorEastAsia" w:hAnsiTheme="majorEastAsia" w:eastAsiaTheme="majorEastAsia"/>
                <w:kern w:val="0"/>
                <w:sz w:val="32"/>
                <w:szCs w:val="32"/>
              </w:rPr>
            </w:pPr>
            <w:r>
              <w:rPr>
                <w:rFonts w:hint="eastAsia" w:cs="ArialUnicodeMS" w:asciiTheme="majorEastAsia" w:hAnsiTheme="majorEastAsia" w:eastAsiaTheme="majorEastAsia"/>
                <w:kern w:val="0"/>
                <w:sz w:val="32"/>
                <w:szCs w:val="32"/>
              </w:rPr>
              <w:t>无极县</w:t>
            </w:r>
            <w:r>
              <w:rPr>
                <w:rFonts w:hint="eastAsia" w:ascii="宋体" w:hAnsi="宋体" w:cs="宋体"/>
                <w:kern w:val="0"/>
                <w:sz w:val="32"/>
                <w:szCs w:val="32"/>
              </w:rPr>
              <w:t>财政局</w:t>
            </w:r>
          </w:p>
        </w:tc>
        <w:tc>
          <w:tcPr>
            <w:tcW w:w="244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行政</w:t>
            </w:r>
          </w:p>
        </w:tc>
        <w:tc>
          <w:tcPr>
            <w:tcW w:w="266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财政拨款</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2</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after="0" w:line="560" w:lineRule="exact"/>
              <w:jc w:val="center"/>
              <w:rPr>
                <w:rFonts w:ascii="仿宋_GB2312" w:eastAsia="仿宋_GB2312" w:cs="ArialUnicodeMS" w:hAnsiTheme="minorHAnsi"/>
                <w:kern w:val="0"/>
                <w:sz w:val="28"/>
                <w:szCs w:val="28"/>
              </w:rPr>
            </w:pPr>
            <w:r>
              <w:rPr>
                <w:rFonts w:hint="eastAsia" w:ascii="仿宋_GB2312" w:eastAsia="仿宋_GB2312" w:cs="ArialUnicodeMS" w:hAnsiTheme="minorHAnsi"/>
                <w:kern w:val="0"/>
                <w:sz w:val="28"/>
                <w:szCs w:val="28"/>
              </w:rPr>
              <w:t>3</w:t>
            </w:r>
          </w:p>
        </w:tc>
        <w:tc>
          <w:tcPr>
            <w:tcW w:w="3485" w:type="dxa"/>
          </w:tcPr>
          <w:p>
            <w:pPr>
              <w:spacing w:after="0" w:line="560" w:lineRule="exact"/>
              <w:rPr>
                <w:rFonts w:ascii="仿宋_GB2312" w:eastAsia="仿宋_GB2312" w:cs="ArialUnicodeMS" w:hAnsiTheme="minorHAnsi"/>
                <w:kern w:val="0"/>
                <w:sz w:val="28"/>
                <w:szCs w:val="28"/>
              </w:rPr>
            </w:pPr>
          </w:p>
        </w:tc>
        <w:tc>
          <w:tcPr>
            <w:tcW w:w="2445" w:type="dxa"/>
          </w:tcPr>
          <w:p>
            <w:pPr>
              <w:spacing w:after="0" w:line="560" w:lineRule="exact"/>
              <w:jc w:val="center"/>
              <w:rPr>
                <w:rFonts w:ascii="仿宋_GB2312" w:eastAsia="仿宋_GB2312" w:cs="ArialUnicodeMS" w:hAnsiTheme="minorHAnsi"/>
                <w:kern w:val="0"/>
                <w:sz w:val="28"/>
                <w:szCs w:val="28"/>
              </w:rPr>
            </w:pPr>
          </w:p>
        </w:tc>
        <w:tc>
          <w:tcPr>
            <w:tcW w:w="2665" w:type="dxa"/>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8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3485" w:type="dxa"/>
            <w:tcBorders>
              <w:bottom w:val="single" w:color="auto" w:sz="4" w:space="0"/>
            </w:tcBorders>
          </w:tcPr>
          <w:p>
            <w:pPr>
              <w:spacing w:after="0" w:line="560" w:lineRule="exact"/>
              <w:rPr>
                <w:rFonts w:ascii="仿宋_GB2312" w:eastAsia="仿宋_GB2312" w:cs="ArialUnicodeMS" w:hAnsiTheme="minorHAnsi"/>
                <w:kern w:val="0"/>
                <w:sz w:val="28"/>
                <w:szCs w:val="28"/>
              </w:rPr>
            </w:pPr>
          </w:p>
        </w:tc>
        <w:tc>
          <w:tcPr>
            <w:tcW w:w="244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c>
          <w:tcPr>
            <w:tcW w:w="2665" w:type="dxa"/>
            <w:tcBorders>
              <w:bottom w:val="single" w:color="auto" w:sz="4" w:space="0"/>
            </w:tcBorders>
          </w:tcPr>
          <w:p>
            <w:pPr>
              <w:spacing w:after="0" w:line="560" w:lineRule="exact"/>
              <w:jc w:val="center"/>
              <w:rPr>
                <w:rFonts w:ascii="仿宋_GB2312" w:eastAsia="仿宋_GB2312" w:cs="ArialUnicodeMS" w:hAnsiTheme="minorHAnsi"/>
                <w:kern w:val="0"/>
                <w:sz w:val="28"/>
                <w:szCs w:val="28"/>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06" w:hRule="atLeast"/>
          <w:jc w:val="center"/>
        </w:trPr>
        <w:tc>
          <w:tcPr>
            <w:tcW w:w="9580" w:type="dxa"/>
            <w:gridSpan w:val="4"/>
            <w:tcBorders>
              <w:top w:val="single" w:color="auto" w:sz="4" w:space="0"/>
              <w:left w:val="nil"/>
              <w:bottom w:val="nil"/>
              <w:right w:val="nil"/>
            </w:tcBorders>
          </w:tcPr>
          <w:p>
            <w:pPr>
              <w:spacing w:after="0" w:line="560" w:lineRule="exact"/>
              <w:ind w:firstLine="560" w:firstLineChars="200"/>
              <w:jc w:val="left"/>
              <w:rPr>
                <w:rFonts w:ascii="仿宋_GB2312" w:eastAsia="仿宋_GB2312" w:cs="ArialUnicodeMS" w:hAnsiTheme="minorHAnsi"/>
                <w:kern w:val="0"/>
                <w:sz w:val="28"/>
                <w:szCs w:val="28"/>
              </w:rPr>
            </w:pPr>
          </w:p>
        </w:tc>
      </w:tr>
    </w:tbl>
    <w:p>
      <w:pPr>
        <w:widowControl/>
        <w:spacing w:line="560" w:lineRule="exact"/>
        <w:jc w:val="center"/>
        <w:rPr>
          <w:rFonts w:ascii="黑体" w:eastAsia="黑体" w:cs="MS-UIGothic,Bold" w:hAnsiTheme="minorHAnsi"/>
          <w:bCs/>
          <w:kern w:val="0"/>
          <w:sz w:val="52"/>
          <w:szCs w:val="52"/>
        </w:rPr>
        <w:sectPr>
          <w:pgSz w:w="11906" w:h="16838"/>
          <w:pgMar w:top="2098" w:right="1474" w:bottom="1984" w:left="1588" w:header="851" w:footer="992" w:gutter="0"/>
          <w:cols w:space="0" w:num="1"/>
          <w:docGrid w:type="lines" w:linePitch="312" w:charSpace="0"/>
        </w:sectPr>
      </w:pPr>
    </w:p>
    <w:p>
      <w:pPr>
        <w:widowControl/>
        <w:spacing w:line="560" w:lineRule="exact"/>
        <w:jc w:val="center"/>
        <w:rPr>
          <w:rFonts w:ascii="黑体" w:eastAsia="黑体" w:cs="MS-UIGothic,Bold" w:hAnsiTheme="minorHAnsi"/>
          <w:bCs/>
          <w:kern w:val="0"/>
          <w:sz w:val="52"/>
          <w:szCs w:val="52"/>
        </w:rPr>
      </w:pPr>
      <w:r>
        <w:rPr>
          <w:rFonts w:hint="eastAsia" w:ascii="宋体" w:hAnsi="宋体" w:cs="ArialUnicodeMS"/>
          <w:color w:val="000000"/>
          <w:kern w:val="0"/>
        </w:rPr>
        <w:drawing>
          <wp:anchor distT="0" distB="0" distL="114300" distR="114300" simplePos="0" relativeHeight="251642880" behindDoc="1" locked="0" layoutInCell="1" allowOverlap="1">
            <wp:simplePos x="0" y="0"/>
            <wp:positionH relativeFrom="column">
              <wp:posOffset>-1023620</wp:posOffset>
            </wp:positionH>
            <wp:positionV relativeFrom="paragraph">
              <wp:posOffset>-1327150</wp:posOffset>
            </wp:positionV>
            <wp:extent cx="7571105" cy="10680065"/>
            <wp:effectExtent l="0" t="0" r="10795" b="6985"/>
            <wp:wrapNone/>
            <wp:docPr id="16" name="图片 16"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2"/>
                    <pic:cNvPicPr>
                      <a:picLocks noChangeAspect="1"/>
                    </pic:cNvPicPr>
                  </pic:nvPicPr>
                  <pic:blipFill>
                    <a:blip r:embed="rId5" cstate="print"/>
                    <a:stretch>
                      <a:fillRect/>
                    </a:stretch>
                  </pic:blipFill>
                  <pic:spPr>
                    <a:xfrm>
                      <a:off x="0" y="0"/>
                      <a:ext cx="7571105" cy="10680065"/>
                    </a:xfrm>
                    <a:prstGeom prst="rect">
                      <a:avLst/>
                    </a:prstGeom>
                  </pic:spPr>
                </pic:pic>
              </a:graphicData>
            </a:graphic>
          </wp:anchor>
        </w:drawing>
      </w:r>
    </w:p>
    <w:p>
      <w:pPr>
        <w:widowControl/>
        <w:spacing w:line="560" w:lineRule="exact"/>
        <w:jc w:val="center"/>
        <w:rPr>
          <w:rFonts w:ascii="黑体" w:eastAsia="黑体" w:cs="MS-UIGothic,Bold" w:hAnsiTheme="minorHAnsi"/>
          <w:bCs/>
          <w:kern w:val="0"/>
          <w:sz w:val="52"/>
          <w:szCs w:val="52"/>
        </w:rPr>
      </w:pPr>
    </w:p>
    <w:p>
      <w:pPr>
        <w:rPr>
          <w:rFonts w:ascii="宋体" w:hAnsi="宋体" w:cs="ArialUnicodeMS"/>
          <w:color w:val="000000"/>
          <w:kern w:val="0"/>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sz w:val="72"/>
        </w:rPr>
        <w:pict>
          <v:shape id="_x0000_s1044" o:spid="_x0000_s1044" o:spt="202" type="#_x0000_t202" style="position:absolute;left:0pt;margin-left:-74.2pt;margin-top:120.3pt;height:159.1pt;width:596.2pt;z-index:251641856;mso-width-relative:page;mso-height-relative:page;" filled="f" stroked="f" coordsize="21600,21600" o:gfxdata="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BO&#10;az3Q3AAAAA0BAAAPAAAAAAAAAAEAIAAAACIAAABkcnMvZG93bnJldi54bWxQSwECFAAUAAAACACH&#10;TuJAX0LKzCACAAAbBAAADgAAAAAAAAABACAAAAArAQAAZHJzL2Uyb0RvYy54bWxQSwUGAAAAAAYA&#10;BgBZAQAAvQ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第二部分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2018年度部门决算报表</w:t>
                  </w:r>
                </w:p>
              </w:txbxContent>
            </v:textbox>
          </v:shape>
        </w:pict>
      </w:r>
    </w:p>
    <w:tbl>
      <w:tblPr>
        <w:tblStyle w:val="12"/>
        <w:tblW w:w="9300" w:type="dxa"/>
        <w:jc w:val="center"/>
        <w:tblLayout w:type="fixed"/>
        <w:tblCellMar>
          <w:top w:w="0" w:type="dxa"/>
          <w:left w:w="0" w:type="dxa"/>
          <w:bottom w:w="0" w:type="dxa"/>
          <w:right w:w="0" w:type="dxa"/>
        </w:tblCellMar>
      </w:tblPr>
      <w:tblGrid>
        <w:gridCol w:w="2700"/>
        <w:gridCol w:w="567"/>
        <w:gridCol w:w="1336"/>
        <w:gridCol w:w="2700"/>
        <w:gridCol w:w="567"/>
        <w:gridCol w:w="1430"/>
      </w:tblGrid>
      <w:tr>
        <w:tblPrEx>
          <w:tblCellMar>
            <w:top w:w="0" w:type="dxa"/>
            <w:left w:w="0" w:type="dxa"/>
            <w:bottom w:w="0" w:type="dxa"/>
            <w:right w:w="0" w:type="dxa"/>
          </w:tblCellMar>
        </w:tblPrEx>
        <w:trPr>
          <w:trHeight w:val="56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440" w:lineRule="exac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收入支出决算总表</w:t>
            </w:r>
          </w:p>
        </w:tc>
      </w:tr>
      <w:tr>
        <w:tblPrEx>
          <w:tblCellMar>
            <w:top w:w="0" w:type="dxa"/>
            <w:left w:w="0" w:type="dxa"/>
            <w:bottom w:w="0" w:type="dxa"/>
            <w:right w:w="0" w:type="dxa"/>
          </w:tblCellMar>
        </w:tblPrEx>
        <w:trPr>
          <w:trHeight w:val="321"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Arial" w:hAnsi="Arial" w:cs="Arial"/>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公开01表</w:t>
            </w:r>
          </w:p>
        </w:tc>
      </w:tr>
      <w:tr>
        <w:tblPrEx>
          <w:tblCellMar>
            <w:top w:w="0" w:type="dxa"/>
            <w:left w:w="0" w:type="dxa"/>
            <w:bottom w:w="0" w:type="dxa"/>
            <w:right w:w="0" w:type="dxa"/>
          </w:tblCellMar>
        </w:tblPrEx>
        <w:trPr>
          <w:trHeight w:val="418" w:hRule="atLeast"/>
          <w:jc w:val="center"/>
        </w:trPr>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336"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270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56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rPr>
                <w:rFonts w:ascii="宋体" w:hAnsi="宋体" w:cs="宋体"/>
                <w:color w:val="000000"/>
                <w:sz w:val="20"/>
                <w:szCs w:val="20"/>
              </w:rPr>
            </w:pPr>
          </w:p>
        </w:tc>
        <w:tc>
          <w:tcPr>
            <w:tcW w:w="143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exac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295" w:hRule="atLeast"/>
          <w:jc w:val="center"/>
        </w:trPr>
        <w:tc>
          <w:tcPr>
            <w:tcW w:w="4603"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收入</w:t>
            </w:r>
          </w:p>
        </w:tc>
        <w:tc>
          <w:tcPr>
            <w:tcW w:w="4697"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支出</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项目</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行次</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2"/>
                <w:szCs w:val="22"/>
              </w:rPr>
            </w:pPr>
            <w:r>
              <w:rPr>
                <w:rFonts w:hint="eastAsia" w:ascii="宋体" w:hAnsi="宋体" w:cs="宋体"/>
                <w:color w:val="000000"/>
                <w:kern w:val="0"/>
                <w:sz w:val="22"/>
                <w:szCs w:val="22"/>
              </w:rPr>
              <w:t>金额</w:t>
            </w:r>
          </w:p>
        </w:tc>
      </w:tr>
      <w:tr>
        <w:tblPrEx>
          <w:tblCellMar>
            <w:top w:w="0" w:type="dxa"/>
            <w:left w:w="0" w:type="dxa"/>
            <w:bottom w:w="0" w:type="dxa"/>
            <w:right w:w="0" w:type="dxa"/>
          </w:tblCellMar>
        </w:tblPrEx>
        <w:trPr>
          <w:trHeight w:val="29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栏次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rPr>
                <w:rFonts w:ascii="宋体" w:hAnsi="宋体" w:cs="宋体"/>
                <w:color w:val="000000"/>
                <w:sz w:val="20"/>
                <w:szCs w:val="20"/>
              </w:rPr>
            </w:pP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r>
      <w:tr>
        <w:tblPrEx>
          <w:tblCellMar>
            <w:top w:w="0" w:type="dxa"/>
            <w:left w:w="0" w:type="dxa"/>
            <w:bottom w:w="0" w:type="dxa"/>
            <w:right w:w="0" w:type="dxa"/>
          </w:tblCellMar>
        </w:tblPrEx>
        <w:trPr>
          <w:trHeight w:val="36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一、财政拨款收入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1176.27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一、一般公共服务支出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1155.04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二、上级补助收入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二、外交支出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三、事业收入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三、国防支出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四、经营收入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四、公共安全支出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五、附属单位上缴收入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五、教育支出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六、其他收入</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六、科学技术支出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七、文化体育与传媒支出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八、社会保障和就业支出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17.23</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九、医疗卫生与计划生育支出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十、节能环保支出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十一、城乡社区支出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十二、农林水支出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39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十三、交通运输支出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十四、资源勘探信息等支出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十五、商业服务业等支出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十六、金融支出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十七、援助其他地区支出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18</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十八、国土海洋气象等支出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45</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19</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十九、住房保障支出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46</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20</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二十、粮油物资储备支出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47</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21</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二十一、其他支出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48</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22</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二十二、债务还本支出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49</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rPr>
                <w:rFonts w:ascii="宋体" w:hAnsi="宋体" w:cs="宋体"/>
                <w:color w:val="000000"/>
                <w:sz w:val="20"/>
                <w:szCs w:val="20"/>
              </w:rPr>
            </w:pP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23</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二十三、债务付息支出</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50</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24</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1176.27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本年支出合计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51</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1172.27</w:t>
            </w:r>
          </w:p>
        </w:tc>
      </w:tr>
      <w:tr>
        <w:tblPrEx>
          <w:tblCellMar>
            <w:top w:w="0" w:type="dxa"/>
            <w:left w:w="0" w:type="dxa"/>
            <w:bottom w:w="0" w:type="dxa"/>
            <w:right w:w="0" w:type="dxa"/>
          </w:tblCellMar>
        </w:tblPrEx>
        <w:trPr>
          <w:trHeight w:val="385"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用事业基金弥补收支差额</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25</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结余分配</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52</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年初结转和结余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26</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 w:val="20"/>
                <w:szCs w:val="20"/>
              </w:rPr>
            </w:pPr>
            <w:r>
              <w:rPr>
                <w:rFonts w:hint="eastAsia" w:ascii="宋体" w:hAnsi="宋体" w:cs="宋体"/>
                <w:color w:val="000000"/>
                <w:kern w:val="0"/>
                <w:sz w:val="20"/>
                <w:szCs w:val="20"/>
              </w:rPr>
              <w:t>年末结转和结余</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53</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4</w:t>
            </w:r>
          </w:p>
        </w:tc>
      </w:tr>
      <w:tr>
        <w:tblPrEx>
          <w:tblCellMar>
            <w:top w:w="0" w:type="dxa"/>
            <w:left w:w="0" w:type="dxa"/>
            <w:bottom w:w="0" w:type="dxa"/>
            <w:right w:w="0" w:type="dxa"/>
          </w:tblCellMar>
        </w:tblPrEx>
        <w:trPr>
          <w:trHeight w:val="337" w:hRule="atLeast"/>
          <w:jc w:val="center"/>
        </w:trPr>
        <w:tc>
          <w:tcPr>
            <w:tcW w:w="2700"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27</w:t>
            </w:r>
          </w:p>
        </w:tc>
        <w:tc>
          <w:tcPr>
            <w:tcW w:w="133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18"/>
                <w:szCs w:val="18"/>
              </w:rPr>
            </w:pPr>
            <w:r>
              <w:rPr>
                <w:rFonts w:hint="eastAsia" w:ascii="宋体" w:hAnsi="宋体" w:cs="宋体"/>
                <w:color w:val="000000"/>
                <w:sz w:val="18"/>
                <w:szCs w:val="18"/>
              </w:rPr>
              <w:t>1176.27</w:t>
            </w:r>
          </w:p>
        </w:tc>
        <w:tc>
          <w:tcPr>
            <w:tcW w:w="270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b/>
                <w:color w:val="000000"/>
                <w:sz w:val="20"/>
                <w:szCs w:val="20"/>
              </w:rPr>
            </w:pPr>
            <w:r>
              <w:rPr>
                <w:rFonts w:hint="eastAsia" w:ascii="宋体" w:hAnsi="宋体" w:cs="宋体"/>
                <w:b/>
                <w:color w:val="000000"/>
                <w:kern w:val="0"/>
                <w:sz w:val="20"/>
                <w:szCs w:val="20"/>
              </w:rPr>
              <w:t>总计</w:t>
            </w:r>
          </w:p>
        </w:tc>
        <w:tc>
          <w:tcPr>
            <w:tcW w:w="56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center"/>
              <w:textAlignment w:val="center"/>
              <w:rPr>
                <w:rFonts w:ascii="宋体" w:hAnsi="宋体" w:cs="宋体"/>
                <w:color w:val="000000"/>
                <w:sz w:val="20"/>
                <w:szCs w:val="20"/>
              </w:rPr>
            </w:pPr>
            <w:r>
              <w:rPr>
                <w:rFonts w:hint="eastAsia" w:ascii="宋体" w:hAnsi="宋体" w:cs="宋体"/>
                <w:color w:val="000000"/>
                <w:kern w:val="0"/>
                <w:sz w:val="20"/>
                <w:szCs w:val="20"/>
              </w:rPr>
              <w:t>54</w:t>
            </w:r>
          </w:p>
        </w:tc>
        <w:tc>
          <w:tcPr>
            <w:tcW w:w="143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00" w:lineRule="exact"/>
              <w:jc w:val="right"/>
              <w:rPr>
                <w:rFonts w:ascii="宋体" w:hAnsi="宋体" w:cs="宋体"/>
                <w:color w:val="000000"/>
                <w:sz w:val="20"/>
                <w:szCs w:val="20"/>
              </w:rPr>
            </w:pPr>
            <w:r>
              <w:rPr>
                <w:rFonts w:hint="eastAsia" w:ascii="宋体" w:hAnsi="宋体" w:cs="宋体"/>
                <w:color w:val="000000"/>
                <w:sz w:val="20"/>
                <w:szCs w:val="20"/>
              </w:rPr>
              <w:t>1176.27</w:t>
            </w:r>
          </w:p>
        </w:tc>
      </w:tr>
      <w:tr>
        <w:tblPrEx>
          <w:tblCellMar>
            <w:top w:w="0" w:type="dxa"/>
            <w:left w:w="0" w:type="dxa"/>
            <w:bottom w:w="0" w:type="dxa"/>
            <w:right w:w="0" w:type="dxa"/>
          </w:tblCellMar>
        </w:tblPrEx>
        <w:trPr>
          <w:trHeight w:val="417" w:hRule="atLeast"/>
          <w:jc w:val="center"/>
        </w:trPr>
        <w:tc>
          <w:tcPr>
            <w:tcW w:w="9300"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00" w:lineRule="exact"/>
              <w:jc w:val="left"/>
              <w:textAlignment w:val="center"/>
              <w:rPr>
                <w:rFonts w:ascii="宋体" w:hAnsi="宋体" w:cs="宋体"/>
                <w:color w:val="000000"/>
                <w:szCs w:val="21"/>
              </w:rPr>
            </w:pPr>
            <w:r>
              <w:rPr>
                <w:rFonts w:hint="eastAsia" w:ascii="宋体" w:hAnsi="宋体" w:cs="宋体"/>
                <w:color w:val="000000"/>
                <w:kern w:val="0"/>
                <w:szCs w:val="21"/>
              </w:rPr>
              <w:t>注：本表反映部门本年度的总收支和年末结转结余情况。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335"/>
        <w:gridCol w:w="179"/>
        <w:gridCol w:w="520"/>
        <w:gridCol w:w="1318"/>
        <w:gridCol w:w="533"/>
        <w:gridCol w:w="260"/>
        <w:gridCol w:w="127"/>
        <w:gridCol w:w="688"/>
        <w:gridCol w:w="232"/>
        <w:gridCol w:w="584"/>
        <w:gridCol w:w="337"/>
        <w:gridCol w:w="478"/>
        <w:gridCol w:w="442"/>
        <w:gridCol w:w="373"/>
        <w:gridCol w:w="548"/>
        <w:gridCol w:w="920"/>
        <w:gridCol w:w="926"/>
      </w:tblGrid>
      <w:tr>
        <w:tblPrEx>
          <w:tblCellMar>
            <w:top w:w="0" w:type="dxa"/>
            <w:left w:w="0" w:type="dxa"/>
            <w:bottom w:w="0" w:type="dxa"/>
            <w:right w:w="0" w:type="dxa"/>
          </w:tblCellMar>
        </w:tblPrEx>
        <w:trPr>
          <w:trHeight w:val="770"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bottom"/>
          </w:tcPr>
          <w:p>
            <w:pPr>
              <w:widowControl/>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收入决算表</w:t>
            </w:r>
          </w:p>
        </w:tc>
      </w:tr>
      <w:tr>
        <w:tblPrEx>
          <w:tblCellMar>
            <w:top w:w="0" w:type="dxa"/>
            <w:left w:w="0" w:type="dxa"/>
            <w:bottom w:w="0" w:type="dxa"/>
            <w:right w:w="0" w:type="dxa"/>
          </w:tblCellMar>
        </w:tblPrEx>
        <w:trPr>
          <w:trHeight w:val="362" w:hRule="atLeast"/>
          <w:jc w:val="center"/>
        </w:trPr>
        <w:tc>
          <w:tcPr>
            <w:tcW w:w="33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7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2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1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53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公开02表</w:t>
            </w:r>
          </w:p>
        </w:tc>
      </w:tr>
      <w:tr>
        <w:tblPrEx>
          <w:tblCellMar>
            <w:top w:w="0" w:type="dxa"/>
            <w:left w:w="0" w:type="dxa"/>
            <w:bottom w:w="0" w:type="dxa"/>
            <w:right w:w="0" w:type="dxa"/>
          </w:tblCellMar>
        </w:tblPrEx>
        <w:trPr>
          <w:trHeight w:val="362" w:hRule="atLeast"/>
          <w:jc w:val="center"/>
        </w:trPr>
        <w:tc>
          <w:tcPr>
            <w:tcW w:w="288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2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6"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1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394"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5" w:hRule="atLeast"/>
          <w:jc w:val="center"/>
        </w:trPr>
        <w:tc>
          <w:tcPr>
            <w:tcW w:w="2352" w:type="dxa"/>
            <w:gridSpan w:val="4"/>
            <w:tcBorders>
              <w:top w:val="single" w:color="000000" w:sz="4" w:space="0"/>
              <w:left w:val="single" w:color="000000" w:sz="4" w:space="0"/>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项目</w:t>
            </w:r>
          </w:p>
        </w:tc>
        <w:tc>
          <w:tcPr>
            <w:tcW w:w="920" w:type="dxa"/>
            <w:gridSpan w:val="3"/>
            <w:vMerge w:val="restart"/>
            <w:tcBorders>
              <w:top w:val="single" w:color="auto" w:sz="4" w:space="0"/>
              <w:left w:val="single" w:color="auto" w:sz="4" w:space="0"/>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本年收入合计</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财政拨款收入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上级补助收入</w:t>
            </w:r>
          </w:p>
        </w:tc>
        <w:tc>
          <w:tcPr>
            <w:tcW w:w="920"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事业收入</w:t>
            </w:r>
          </w:p>
        </w:tc>
        <w:tc>
          <w:tcPr>
            <w:tcW w:w="921" w:type="dxa"/>
            <w:gridSpan w:val="2"/>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经营收入</w:t>
            </w:r>
          </w:p>
        </w:tc>
        <w:tc>
          <w:tcPr>
            <w:tcW w:w="920" w:type="dxa"/>
            <w:vMerge w:val="restart"/>
            <w:tcBorders>
              <w:top w:val="single" w:color="auto" w:sz="4" w:space="0"/>
              <w:left w:val="nil"/>
              <w:bottom w:val="single" w:color="auto"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附属单位上缴收入</w:t>
            </w:r>
          </w:p>
        </w:tc>
        <w:tc>
          <w:tcPr>
            <w:tcW w:w="926" w:type="dxa"/>
            <w:vMerge w:val="restart"/>
            <w:tcBorders>
              <w:top w:val="single" w:color="auto" w:sz="4" w:space="0"/>
              <w:left w:val="nil"/>
              <w:bottom w:val="single" w:color="auto"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r>
              <w:rPr>
                <w:rFonts w:hint="eastAsia" w:ascii="宋体" w:hAnsi="宋体" w:cs="宋体"/>
                <w:color w:val="000000"/>
                <w:kern w:val="0"/>
                <w:sz w:val="20"/>
                <w:szCs w:val="20"/>
              </w:rPr>
              <w:t>其他收入</w:t>
            </w:r>
          </w:p>
        </w:tc>
      </w:tr>
      <w:tr>
        <w:tblPrEx>
          <w:tblCellMar>
            <w:top w:w="0" w:type="dxa"/>
            <w:left w:w="0" w:type="dxa"/>
            <w:bottom w:w="0" w:type="dxa"/>
            <w:right w:w="0" w:type="dxa"/>
          </w:tblCellMar>
        </w:tblPrEx>
        <w:trPr>
          <w:trHeight w:val="626"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功能分类科目编码</w:t>
            </w:r>
          </w:p>
        </w:tc>
        <w:tc>
          <w:tcPr>
            <w:tcW w:w="1318" w:type="dxa"/>
            <w:tcBorders>
              <w:top w:val="nil"/>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科目名称</w:t>
            </w:r>
          </w:p>
        </w:tc>
        <w:tc>
          <w:tcPr>
            <w:tcW w:w="920" w:type="dxa"/>
            <w:gridSpan w:val="3"/>
            <w:vMerge w:val="continue"/>
            <w:tcBorders>
              <w:top w:val="single" w:color="auto" w:sz="4" w:space="0"/>
              <w:left w:val="single" w:color="auto"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1" w:type="dxa"/>
            <w:gridSpan w:val="2"/>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0" w:type="dxa"/>
            <w:vMerge w:val="continue"/>
            <w:tcBorders>
              <w:top w:val="single" w:color="auto"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c>
          <w:tcPr>
            <w:tcW w:w="926" w:type="dxa"/>
            <w:vMerge w:val="continue"/>
            <w:tcBorders>
              <w:top w:val="single" w:color="auto" w:sz="4" w:space="0"/>
              <w:left w:val="nil"/>
              <w:bottom w:val="single" w:color="000000" w:sz="4" w:space="0"/>
              <w:right w:val="single" w:color="auto"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20"/>
                <w:szCs w:val="20"/>
              </w:rPr>
            </w:pPr>
          </w:p>
        </w:tc>
      </w:tr>
      <w:tr>
        <w:tblPrEx>
          <w:tblCellMar>
            <w:top w:w="0" w:type="dxa"/>
            <w:left w:w="0" w:type="dxa"/>
            <w:bottom w:w="0" w:type="dxa"/>
            <w:right w:w="0" w:type="dxa"/>
          </w:tblCellMar>
        </w:tblPrEx>
        <w:trPr>
          <w:trHeight w:val="391"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92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9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921"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9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92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r>
      <w:tr>
        <w:tblPrEx>
          <w:tblCellMar>
            <w:top w:w="0" w:type="dxa"/>
            <w:left w:w="0" w:type="dxa"/>
            <w:bottom w:w="0" w:type="dxa"/>
            <w:right w:w="0" w:type="dxa"/>
          </w:tblCellMar>
        </w:tblPrEx>
        <w:trPr>
          <w:trHeight w:val="90" w:hRule="atLeast"/>
          <w:jc w:val="center"/>
        </w:trPr>
        <w:tc>
          <w:tcPr>
            <w:tcW w:w="235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920"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1176.27</w:t>
            </w: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kern w:val="0"/>
                <w:sz w:val="18"/>
                <w:szCs w:val="18"/>
              </w:rPr>
            </w:pPr>
            <w:r>
              <w:rPr>
                <w:rFonts w:hint="eastAsia" w:ascii="宋体" w:hAnsi="宋体" w:cs="宋体"/>
                <w:color w:val="000000"/>
                <w:kern w:val="0"/>
                <w:sz w:val="18"/>
                <w:szCs w:val="18"/>
              </w:rPr>
              <w:t>1176.27</w:t>
            </w: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1" w:type="dxa"/>
            <w:gridSpan w:val="2"/>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0"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c>
          <w:tcPr>
            <w:tcW w:w="926" w:type="dxa"/>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 w:val="18"/>
                <w:szCs w:val="18"/>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1151.04</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1151.04</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财政事务</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1151.04</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1151.04</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981.87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981.87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2010607</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信息化建设</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7.79</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7.79</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财政委托业务支出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2010699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其他财政事务支出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111.37</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111.37</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13.2</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13.2</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13.2</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农林水支出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71" w:hRule="atLeast"/>
          <w:jc w:val="center"/>
        </w:trPr>
        <w:tc>
          <w:tcPr>
            <w:tcW w:w="1034"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2130199</w:t>
            </w:r>
          </w:p>
        </w:tc>
        <w:tc>
          <w:tcPr>
            <w:tcW w:w="131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其他农业支出</w:t>
            </w:r>
          </w:p>
        </w:tc>
        <w:tc>
          <w:tcPr>
            <w:tcW w:w="92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w:t>
            </w: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8</w:t>
            </w: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1"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9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481" w:hRule="atLeast"/>
          <w:jc w:val="center"/>
        </w:trPr>
        <w:tc>
          <w:tcPr>
            <w:tcW w:w="8800"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注：本表反映部门本年度取得的各项收入情况。</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000" w:type="dxa"/>
        <w:tblInd w:w="0" w:type="dxa"/>
        <w:tblLayout w:type="fixed"/>
        <w:tblCellMar>
          <w:top w:w="0" w:type="dxa"/>
          <w:left w:w="0" w:type="dxa"/>
          <w:bottom w:w="0" w:type="dxa"/>
          <w:right w:w="0" w:type="dxa"/>
        </w:tblCellMar>
      </w:tblPr>
      <w:tblGrid>
        <w:gridCol w:w="290"/>
        <w:gridCol w:w="289"/>
        <w:gridCol w:w="803"/>
        <w:gridCol w:w="335"/>
        <w:gridCol w:w="745"/>
        <w:gridCol w:w="37"/>
        <w:gridCol w:w="288"/>
        <w:gridCol w:w="359"/>
        <w:gridCol w:w="436"/>
        <w:gridCol w:w="55"/>
        <w:gridCol w:w="627"/>
        <w:gridCol w:w="402"/>
        <w:gridCol w:w="718"/>
        <w:gridCol w:w="365"/>
        <w:gridCol w:w="12"/>
        <w:gridCol w:w="191"/>
        <w:gridCol w:w="360"/>
        <w:gridCol w:w="190"/>
        <w:gridCol w:w="331"/>
        <w:gridCol w:w="129"/>
        <w:gridCol w:w="226"/>
        <w:gridCol w:w="434"/>
        <w:gridCol w:w="165"/>
        <w:gridCol w:w="129"/>
        <w:gridCol w:w="148"/>
        <w:gridCol w:w="876"/>
        <w:gridCol w:w="60"/>
      </w:tblGrid>
      <w:tr>
        <w:tblPrEx>
          <w:tblCellMar>
            <w:top w:w="0" w:type="dxa"/>
            <w:left w:w="0" w:type="dxa"/>
            <w:bottom w:w="0" w:type="dxa"/>
            <w:right w:w="0" w:type="dxa"/>
          </w:tblCellMar>
        </w:tblPrEx>
        <w:trPr>
          <w:trHeight w:val="798" w:hRule="atLeast"/>
        </w:trPr>
        <w:tc>
          <w:tcPr>
            <w:tcW w:w="9000" w:type="dxa"/>
            <w:gridSpan w:val="2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rPr>
                <w:rFonts w:ascii="黑体" w:hAnsi="宋体" w:eastAsia="黑体" w:cs="黑体"/>
                <w:color w:val="000000"/>
                <w:sz w:val="40"/>
                <w:szCs w:val="40"/>
              </w:rPr>
            </w:pPr>
            <w:r>
              <w:rPr>
                <w:rFonts w:hint="eastAsia" w:ascii="黑体" w:hAnsi="宋体" w:eastAsia="黑体" w:cs="黑体"/>
                <w:color w:val="000000"/>
                <w:kern w:val="0"/>
                <w:sz w:val="40"/>
                <w:szCs w:val="40"/>
              </w:rPr>
              <w:t>支出决算表</w:t>
            </w:r>
          </w:p>
        </w:tc>
      </w:tr>
      <w:tr>
        <w:tblPrEx>
          <w:tblCellMar>
            <w:top w:w="0" w:type="dxa"/>
            <w:left w:w="0" w:type="dxa"/>
            <w:bottom w:w="0" w:type="dxa"/>
            <w:right w:w="0" w:type="dxa"/>
          </w:tblCellMar>
        </w:tblPrEx>
        <w:trPr>
          <w:trHeight w:val="404" w:hRule="atLeast"/>
        </w:trPr>
        <w:tc>
          <w:tcPr>
            <w:tcW w:w="29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8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80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7"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647"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378"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公开03表</w:t>
            </w:r>
          </w:p>
        </w:tc>
      </w:tr>
      <w:tr>
        <w:tblPrEx>
          <w:tblCellMar>
            <w:top w:w="0" w:type="dxa"/>
            <w:left w:w="0" w:type="dxa"/>
            <w:bottom w:w="0" w:type="dxa"/>
            <w:right w:w="0" w:type="dxa"/>
          </w:tblCellMar>
        </w:tblPrEx>
        <w:trPr>
          <w:trHeight w:val="380" w:hRule="atLeast"/>
        </w:trPr>
        <w:tc>
          <w:tcPr>
            <w:tcW w:w="3146" w:type="dxa"/>
            <w:gridSpan w:val="8"/>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118"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20"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118"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498"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837" w:hRule="atLeast"/>
        </w:trPr>
        <w:tc>
          <w:tcPr>
            <w:tcW w:w="2499"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083" w:type="dxa"/>
            <w:gridSpan w:val="3"/>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本年支出合计</w:t>
            </w:r>
          </w:p>
        </w:tc>
        <w:tc>
          <w:tcPr>
            <w:tcW w:w="1084" w:type="dxa"/>
            <w:gridSpan w:val="3"/>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083" w:type="dxa"/>
            <w:gridSpan w:val="2"/>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084" w:type="dxa"/>
            <w:gridSpan w:val="5"/>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上缴上级支出</w:t>
            </w:r>
          </w:p>
        </w:tc>
        <w:tc>
          <w:tcPr>
            <w:tcW w:w="1083" w:type="dxa"/>
            <w:gridSpan w:val="5"/>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经营支出</w:t>
            </w:r>
          </w:p>
        </w:tc>
        <w:tc>
          <w:tcPr>
            <w:tcW w:w="1084" w:type="dxa"/>
            <w:gridSpan w:val="3"/>
            <w:vMerge w:val="restart"/>
            <w:tcBorders>
              <w:top w:val="single" w:color="000000" w:sz="4" w:space="0"/>
              <w:left w:val="nil"/>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对附属单位补助支出</w:t>
            </w:r>
          </w:p>
        </w:tc>
      </w:tr>
      <w:tr>
        <w:tblPrEx>
          <w:tblCellMar>
            <w:top w:w="0" w:type="dxa"/>
            <w:left w:w="0" w:type="dxa"/>
            <w:bottom w:w="0" w:type="dxa"/>
            <w:right w:w="0" w:type="dxa"/>
          </w:tblCellMar>
        </w:tblPrEx>
        <w:trPr>
          <w:trHeight w:val="782"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11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083" w:type="dxa"/>
            <w:gridSpan w:val="3"/>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3"/>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2"/>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5"/>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3" w:type="dxa"/>
            <w:gridSpan w:val="5"/>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084" w:type="dxa"/>
            <w:gridSpan w:val="3"/>
            <w:vMerge w:val="continue"/>
            <w:tcBorders>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95" w:hRule="atLeast"/>
        </w:trPr>
        <w:tc>
          <w:tcPr>
            <w:tcW w:w="2499"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0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084"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08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40" w:hRule="atLeast"/>
        </w:trPr>
        <w:tc>
          <w:tcPr>
            <w:tcW w:w="2499"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0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1172.27</w:t>
            </w: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960.94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211.33</w:t>
            </w:r>
          </w:p>
        </w:tc>
        <w:tc>
          <w:tcPr>
            <w:tcW w:w="1084"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p>
        </w:tc>
      </w:tr>
      <w:tr>
        <w:tblPrEx>
          <w:tblCellMar>
            <w:top w:w="0" w:type="dxa"/>
            <w:left w:w="0" w:type="dxa"/>
            <w:bottom w:w="0" w:type="dxa"/>
            <w:right w:w="0" w:type="dxa"/>
          </w:tblCellMar>
        </w:tblPrEx>
        <w:trPr>
          <w:trHeight w:val="283"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111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0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1151.04</w:t>
            </w: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939.71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211.33</w:t>
            </w:r>
          </w:p>
        </w:tc>
        <w:tc>
          <w:tcPr>
            <w:tcW w:w="1084"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83"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w:t>
            </w:r>
          </w:p>
        </w:tc>
        <w:tc>
          <w:tcPr>
            <w:tcW w:w="111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财政事务</w:t>
            </w:r>
          </w:p>
        </w:tc>
        <w:tc>
          <w:tcPr>
            <w:tcW w:w="10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1151.04</w:t>
            </w: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939.71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211.33</w:t>
            </w:r>
          </w:p>
        </w:tc>
        <w:tc>
          <w:tcPr>
            <w:tcW w:w="1084"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83"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2010601</w:t>
            </w:r>
          </w:p>
        </w:tc>
        <w:tc>
          <w:tcPr>
            <w:tcW w:w="111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0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981.87</w:t>
            </w: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939.71</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42.16</w:t>
            </w:r>
          </w:p>
        </w:tc>
        <w:tc>
          <w:tcPr>
            <w:tcW w:w="1084"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83"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2010607</w:t>
            </w:r>
          </w:p>
        </w:tc>
        <w:tc>
          <w:tcPr>
            <w:tcW w:w="111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信息化建设</w:t>
            </w:r>
          </w:p>
        </w:tc>
        <w:tc>
          <w:tcPr>
            <w:tcW w:w="10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7.79</w:t>
            </w: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7.79</w:t>
            </w:r>
          </w:p>
        </w:tc>
        <w:tc>
          <w:tcPr>
            <w:tcW w:w="1084"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83"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2010608</w:t>
            </w:r>
          </w:p>
        </w:tc>
        <w:tc>
          <w:tcPr>
            <w:tcW w:w="111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财政委托业务支出</w:t>
            </w:r>
          </w:p>
        </w:tc>
        <w:tc>
          <w:tcPr>
            <w:tcW w:w="10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w:t>
            </w: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w:t>
            </w:r>
          </w:p>
        </w:tc>
        <w:tc>
          <w:tcPr>
            <w:tcW w:w="1084"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83"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2010699</w:t>
            </w:r>
          </w:p>
        </w:tc>
        <w:tc>
          <w:tcPr>
            <w:tcW w:w="111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其他财政事务支出</w:t>
            </w:r>
          </w:p>
        </w:tc>
        <w:tc>
          <w:tcPr>
            <w:tcW w:w="10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111.37</w:t>
            </w: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111.37</w:t>
            </w:r>
          </w:p>
        </w:tc>
        <w:tc>
          <w:tcPr>
            <w:tcW w:w="1084"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83"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111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0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w:t>
            </w: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83"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111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10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w:t>
            </w: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83"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w:t>
            </w:r>
          </w:p>
        </w:tc>
        <w:tc>
          <w:tcPr>
            <w:tcW w:w="111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10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13.2</w:t>
            </w: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83"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2089901</w:t>
            </w:r>
          </w:p>
        </w:tc>
        <w:tc>
          <w:tcPr>
            <w:tcW w:w="111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10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13.2</w:t>
            </w: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13.2</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83"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w:t>
            </w:r>
          </w:p>
        </w:tc>
        <w:tc>
          <w:tcPr>
            <w:tcW w:w="111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农林水支出</w:t>
            </w:r>
          </w:p>
        </w:tc>
        <w:tc>
          <w:tcPr>
            <w:tcW w:w="10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83"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w:t>
            </w:r>
          </w:p>
        </w:tc>
        <w:tc>
          <w:tcPr>
            <w:tcW w:w="111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w:t>
            </w:r>
          </w:p>
        </w:tc>
        <w:tc>
          <w:tcPr>
            <w:tcW w:w="10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283" w:hRule="atLeast"/>
        </w:trPr>
        <w:tc>
          <w:tcPr>
            <w:tcW w:w="1382"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2130199</w:t>
            </w:r>
          </w:p>
        </w:tc>
        <w:tc>
          <w:tcPr>
            <w:tcW w:w="1117"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其他农业支出</w:t>
            </w:r>
          </w:p>
        </w:tc>
        <w:tc>
          <w:tcPr>
            <w:tcW w:w="1083"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p>
        </w:tc>
        <w:tc>
          <w:tcPr>
            <w:tcW w:w="1083"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3"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084"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748" w:hRule="atLeast"/>
        </w:trPr>
        <w:tc>
          <w:tcPr>
            <w:tcW w:w="9000" w:type="dxa"/>
            <w:gridSpan w:val="2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注：本表反映部门本年度各项支出情况。</w:t>
            </w:r>
          </w:p>
        </w:tc>
      </w:tr>
      <w:tr>
        <w:tblPrEx>
          <w:tblCellMar>
            <w:top w:w="0" w:type="dxa"/>
            <w:left w:w="0" w:type="dxa"/>
            <w:bottom w:w="0" w:type="dxa"/>
            <w:right w:w="0" w:type="dxa"/>
          </w:tblCellMar>
        </w:tblPrEx>
        <w:trPr>
          <w:trHeight w:val="748" w:hRule="atLeast"/>
        </w:trPr>
        <w:tc>
          <w:tcPr>
            <w:tcW w:w="9000" w:type="dxa"/>
            <w:gridSpan w:val="2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kern w:val="0"/>
                <w:szCs w:val="21"/>
              </w:rPr>
            </w:pPr>
          </w:p>
        </w:tc>
      </w:tr>
      <w:tr>
        <w:tblPrEx>
          <w:tblCellMar>
            <w:top w:w="0" w:type="dxa"/>
            <w:left w:w="0" w:type="dxa"/>
            <w:bottom w:w="0" w:type="dxa"/>
            <w:right w:w="0" w:type="dxa"/>
          </w:tblCellMar>
        </w:tblPrEx>
        <w:trPr>
          <w:gridAfter w:val="1"/>
          <w:wAfter w:w="60" w:type="dxa"/>
          <w:trHeight w:val="152" w:hRule="atLeast"/>
        </w:trPr>
        <w:tc>
          <w:tcPr>
            <w:tcW w:w="8940" w:type="dxa"/>
            <w:gridSpan w:val="2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财政拨款收入支出决算总表</w:t>
            </w:r>
          </w:p>
        </w:tc>
      </w:tr>
      <w:tr>
        <w:tblPrEx>
          <w:tblCellMar>
            <w:top w:w="0" w:type="dxa"/>
            <w:left w:w="0" w:type="dxa"/>
            <w:bottom w:w="0" w:type="dxa"/>
            <w:right w:w="0" w:type="dxa"/>
          </w:tblCellMar>
        </w:tblPrEx>
        <w:trPr>
          <w:gridAfter w:val="1"/>
          <w:wAfter w:w="60" w:type="dxa"/>
          <w:trHeight w:val="90" w:hRule="atLeast"/>
        </w:trPr>
        <w:tc>
          <w:tcPr>
            <w:tcW w:w="1717" w:type="dxa"/>
            <w:gridSpan w:val="4"/>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32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2974" w:type="dxa"/>
            <w:gridSpan w:val="8"/>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55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650"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825"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153"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公开04表</w:t>
            </w:r>
          </w:p>
        </w:tc>
      </w:tr>
      <w:tr>
        <w:tblPrEx>
          <w:tblCellMar>
            <w:top w:w="0" w:type="dxa"/>
            <w:left w:w="0" w:type="dxa"/>
            <w:bottom w:w="0" w:type="dxa"/>
            <w:right w:w="0" w:type="dxa"/>
          </w:tblCellMar>
        </w:tblPrEx>
        <w:trPr>
          <w:gridAfter w:val="1"/>
          <w:wAfter w:w="60" w:type="dxa"/>
          <w:trHeight w:val="152" w:hRule="atLeast"/>
        </w:trPr>
        <w:tc>
          <w:tcPr>
            <w:tcW w:w="6312" w:type="dxa"/>
            <w:gridSpan w:val="17"/>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650" w:type="dxa"/>
            <w:gridSpan w:val="3"/>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 w:val="20"/>
                <w:szCs w:val="20"/>
              </w:rPr>
            </w:pPr>
          </w:p>
        </w:tc>
        <w:tc>
          <w:tcPr>
            <w:tcW w:w="1978" w:type="dxa"/>
            <w:gridSpan w:val="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gridAfter w:val="1"/>
          <w:wAfter w:w="60" w:type="dxa"/>
          <w:trHeight w:val="90" w:hRule="atLeast"/>
        </w:trPr>
        <w:tc>
          <w:tcPr>
            <w:tcW w:w="2787"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收     入</w:t>
            </w:r>
          </w:p>
        </w:tc>
        <w:tc>
          <w:tcPr>
            <w:tcW w:w="6153" w:type="dxa"/>
            <w:gridSpan w:val="1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20"/>
                <w:szCs w:val="20"/>
              </w:rPr>
            </w:pPr>
            <w:r>
              <w:rPr>
                <w:rFonts w:hint="eastAsia" w:ascii="宋体" w:hAnsi="宋体" w:cs="宋体"/>
                <w:color w:val="000000"/>
                <w:kern w:val="0"/>
                <w:sz w:val="20"/>
                <w:szCs w:val="20"/>
              </w:rPr>
              <w:t>支     出</w:t>
            </w:r>
          </w:p>
        </w:tc>
      </w:tr>
      <w:tr>
        <w:tblPrEx>
          <w:tblCellMar>
            <w:top w:w="0" w:type="dxa"/>
            <w:left w:w="0" w:type="dxa"/>
            <w:bottom w:w="0" w:type="dxa"/>
            <w:right w:w="0" w:type="dxa"/>
          </w:tblCellMar>
        </w:tblPrEx>
        <w:trPr>
          <w:gridAfter w:val="1"/>
          <w:wAfter w:w="60" w:type="dxa"/>
          <w:trHeight w:val="17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金额</w:t>
            </w: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项目</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行次</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合计</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一般公共预算财政拨款</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政府性基金预算财政拨款</w:t>
            </w: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栏次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r>
      <w:tr>
        <w:tblPrEx>
          <w:tblCellMar>
            <w:top w:w="0" w:type="dxa"/>
            <w:left w:w="0" w:type="dxa"/>
            <w:bottom w:w="0" w:type="dxa"/>
            <w:right w:w="0" w:type="dxa"/>
          </w:tblCellMar>
        </w:tblPrEx>
        <w:trPr>
          <w:gridAfter w:val="1"/>
          <w:wAfter w:w="60" w:type="dxa"/>
          <w:trHeight w:val="12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一、一般公共预算财政拨款</w:t>
            </w: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1176.27</w:t>
            </w: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一、一般公共服务支出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29</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1151.04</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12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二、政府性基金预算财政拨款</w:t>
            </w: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二、外交支出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30</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201"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三、国防支出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31</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四、公共安全支出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32</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五、教育支出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33</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6</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六、科学技术支出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34</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7</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七、文化体育与传媒支出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35</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8</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八、社会保障和就业支出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36</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17.23</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9</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6"/>
                <w:szCs w:val="16"/>
              </w:rPr>
              <w:t>九、医疗卫生与计划生育支出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37</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10</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十、节能环保支出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38</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11</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十一、城乡社区支出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39</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12</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十二、农林水支出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40</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13</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十三、交通运输支出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41</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14</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十四、资源勘探信息等支出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42</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15</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十五、商业服务业等支出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43</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16</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十六、金融支出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44</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17</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十七、援助其他地区支出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45</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18</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十八、国土海洋气象等支出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46</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19</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十九、住房保障支出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47</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20</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二十、粮油物资储备支出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48</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21</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二十一、其他支出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49</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22</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二十二、债务还本支出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50</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181"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23</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二十三、债务付息支出</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51</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本年收入合计</w:t>
            </w: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24</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1176.27</w:t>
            </w: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本年支出合计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52</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1172.27</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12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年初财政拨款结转和结余</w:t>
            </w: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25</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年末财政拨款结转和结余</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53</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4</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12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一般公共预算财政拨款</w:t>
            </w: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26</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54</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12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 xml:space="preserve">  政府性基金预算财政拨款</w:t>
            </w: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27</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 w:val="18"/>
                <w:szCs w:val="18"/>
              </w:rPr>
            </w:pP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55</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90" w:hRule="atLeast"/>
        </w:trPr>
        <w:tc>
          <w:tcPr>
            <w:tcW w:w="2462"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2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28</w:t>
            </w:r>
          </w:p>
        </w:tc>
        <w:tc>
          <w:tcPr>
            <w:tcW w:w="850" w:type="dxa"/>
            <w:gridSpan w:val="3"/>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1176.27</w:t>
            </w:r>
          </w:p>
        </w:tc>
        <w:tc>
          <w:tcPr>
            <w:tcW w:w="2315" w:type="dxa"/>
            <w:gridSpan w:val="6"/>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b/>
                <w:color w:val="000000"/>
                <w:sz w:val="18"/>
                <w:szCs w:val="18"/>
              </w:rPr>
            </w:pPr>
            <w:r>
              <w:rPr>
                <w:rFonts w:hint="eastAsia" w:ascii="宋体" w:hAnsi="宋体" w:cs="宋体"/>
                <w:b/>
                <w:color w:val="000000"/>
                <w:kern w:val="0"/>
                <w:sz w:val="18"/>
                <w:szCs w:val="18"/>
              </w:rPr>
              <w:t>总计</w:t>
            </w:r>
          </w:p>
        </w:tc>
        <w:tc>
          <w:tcPr>
            <w:tcW w:w="3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 w:val="18"/>
                <w:szCs w:val="18"/>
              </w:rPr>
            </w:pPr>
            <w:r>
              <w:rPr>
                <w:rFonts w:hint="eastAsia" w:ascii="宋体" w:hAnsi="宋体" w:cs="宋体"/>
                <w:color w:val="000000"/>
                <w:kern w:val="0"/>
                <w:sz w:val="18"/>
                <w:szCs w:val="18"/>
              </w:rPr>
              <w:t>56</w:t>
            </w: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c>
          <w:tcPr>
            <w:tcW w:w="876" w:type="dxa"/>
            <w:gridSpan w:val="4"/>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r>
              <w:rPr>
                <w:rFonts w:hint="eastAsia" w:ascii="宋体" w:hAnsi="宋体" w:cs="宋体"/>
                <w:color w:val="000000"/>
                <w:sz w:val="18"/>
                <w:szCs w:val="18"/>
              </w:rPr>
              <w:t>1176.27</w:t>
            </w:r>
          </w:p>
        </w:tc>
        <w:tc>
          <w:tcPr>
            <w:tcW w:w="87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 w:val="18"/>
                <w:szCs w:val="18"/>
              </w:rPr>
            </w:pPr>
          </w:p>
        </w:tc>
      </w:tr>
      <w:tr>
        <w:tblPrEx>
          <w:tblCellMar>
            <w:top w:w="0" w:type="dxa"/>
            <w:left w:w="0" w:type="dxa"/>
            <w:bottom w:w="0" w:type="dxa"/>
            <w:right w:w="0" w:type="dxa"/>
          </w:tblCellMar>
        </w:tblPrEx>
        <w:trPr>
          <w:gridAfter w:val="1"/>
          <w:wAfter w:w="60" w:type="dxa"/>
          <w:trHeight w:val="155" w:hRule="atLeast"/>
        </w:trPr>
        <w:tc>
          <w:tcPr>
            <w:tcW w:w="8940" w:type="dxa"/>
            <w:gridSpan w:val="26"/>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 w:val="18"/>
                <w:szCs w:val="18"/>
              </w:rPr>
            </w:pPr>
            <w:r>
              <w:rPr>
                <w:rFonts w:hint="eastAsia" w:ascii="宋体" w:hAnsi="宋体" w:cs="宋体"/>
                <w:color w:val="000000"/>
                <w:kern w:val="0"/>
                <w:sz w:val="18"/>
                <w:szCs w:val="18"/>
              </w:rPr>
              <w:t>注：本表反映部门本年度一般公共预算财政拨款和政府性基金预算财政拨款的总收支和年末结转结余情况。</w:t>
            </w:r>
          </w:p>
        </w:tc>
      </w:tr>
    </w:tbl>
    <w:p>
      <w:pPr>
        <w:widowControl/>
        <w:spacing w:after="0" w:line="560" w:lineRule="exact"/>
        <w:jc w:val="left"/>
        <w:rPr>
          <w:rFonts w:ascii="仿宋_GB2312" w:hAnsiTheme="majorEastAsia" w:eastAsiaTheme="min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317"/>
        <w:gridCol w:w="319"/>
        <w:gridCol w:w="357"/>
        <w:gridCol w:w="2109"/>
        <w:gridCol w:w="745"/>
        <w:gridCol w:w="1174"/>
        <w:gridCol w:w="718"/>
        <w:gridCol w:w="1201"/>
        <w:gridCol w:w="1920"/>
      </w:tblGrid>
      <w:tr>
        <w:tblPrEx>
          <w:tblCellMar>
            <w:top w:w="0" w:type="dxa"/>
            <w:left w:w="0" w:type="dxa"/>
            <w:bottom w:w="0" w:type="dxa"/>
            <w:right w:w="0" w:type="dxa"/>
          </w:tblCellMar>
        </w:tblPrEx>
        <w:trPr>
          <w:trHeight w:val="600" w:hRule="atLeast"/>
        </w:trPr>
        <w:tc>
          <w:tcPr>
            <w:tcW w:w="8860" w:type="dxa"/>
            <w:gridSpan w:val="9"/>
            <w:tcBorders>
              <w:top w:val="nil"/>
              <w:left w:val="nil"/>
              <w:bottom w:val="nil"/>
              <w:right w:val="nil"/>
            </w:tcBorders>
            <w:shd w:val="clear" w:color="auto" w:fill="auto"/>
            <w:tcMar>
              <w:top w:w="15" w:type="dxa"/>
              <w:left w:w="15" w:type="dxa"/>
              <w:right w:w="15" w:type="dxa"/>
            </w:tcMar>
            <w:vAlign w:val="bottom"/>
          </w:tcPr>
          <w:p>
            <w:pPr>
              <w:widowControl/>
              <w:spacing w:after="0" w:line="240" w:lineRule="auto"/>
              <w:jc w:val="center"/>
              <w:textAlignment w:val="bottom"/>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一般公共预算财政拨款支出决算表</w:t>
            </w:r>
          </w:p>
        </w:tc>
      </w:tr>
      <w:tr>
        <w:tblPrEx>
          <w:tblCellMar>
            <w:top w:w="0" w:type="dxa"/>
            <w:left w:w="0" w:type="dxa"/>
            <w:bottom w:w="0" w:type="dxa"/>
            <w:right w:w="0" w:type="dxa"/>
          </w:tblCellMar>
        </w:tblPrEx>
        <w:trPr>
          <w:trHeight w:val="334" w:hRule="atLeast"/>
        </w:trPr>
        <w:tc>
          <w:tcPr>
            <w:tcW w:w="31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5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2109"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745"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公开05表</w:t>
            </w:r>
          </w:p>
        </w:tc>
      </w:tr>
      <w:tr>
        <w:tblPrEx>
          <w:tblCellMar>
            <w:top w:w="0" w:type="dxa"/>
            <w:left w:w="0" w:type="dxa"/>
            <w:bottom w:w="0" w:type="dxa"/>
            <w:right w:w="0" w:type="dxa"/>
          </w:tblCellMar>
        </w:tblPrEx>
        <w:trPr>
          <w:trHeight w:val="334" w:hRule="atLeast"/>
        </w:trPr>
        <w:tc>
          <w:tcPr>
            <w:tcW w:w="3847"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1892"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rPr>
                <w:rFonts w:ascii="Arial" w:hAnsi="Arial" w:cs="Arial"/>
                <w:color w:val="000000"/>
                <w:szCs w:val="21"/>
              </w:rPr>
            </w:pPr>
          </w:p>
        </w:tc>
        <w:tc>
          <w:tcPr>
            <w:tcW w:w="3121"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51" w:hRule="atLeast"/>
        </w:trPr>
        <w:tc>
          <w:tcPr>
            <w:tcW w:w="3102" w:type="dxa"/>
            <w:gridSpan w:val="4"/>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5758"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本年支出</w:t>
            </w:r>
          </w:p>
        </w:tc>
      </w:tr>
      <w:tr>
        <w:tblPrEx>
          <w:tblCellMar>
            <w:top w:w="0" w:type="dxa"/>
            <w:left w:w="0" w:type="dxa"/>
            <w:bottom w:w="0" w:type="dxa"/>
            <w:right w:w="0" w:type="dxa"/>
          </w:tblCellMar>
        </w:tblPrEx>
        <w:trPr>
          <w:trHeight w:val="334" w:hRule="atLeast"/>
        </w:trPr>
        <w:tc>
          <w:tcPr>
            <w:tcW w:w="993"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2109"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919"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92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项目支出</w:t>
            </w:r>
          </w:p>
        </w:tc>
      </w:tr>
      <w:tr>
        <w:tblPrEx>
          <w:tblCellMar>
            <w:top w:w="0" w:type="dxa"/>
            <w:left w:w="0" w:type="dxa"/>
            <w:bottom w:w="0" w:type="dxa"/>
            <w:right w:w="0" w:type="dxa"/>
          </w:tblCellMar>
        </w:tblPrEx>
        <w:trPr>
          <w:trHeight w:val="334"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93"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2109"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19"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c>
          <w:tcPr>
            <w:tcW w:w="192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3</w:t>
            </w:r>
          </w:p>
        </w:tc>
      </w:tr>
      <w:tr>
        <w:tblPrEx>
          <w:tblCellMar>
            <w:top w:w="0" w:type="dxa"/>
            <w:left w:w="0" w:type="dxa"/>
            <w:bottom w:w="0" w:type="dxa"/>
            <w:right w:w="0" w:type="dxa"/>
          </w:tblCellMar>
        </w:tblPrEx>
        <w:trPr>
          <w:trHeight w:val="368" w:hRule="atLeast"/>
        </w:trPr>
        <w:tc>
          <w:tcPr>
            <w:tcW w:w="3102"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1172.27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960.94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b/>
                <w:color w:val="000000"/>
                <w:szCs w:val="21"/>
              </w:rPr>
            </w:pPr>
            <w:r>
              <w:rPr>
                <w:rFonts w:hint="eastAsia" w:ascii="宋体" w:hAnsi="宋体" w:cs="宋体"/>
                <w:b/>
                <w:color w:val="000000"/>
                <w:szCs w:val="21"/>
              </w:rPr>
              <w:t>211.33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一般公共服务支出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1151.04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939.71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211.33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财政事务</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1151.04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939.71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211.33</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行政运行</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981.87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939.71</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42.16</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2010607</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信息化建设</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7.79</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7.79</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财政委托业务支出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50</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2010699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其他财政事务支出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111.37</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111.37</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111.37</w:t>
            </w: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抚恤</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2080801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死亡抚恤</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4.02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2089901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其他社会保障和就业支出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13.2</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13.2</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农林水支出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农业</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2130199</w:t>
            </w: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r>
              <w:rPr>
                <w:rFonts w:hint="eastAsia" w:ascii="宋体" w:hAnsi="宋体" w:cs="宋体"/>
                <w:color w:val="000000"/>
                <w:szCs w:val="21"/>
              </w:rPr>
              <w:t>其他农业支出</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r>
              <w:rPr>
                <w:rFonts w:hint="eastAsia" w:ascii="宋体" w:hAnsi="宋体" w:cs="宋体"/>
                <w:color w:val="000000"/>
                <w:szCs w:val="21"/>
              </w:rPr>
              <w:t>4</w:t>
            </w: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993"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210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lef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19"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c>
          <w:tcPr>
            <w:tcW w:w="192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tLeast"/>
              <w:jc w:val="right"/>
              <w:rPr>
                <w:rFonts w:ascii="宋体" w:hAnsi="宋体" w:cs="宋体"/>
                <w:color w:val="000000"/>
                <w:szCs w:val="21"/>
              </w:rPr>
            </w:pPr>
          </w:p>
        </w:tc>
      </w:tr>
      <w:tr>
        <w:tblPrEx>
          <w:tblCellMar>
            <w:top w:w="0" w:type="dxa"/>
            <w:left w:w="0" w:type="dxa"/>
            <w:bottom w:w="0" w:type="dxa"/>
            <w:right w:w="0" w:type="dxa"/>
          </w:tblCellMar>
        </w:tblPrEx>
        <w:trPr>
          <w:trHeight w:val="368" w:hRule="atLeast"/>
        </w:trPr>
        <w:tc>
          <w:tcPr>
            <w:tcW w:w="886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tLeast"/>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注：本表反映部门本年度一般公共预算财政拨款收入及支出情况。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9180" w:type="dxa"/>
        <w:jc w:val="center"/>
        <w:tblLayout w:type="fixed"/>
        <w:tblCellMar>
          <w:top w:w="0" w:type="dxa"/>
          <w:left w:w="0" w:type="dxa"/>
          <w:bottom w:w="0" w:type="dxa"/>
          <w:right w:w="0" w:type="dxa"/>
        </w:tblCellMar>
      </w:tblPr>
      <w:tblGrid>
        <w:gridCol w:w="558"/>
        <w:gridCol w:w="1597"/>
        <w:gridCol w:w="840"/>
        <w:gridCol w:w="477"/>
        <w:gridCol w:w="1763"/>
        <w:gridCol w:w="740"/>
        <w:gridCol w:w="560"/>
        <w:gridCol w:w="1788"/>
        <w:gridCol w:w="857"/>
      </w:tblGrid>
      <w:tr>
        <w:tblPrEx>
          <w:tblCellMar>
            <w:top w:w="0" w:type="dxa"/>
            <w:left w:w="0" w:type="dxa"/>
            <w:bottom w:w="0" w:type="dxa"/>
            <w:right w:w="0" w:type="dxa"/>
          </w:tblCellMar>
        </w:tblPrEx>
        <w:trPr>
          <w:trHeight w:val="526"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一般公共预算财政拨款基本支出决算表</w:t>
            </w:r>
          </w:p>
        </w:tc>
      </w:tr>
      <w:tr>
        <w:tblPrEx>
          <w:tblCellMar>
            <w:top w:w="0" w:type="dxa"/>
            <w:left w:w="0" w:type="dxa"/>
            <w:bottom w:w="0" w:type="dxa"/>
            <w:right w:w="0" w:type="dxa"/>
          </w:tblCellMar>
        </w:tblPrEx>
        <w:trPr>
          <w:trHeight w:val="269" w:hRule="atLeast"/>
          <w:jc w:val="center"/>
        </w:trPr>
        <w:tc>
          <w:tcPr>
            <w:tcW w:w="55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59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477"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763"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公开06表</w:t>
            </w:r>
          </w:p>
        </w:tc>
      </w:tr>
      <w:tr>
        <w:tblPrEx>
          <w:tblCellMar>
            <w:top w:w="0" w:type="dxa"/>
            <w:left w:w="0" w:type="dxa"/>
            <w:bottom w:w="0" w:type="dxa"/>
            <w:right w:w="0" w:type="dxa"/>
          </w:tblCellMar>
        </w:tblPrEx>
        <w:trPr>
          <w:trHeight w:val="269" w:hRule="atLeast"/>
          <w:jc w:val="center"/>
        </w:trPr>
        <w:tc>
          <w:tcPr>
            <w:tcW w:w="5235" w:type="dxa"/>
            <w:gridSpan w:val="5"/>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部门：</w:t>
            </w:r>
          </w:p>
        </w:tc>
        <w:tc>
          <w:tcPr>
            <w:tcW w:w="74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60"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64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277" w:hRule="atLeast"/>
          <w:jc w:val="center"/>
        </w:trPr>
        <w:tc>
          <w:tcPr>
            <w:tcW w:w="299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人员经费</w:t>
            </w:r>
          </w:p>
        </w:tc>
        <w:tc>
          <w:tcPr>
            <w:tcW w:w="6185" w:type="dxa"/>
            <w:gridSpan w:val="6"/>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公用经费</w:t>
            </w:r>
          </w:p>
        </w:tc>
      </w:tr>
      <w:tr>
        <w:tblPrEx>
          <w:tblCellMar>
            <w:top w:w="0" w:type="dxa"/>
            <w:left w:w="0" w:type="dxa"/>
            <w:bottom w:w="0" w:type="dxa"/>
            <w:right w:w="0" w:type="dxa"/>
          </w:tblCellMar>
        </w:tblPrEx>
        <w:trPr>
          <w:trHeight w:val="312" w:hRule="atLeast"/>
          <w:jc w:val="center"/>
        </w:trPr>
        <w:tc>
          <w:tcPr>
            <w:tcW w:w="558"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59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47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6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74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c>
          <w:tcPr>
            <w:tcW w:w="560"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科目编码</w:t>
            </w:r>
          </w:p>
        </w:tc>
        <w:tc>
          <w:tcPr>
            <w:tcW w:w="1788"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857"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312" w:hRule="atLeast"/>
          <w:jc w:val="center"/>
        </w:trPr>
        <w:tc>
          <w:tcPr>
            <w:tcW w:w="558"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59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47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6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74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560"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1788"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c>
          <w:tcPr>
            <w:tcW w:w="857"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rPr>
                <w:rFonts w:ascii="宋体" w:hAnsi="宋体" w:cs="宋体"/>
                <w:color w:val="000000"/>
                <w:sz w:val="22"/>
                <w:szCs w:val="22"/>
              </w:rPr>
            </w:pPr>
          </w:p>
        </w:tc>
      </w:tr>
      <w:tr>
        <w:tblPrEx>
          <w:tblCellMar>
            <w:top w:w="0" w:type="dxa"/>
            <w:left w:w="0" w:type="dxa"/>
            <w:bottom w:w="0" w:type="dxa"/>
            <w:right w:w="0" w:type="dxa"/>
          </w:tblCellMar>
        </w:tblPrEx>
        <w:trPr>
          <w:trHeight w:val="599"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754.69</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171.13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债务利息及费用支出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基本工资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405.85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22.21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国内债务付息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津贴补贴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208.16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印刷费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5.16</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30702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国外债务付息</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110.65</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咨询费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4.68</w:t>
            </w: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伙食补助费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手续费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0.18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房屋建筑物购建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绩效工资</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水费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1.57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办公设备购置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r>
              <w:rPr>
                <w:rFonts w:hint="eastAsia" w:ascii="宋体" w:hAnsi="宋体" w:cs="宋体"/>
                <w:color w:val="000000"/>
                <w:sz w:val="20"/>
                <w:szCs w:val="20"/>
              </w:rPr>
              <w:t>4.68</w:t>
            </w: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机关事业单位基本养老保险缴费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15.67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专用设备购置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职业年金缴费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1.46</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邮电费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10.11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31005</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基础设施建设</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职工基本医疗保险缴费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8.32</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取暖费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8.93</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大型修缮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公务员医疗补助缴费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30209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物业管理费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信息网络及软件购置更新</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其他社会保障缴费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0.47</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差旅费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18.57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物资储备</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住房公积金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4.11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30212</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因公出国（境）费用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31009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土地补偿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30114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30213</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维修（护）费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11.77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31010</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安置补助</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30199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其他工资福利支出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租赁费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地上附着物和青苗补偿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对个人和家庭的补助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30.44</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会议费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1.79</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拆迁补偿</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30301</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离休费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培训费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4.30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31013</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30302</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退休费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13.21</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公务接待费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31019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其他交通工具购置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30303</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退职（役）费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30218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专用材料费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31021</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文物和陈列品购置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30304</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抚恤金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4.03</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30224</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被装购置费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31022</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无形资产购置</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30305</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生活补助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13.20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30225</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专用燃料费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31099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其他资本性支出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30306</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救济费</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30226</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劳务费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16.38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30307</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医疗费补助</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30227</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委托业务费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39906</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赠与</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30308</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助学金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30228</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工会经费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12.91</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39907</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国家赔偿费用支出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0"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30309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奖励金</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30229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福利费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39908</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对民间非营利组织和群众性自治组织补贴</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30310</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个人农业生产补贴</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30231</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公务用车运行维护费</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2.78</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39999</w:t>
            </w: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其他支出</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30399</w:t>
            </w: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其他对个人和家庭的补助支出</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0.00</w:t>
            </w: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30239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其他交通费用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20.20</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238"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30240</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税金及附加费用</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425" w:hRule="atLeast"/>
          <w:jc w:val="center"/>
        </w:trPr>
        <w:tc>
          <w:tcPr>
            <w:tcW w:w="558"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59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jc w:val="right"/>
              <w:rPr>
                <w:rFonts w:ascii="宋体" w:hAnsi="宋体" w:cs="宋体"/>
                <w:color w:val="000000"/>
                <w:sz w:val="16"/>
                <w:szCs w:val="16"/>
              </w:rPr>
            </w:pPr>
          </w:p>
        </w:tc>
        <w:tc>
          <w:tcPr>
            <w:tcW w:w="47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30299</w:t>
            </w:r>
          </w:p>
        </w:tc>
        <w:tc>
          <w:tcPr>
            <w:tcW w:w="176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textAlignment w:val="center"/>
              <w:rPr>
                <w:rFonts w:ascii="宋体" w:hAnsi="宋体" w:cs="宋体"/>
                <w:color w:val="000000"/>
                <w:sz w:val="16"/>
                <w:szCs w:val="16"/>
              </w:rPr>
            </w:pPr>
            <w:r>
              <w:rPr>
                <w:rFonts w:hint="eastAsia" w:ascii="宋体" w:hAnsi="宋体" w:cs="宋体"/>
                <w:color w:val="000000"/>
                <w:kern w:val="0"/>
                <w:sz w:val="16"/>
                <w:szCs w:val="16"/>
              </w:rPr>
              <w:t xml:space="preserve">  其他商品和服务支出</w:t>
            </w:r>
          </w:p>
        </w:tc>
        <w:tc>
          <w:tcPr>
            <w:tcW w:w="7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34.27</w:t>
            </w:r>
          </w:p>
        </w:tc>
        <w:tc>
          <w:tcPr>
            <w:tcW w:w="56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178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left"/>
              <w:rPr>
                <w:rFonts w:ascii="宋体" w:hAnsi="宋体" w:cs="宋体"/>
                <w:color w:val="000000"/>
                <w:sz w:val="16"/>
                <w:szCs w:val="16"/>
              </w:rPr>
            </w:pP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20"/>
                <w:szCs w:val="20"/>
              </w:rPr>
            </w:pPr>
          </w:p>
        </w:tc>
      </w:tr>
      <w:tr>
        <w:tblPrEx>
          <w:tblCellMar>
            <w:top w:w="0" w:type="dxa"/>
            <w:left w:w="0" w:type="dxa"/>
            <w:bottom w:w="0" w:type="dxa"/>
            <w:right w:w="0" w:type="dxa"/>
          </w:tblCellMar>
        </w:tblPrEx>
        <w:trPr>
          <w:trHeight w:val="317" w:hRule="atLeast"/>
          <w:jc w:val="center"/>
        </w:trPr>
        <w:tc>
          <w:tcPr>
            <w:tcW w:w="2155" w:type="dxa"/>
            <w:gridSpan w:val="2"/>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人员经费合计</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jc w:val="right"/>
              <w:textAlignment w:val="center"/>
              <w:rPr>
                <w:rFonts w:ascii="宋体" w:hAnsi="宋体" w:cs="宋体"/>
                <w:color w:val="000000"/>
                <w:sz w:val="16"/>
                <w:szCs w:val="16"/>
              </w:rPr>
            </w:pPr>
            <w:r>
              <w:rPr>
                <w:rFonts w:hint="eastAsia" w:ascii="宋体" w:hAnsi="宋体" w:cs="宋体"/>
                <w:color w:val="000000"/>
                <w:kern w:val="0"/>
                <w:sz w:val="22"/>
                <w:szCs w:val="22"/>
              </w:rPr>
              <w:t>785.13</w:t>
            </w:r>
          </w:p>
        </w:tc>
        <w:tc>
          <w:tcPr>
            <w:tcW w:w="5328" w:type="dxa"/>
            <w:gridSpan w:val="5"/>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center"/>
              <w:textAlignment w:val="center"/>
              <w:rPr>
                <w:rFonts w:ascii="宋体" w:hAnsi="宋体" w:cs="宋体"/>
                <w:color w:val="000000"/>
                <w:sz w:val="16"/>
                <w:szCs w:val="16"/>
              </w:rPr>
            </w:pPr>
            <w:r>
              <w:rPr>
                <w:rFonts w:hint="eastAsia" w:ascii="宋体" w:hAnsi="宋体" w:cs="宋体"/>
                <w:color w:val="000000"/>
                <w:kern w:val="0"/>
                <w:sz w:val="16"/>
                <w:szCs w:val="16"/>
              </w:rPr>
              <w:t>公用经费合计</w:t>
            </w:r>
          </w:p>
        </w:tc>
        <w:tc>
          <w:tcPr>
            <w:tcW w:w="857"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napToGrid w:val="0"/>
              <w:spacing w:after="0" w:line="240" w:lineRule="auto"/>
              <w:jc w:val="right"/>
              <w:rPr>
                <w:rFonts w:ascii="宋体" w:hAnsi="宋体" w:cs="宋体"/>
                <w:color w:val="000000"/>
                <w:sz w:val="16"/>
                <w:szCs w:val="16"/>
              </w:rPr>
            </w:pPr>
            <w:r>
              <w:rPr>
                <w:rFonts w:hint="eastAsia" w:ascii="宋体" w:hAnsi="宋体" w:cs="宋体"/>
                <w:color w:val="000000"/>
                <w:sz w:val="16"/>
                <w:szCs w:val="16"/>
              </w:rPr>
              <w:t>175.82</w:t>
            </w:r>
          </w:p>
        </w:tc>
      </w:tr>
      <w:tr>
        <w:tblPrEx>
          <w:tblCellMar>
            <w:top w:w="0" w:type="dxa"/>
            <w:left w:w="0" w:type="dxa"/>
            <w:bottom w:w="0" w:type="dxa"/>
            <w:right w:w="0" w:type="dxa"/>
          </w:tblCellMar>
        </w:tblPrEx>
        <w:trPr>
          <w:trHeight w:val="277" w:hRule="atLeast"/>
          <w:jc w:val="center"/>
        </w:trPr>
        <w:tc>
          <w:tcPr>
            <w:tcW w:w="9180" w:type="dxa"/>
            <w:gridSpan w:val="9"/>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 xml:space="preserve">注：本表反映部门本年度一般公共预算财政拨款基本支出明细情况。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jc w:val="center"/>
        <w:tblLayout w:type="fixed"/>
        <w:tblCellMar>
          <w:top w:w="0" w:type="dxa"/>
          <w:left w:w="0" w:type="dxa"/>
          <w:bottom w:w="0" w:type="dxa"/>
          <w:right w:w="0" w:type="dxa"/>
        </w:tblCellMar>
      </w:tblPr>
      <w:tblGrid>
        <w:gridCol w:w="1158"/>
        <w:gridCol w:w="1527"/>
        <w:gridCol w:w="1528"/>
        <w:gridCol w:w="1530"/>
        <w:gridCol w:w="1530"/>
        <w:gridCol w:w="1527"/>
      </w:tblGrid>
      <w:tr>
        <w:tblPrEx>
          <w:tblCellMar>
            <w:top w:w="0" w:type="dxa"/>
            <w:left w:w="0" w:type="dxa"/>
            <w:bottom w:w="0" w:type="dxa"/>
            <w:right w:w="0" w:type="dxa"/>
          </w:tblCellMar>
        </w:tblPrEx>
        <w:trPr>
          <w:trHeight w:val="584"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一般公共预算财政拨款“三公”经费支出决算表</w:t>
            </w:r>
          </w:p>
        </w:tc>
      </w:tr>
      <w:tr>
        <w:tblPrEx>
          <w:tblCellMar>
            <w:top w:w="0" w:type="dxa"/>
            <w:left w:w="0" w:type="dxa"/>
            <w:bottom w:w="0" w:type="dxa"/>
            <w:right w:w="0" w:type="dxa"/>
          </w:tblCellMar>
        </w:tblPrEx>
        <w:trPr>
          <w:trHeight w:val="347" w:hRule="atLeast"/>
          <w:jc w:val="center"/>
        </w:trPr>
        <w:tc>
          <w:tcPr>
            <w:tcW w:w="115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8"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3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 w:val="20"/>
                <w:szCs w:val="20"/>
              </w:rPr>
            </w:pP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公开07表</w:t>
            </w:r>
          </w:p>
        </w:tc>
      </w:tr>
      <w:tr>
        <w:tblPrEx>
          <w:tblCellMar>
            <w:top w:w="0" w:type="dxa"/>
            <w:left w:w="0" w:type="dxa"/>
            <w:bottom w:w="0" w:type="dxa"/>
            <w:right w:w="0" w:type="dxa"/>
          </w:tblCellMar>
        </w:tblPrEx>
        <w:trPr>
          <w:trHeight w:val="347" w:hRule="atLeast"/>
          <w:jc w:val="center"/>
        </w:trPr>
        <w:tc>
          <w:tcPr>
            <w:tcW w:w="7273" w:type="dxa"/>
            <w:gridSpan w:val="5"/>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 w:val="20"/>
                <w:szCs w:val="20"/>
              </w:rPr>
            </w:pPr>
            <w:r>
              <w:rPr>
                <w:rFonts w:hint="eastAsia" w:ascii="宋体" w:hAnsi="宋体" w:cs="宋体"/>
                <w:color w:val="000000"/>
                <w:kern w:val="0"/>
                <w:sz w:val="20"/>
                <w:szCs w:val="20"/>
              </w:rPr>
              <w:t>部门：</w:t>
            </w:r>
          </w:p>
        </w:tc>
        <w:tc>
          <w:tcPr>
            <w:tcW w:w="1527"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 w:val="20"/>
                <w:szCs w:val="20"/>
              </w:rPr>
            </w:pPr>
            <w:r>
              <w:rPr>
                <w:rFonts w:hint="eastAsia" w:ascii="宋体" w:hAnsi="宋体" w:cs="宋体"/>
                <w:color w:val="000000"/>
                <w:kern w:val="0"/>
                <w:sz w:val="20"/>
                <w:szCs w:val="20"/>
              </w:rPr>
              <w:t>金额单位：万元</w:t>
            </w:r>
          </w:p>
        </w:tc>
      </w:tr>
      <w:tr>
        <w:tblPrEx>
          <w:tblCellMar>
            <w:top w:w="0" w:type="dxa"/>
            <w:left w:w="0" w:type="dxa"/>
            <w:bottom w:w="0" w:type="dxa"/>
            <w:right w:w="0" w:type="dxa"/>
          </w:tblCellMar>
        </w:tblPrEx>
        <w:trPr>
          <w:trHeight w:val="482"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预算数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86"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3.2</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3</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0.2</w:t>
            </w:r>
          </w:p>
        </w:tc>
      </w:tr>
      <w:tr>
        <w:tblPrEx>
          <w:tblCellMar>
            <w:top w:w="0" w:type="dxa"/>
            <w:left w:w="0" w:type="dxa"/>
            <w:bottom w:w="0" w:type="dxa"/>
            <w:right w:w="0" w:type="dxa"/>
          </w:tblCellMar>
        </w:tblPrEx>
        <w:trPr>
          <w:trHeight w:val="498" w:hRule="atLeast"/>
          <w:jc w:val="center"/>
        </w:trPr>
        <w:tc>
          <w:tcPr>
            <w:tcW w:w="880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决算数</w:t>
            </w:r>
          </w:p>
        </w:tc>
      </w:tr>
      <w:tr>
        <w:tblPrEx>
          <w:tblCellMar>
            <w:top w:w="0" w:type="dxa"/>
            <w:left w:w="0" w:type="dxa"/>
            <w:bottom w:w="0" w:type="dxa"/>
            <w:right w:w="0" w:type="dxa"/>
          </w:tblCellMar>
        </w:tblPrEx>
        <w:trPr>
          <w:trHeight w:val="435" w:hRule="atLeast"/>
          <w:jc w:val="center"/>
        </w:trPr>
        <w:tc>
          <w:tcPr>
            <w:tcW w:w="115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因公出国（境）费</w:t>
            </w:r>
          </w:p>
        </w:tc>
        <w:tc>
          <w:tcPr>
            <w:tcW w:w="4588"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公务用车购置及运行费</w:t>
            </w:r>
          </w:p>
        </w:tc>
        <w:tc>
          <w:tcPr>
            <w:tcW w:w="1527"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公务接待费</w:t>
            </w:r>
          </w:p>
        </w:tc>
      </w:tr>
      <w:tr>
        <w:tblPrEx>
          <w:tblCellMar>
            <w:top w:w="0" w:type="dxa"/>
            <w:left w:w="0" w:type="dxa"/>
            <w:bottom w:w="0" w:type="dxa"/>
            <w:right w:w="0" w:type="dxa"/>
          </w:tblCellMar>
        </w:tblPrEx>
        <w:trPr>
          <w:trHeight w:val="672" w:hRule="atLeast"/>
          <w:jc w:val="center"/>
        </w:trPr>
        <w:tc>
          <w:tcPr>
            <w:tcW w:w="115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公务用车购置费</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公务用车运行费</w:t>
            </w:r>
          </w:p>
        </w:tc>
        <w:tc>
          <w:tcPr>
            <w:tcW w:w="152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8</w:t>
            </w: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9</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10</w:t>
            </w: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11</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12</w:t>
            </w:r>
          </w:p>
        </w:tc>
      </w:tr>
      <w:tr>
        <w:tblPrEx>
          <w:tblCellMar>
            <w:top w:w="0" w:type="dxa"/>
            <w:left w:w="0" w:type="dxa"/>
            <w:bottom w:w="0" w:type="dxa"/>
            <w:right w:w="0" w:type="dxa"/>
          </w:tblCellMar>
        </w:tblPrEx>
        <w:trPr>
          <w:trHeight w:val="435" w:hRule="atLeast"/>
          <w:jc w:val="center"/>
        </w:trPr>
        <w:tc>
          <w:tcPr>
            <w:tcW w:w="115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2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5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2.77</w:t>
            </w:r>
          </w:p>
        </w:tc>
        <w:tc>
          <w:tcPr>
            <w:tcW w:w="152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782" w:hRule="atLeast"/>
          <w:jc w:val="center"/>
        </w:trPr>
        <w:tc>
          <w:tcPr>
            <w:tcW w:w="8800"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注：本表反映部门本年度“三公”经费支出预决算情况。其中：预算数为“三公”经费年初预算数，决算数是包括当年一般公共预算财政拨款和以前年度结转资金安排的实际支出。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60" w:type="dxa"/>
        <w:tblInd w:w="0" w:type="dxa"/>
        <w:tblLayout w:type="fixed"/>
        <w:tblCellMar>
          <w:top w:w="0" w:type="dxa"/>
          <w:left w:w="0" w:type="dxa"/>
          <w:bottom w:w="0" w:type="dxa"/>
          <w:right w:w="0" w:type="dxa"/>
        </w:tblCellMar>
      </w:tblPr>
      <w:tblGrid>
        <w:gridCol w:w="296"/>
        <w:gridCol w:w="191"/>
        <w:gridCol w:w="479"/>
        <w:gridCol w:w="669"/>
        <w:gridCol w:w="376"/>
        <w:gridCol w:w="1166"/>
        <w:gridCol w:w="840"/>
        <w:gridCol w:w="1191"/>
        <w:gridCol w:w="1192"/>
        <w:gridCol w:w="1192"/>
        <w:gridCol w:w="1268"/>
      </w:tblGrid>
      <w:tr>
        <w:tblPrEx>
          <w:tblCellMar>
            <w:top w:w="0" w:type="dxa"/>
            <w:left w:w="0" w:type="dxa"/>
            <w:bottom w:w="0" w:type="dxa"/>
            <w:right w:w="0" w:type="dxa"/>
          </w:tblCellMar>
        </w:tblPrEx>
        <w:trPr>
          <w:trHeight w:val="707"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黑体" w:hAnsi="宋体" w:eastAsia="黑体" w:cs="黑体"/>
                <w:color w:val="000000"/>
                <w:sz w:val="36"/>
                <w:szCs w:val="36"/>
              </w:rPr>
            </w:pPr>
            <w:r>
              <w:rPr>
                <w:rFonts w:hint="eastAsia" w:ascii="黑体" w:hAnsi="宋体" w:eastAsia="黑体" w:cs="黑体"/>
                <w:color w:val="000000"/>
                <w:kern w:val="0"/>
                <w:sz w:val="36"/>
                <w:szCs w:val="36"/>
              </w:rPr>
              <w:t>政府性基金预算财政拨款收入支出决算表</w:t>
            </w:r>
          </w:p>
        </w:tc>
      </w:tr>
      <w:tr>
        <w:tblPrEx>
          <w:tblCellMar>
            <w:top w:w="0" w:type="dxa"/>
            <w:left w:w="0" w:type="dxa"/>
            <w:bottom w:w="0" w:type="dxa"/>
            <w:right w:w="0" w:type="dxa"/>
          </w:tblCellMar>
        </w:tblPrEx>
        <w:trPr>
          <w:trHeight w:val="315" w:hRule="atLeast"/>
        </w:trPr>
        <w:tc>
          <w:tcPr>
            <w:tcW w:w="296"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47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669"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542"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268"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公开08表</w:t>
            </w:r>
          </w:p>
        </w:tc>
      </w:tr>
      <w:tr>
        <w:tblPrEx>
          <w:tblCellMar>
            <w:top w:w="0" w:type="dxa"/>
            <w:left w:w="0" w:type="dxa"/>
            <w:bottom w:w="0" w:type="dxa"/>
            <w:right w:w="0" w:type="dxa"/>
          </w:tblCellMar>
        </w:tblPrEx>
        <w:trPr>
          <w:trHeight w:val="411" w:hRule="atLeast"/>
        </w:trPr>
        <w:tc>
          <w:tcPr>
            <w:tcW w:w="3177" w:type="dxa"/>
            <w:gridSpan w:val="6"/>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部门：</w:t>
            </w:r>
          </w:p>
        </w:tc>
        <w:tc>
          <w:tcPr>
            <w:tcW w:w="840"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1"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1192" w:type="dxa"/>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rPr>
                <w:rFonts w:ascii="Arial" w:hAnsi="Arial" w:cs="Arial"/>
                <w:color w:val="000000"/>
                <w:szCs w:val="21"/>
              </w:rPr>
            </w:pPr>
          </w:p>
        </w:tc>
        <w:tc>
          <w:tcPr>
            <w:tcW w:w="2460"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24" w:hRule="atLeast"/>
        </w:trPr>
        <w:tc>
          <w:tcPr>
            <w:tcW w:w="2011"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1166"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年初结转和结余</w:t>
            </w:r>
          </w:p>
        </w:tc>
        <w:tc>
          <w:tcPr>
            <w:tcW w:w="840"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本年收入</w:t>
            </w:r>
          </w:p>
        </w:tc>
        <w:tc>
          <w:tcPr>
            <w:tcW w:w="3575" w:type="dxa"/>
            <w:gridSpan w:val="3"/>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本年支出</w:t>
            </w:r>
          </w:p>
        </w:tc>
        <w:tc>
          <w:tcPr>
            <w:tcW w:w="1268" w:type="dxa"/>
            <w:vMerge w:val="restart"/>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年末结转和结余</w:t>
            </w:r>
          </w:p>
        </w:tc>
      </w:tr>
      <w:tr>
        <w:tblPrEx>
          <w:tblCellMar>
            <w:top w:w="0" w:type="dxa"/>
            <w:left w:w="0" w:type="dxa"/>
            <w:bottom w:w="0" w:type="dxa"/>
            <w:right w:w="0" w:type="dxa"/>
          </w:tblCellMar>
        </w:tblPrEx>
        <w:trPr>
          <w:trHeight w:val="324" w:hRule="atLeast"/>
        </w:trPr>
        <w:tc>
          <w:tcPr>
            <w:tcW w:w="966" w:type="dxa"/>
            <w:gridSpan w:val="3"/>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功能分类科目编码</w:t>
            </w:r>
          </w:p>
        </w:tc>
        <w:tc>
          <w:tcPr>
            <w:tcW w:w="1045" w:type="dxa"/>
            <w:gridSpan w:val="2"/>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科目名称</w:t>
            </w: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小计</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基本支出</w:t>
            </w:r>
          </w:p>
        </w:tc>
        <w:tc>
          <w:tcPr>
            <w:tcW w:w="1192"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项目支出</w:t>
            </w: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12" w:hRule="atLeast"/>
        </w:trPr>
        <w:tc>
          <w:tcPr>
            <w:tcW w:w="966" w:type="dxa"/>
            <w:gridSpan w:val="3"/>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045" w:type="dxa"/>
            <w:gridSpan w:val="2"/>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66"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840"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1"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192"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c>
          <w:tcPr>
            <w:tcW w:w="1268" w:type="dxa"/>
            <w:vMerge w:val="continue"/>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24" w:hRule="atLeast"/>
        </w:trPr>
        <w:tc>
          <w:tcPr>
            <w:tcW w:w="2011" w:type="dxa"/>
            <w:gridSpan w:val="5"/>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b/>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966" w:type="dxa"/>
            <w:gridSpan w:val="3"/>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045"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left"/>
              <w:rPr>
                <w:rFonts w:ascii="宋体" w:hAnsi="宋体" w:cs="宋体"/>
                <w:color w:val="000000"/>
                <w:szCs w:val="21"/>
              </w:rPr>
            </w:pPr>
          </w:p>
        </w:tc>
        <w:tc>
          <w:tcPr>
            <w:tcW w:w="116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840"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1"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192"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c>
          <w:tcPr>
            <w:tcW w:w="1268"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24" w:hRule="atLeast"/>
        </w:trPr>
        <w:tc>
          <w:tcPr>
            <w:tcW w:w="8860" w:type="dxa"/>
            <w:gridSpan w:val="11"/>
            <w:tcBorders>
              <w:top w:val="nil"/>
              <w:left w:val="nil"/>
              <w:bottom w:val="nil"/>
              <w:right w:val="nil"/>
            </w:tcBorders>
            <w:shd w:val="clear" w:color="auto" w:fill="auto"/>
            <w:tcMar>
              <w:top w:w="15" w:type="dxa"/>
              <w:left w:w="15" w:type="dxa"/>
              <w:right w:w="15" w:type="dxa"/>
            </w:tcMar>
            <w:vAlign w:val="center"/>
          </w:tcPr>
          <w:p>
            <w:pPr>
              <w:widowControl/>
              <w:adjustRightIn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注：本表反映部门本年度政府性基金预算财政拨款收入、支出及结转和结余情况。  </w:t>
            </w:r>
            <w:r>
              <w:rPr>
                <w:rFonts w:hint="eastAsia" w:ascii="宋体" w:hAnsi="宋体" w:cs="宋体"/>
                <w:color w:val="000000"/>
                <w:kern w:val="0"/>
                <w:sz w:val="22"/>
                <w:szCs w:val="22"/>
              </w:rPr>
              <w:t>本部门本年度无相关收入（或支出、收支及结转结余等）情况，按要求空表列示</w:t>
            </w:r>
            <w:r>
              <w:rPr>
                <w:rFonts w:hint="eastAsia" w:ascii="宋体" w:hAnsi="宋体" w:cs="宋体"/>
                <w:color w:val="000000"/>
                <w:kern w:val="0"/>
                <w:szCs w:val="21"/>
              </w:rPr>
              <w:t xml:space="preserve">       </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800" w:type="dxa"/>
        <w:tblInd w:w="0" w:type="dxa"/>
        <w:tblLayout w:type="fixed"/>
        <w:tblCellMar>
          <w:top w:w="0" w:type="dxa"/>
          <w:left w:w="0" w:type="dxa"/>
          <w:bottom w:w="0" w:type="dxa"/>
          <w:right w:w="0" w:type="dxa"/>
        </w:tblCellMar>
      </w:tblPr>
      <w:tblGrid>
        <w:gridCol w:w="442"/>
        <w:gridCol w:w="208"/>
        <w:gridCol w:w="504"/>
        <w:gridCol w:w="274"/>
        <w:gridCol w:w="894"/>
        <w:gridCol w:w="783"/>
        <w:gridCol w:w="252"/>
        <w:gridCol w:w="1646"/>
        <w:gridCol w:w="359"/>
        <w:gridCol w:w="1539"/>
        <w:gridCol w:w="1899"/>
      </w:tblGrid>
      <w:tr>
        <w:tblPrEx>
          <w:tblCellMar>
            <w:top w:w="0" w:type="dxa"/>
            <w:left w:w="0" w:type="dxa"/>
            <w:bottom w:w="0" w:type="dxa"/>
            <w:right w:w="0" w:type="dxa"/>
          </w:tblCellMar>
        </w:tblPrEx>
        <w:trPr>
          <w:trHeight w:val="656"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国有资本经营预算财政拨款支出决算表</w:t>
            </w:r>
          </w:p>
        </w:tc>
      </w:tr>
      <w:tr>
        <w:tblPrEx>
          <w:tblCellMar>
            <w:top w:w="0" w:type="dxa"/>
            <w:left w:w="0" w:type="dxa"/>
            <w:bottom w:w="0" w:type="dxa"/>
            <w:right w:w="0" w:type="dxa"/>
          </w:tblCellMar>
        </w:tblPrEx>
        <w:trPr>
          <w:trHeight w:val="335" w:hRule="atLeast"/>
        </w:trPr>
        <w:tc>
          <w:tcPr>
            <w:tcW w:w="442"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8"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504" w:type="dxa"/>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16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103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公开09表</w:t>
            </w:r>
          </w:p>
        </w:tc>
      </w:tr>
      <w:tr>
        <w:tblPrEx>
          <w:tblCellMar>
            <w:top w:w="0" w:type="dxa"/>
            <w:left w:w="0" w:type="dxa"/>
            <w:bottom w:w="0" w:type="dxa"/>
            <w:right w:w="0" w:type="dxa"/>
          </w:tblCellMar>
        </w:tblPrEx>
        <w:trPr>
          <w:trHeight w:val="335" w:hRule="atLeast"/>
        </w:trPr>
        <w:tc>
          <w:tcPr>
            <w:tcW w:w="3357" w:type="dxa"/>
            <w:gridSpan w:val="7"/>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编制单位：</w:t>
            </w:r>
          </w:p>
        </w:tc>
        <w:tc>
          <w:tcPr>
            <w:tcW w:w="2005"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rPr>
                <w:rFonts w:ascii="Arial" w:hAnsi="Arial" w:cs="Arial"/>
                <w:color w:val="000000"/>
                <w:sz w:val="22"/>
                <w:szCs w:val="22"/>
              </w:rPr>
            </w:pPr>
          </w:p>
        </w:tc>
        <w:tc>
          <w:tcPr>
            <w:tcW w:w="3438" w:type="dxa"/>
            <w:gridSpan w:val="2"/>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right"/>
              <w:textAlignment w:val="center"/>
              <w:rPr>
                <w:rFonts w:ascii="宋体" w:hAnsi="宋体" w:cs="宋体"/>
                <w:color w:val="000000"/>
                <w:sz w:val="22"/>
                <w:szCs w:val="22"/>
              </w:rPr>
            </w:pPr>
            <w:r>
              <w:rPr>
                <w:rFonts w:hint="eastAsia" w:ascii="宋体" w:hAnsi="宋体" w:cs="宋体"/>
                <w:color w:val="000000"/>
                <w:kern w:val="0"/>
                <w:sz w:val="22"/>
                <w:szCs w:val="22"/>
              </w:rPr>
              <w:t>金额单位：万元</w:t>
            </w:r>
          </w:p>
        </w:tc>
      </w:tr>
      <w:tr>
        <w:tblPrEx>
          <w:tblCellMar>
            <w:top w:w="0" w:type="dxa"/>
            <w:left w:w="0" w:type="dxa"/>
            <w:bottom w:w="0" w:type="dxa"/>
            <w:right w:w="0" w:type="dxa"/>
          </w:tblCellMar>
        </w:tblPrEx>
        <w:trPr>
          <w:trHeight w:val="358" w:hRule="atLeast"/>
        </w:trPr>
        <w:tc>
          <w:tcPr>
            <w:tcW w:w="3105"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w:t>
            </w:r>
          </w:p>
        </w:tc>
        <w:tc>
          <w:tcPr>
            <w:tcW w:w="5695" w:type="dxa"/>
            <w:gridSpan w:val="5"/>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本年支出</w:t>
            </w:r>
          </w:p>
        </w:tc>
      </w:tr>
      <w:tr>
        <w:tblPrEx>
          <w:tblCellMar>
            <w:top w:w="0" w:type="dxa"/>
            <w:left w:w="0" w:type="dxa"/>
            <w:bottom w:w="0" w:type="dxa"/>
            <w:right w:w="0" w:type="dxa"/>
          </w:tblCellMar>
        </w:tblPrEx>
        <w:trPr>
          <w:trHeight w:val="82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功能分类科目编码</w:t>
            </w: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科目名称</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小计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基本支出</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项目支出</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栏次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1</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2</w:t>
            </w: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3</w:t>
            </w:r>
          </w:p>
        </w:tc>
      </w:tr>
      <w:tr>
        <w:tblPrEx>
          <w:tblCellMar>
            <w:top w:w="0" w:type="dxa"/>
            <w:left w:w="0" w:type="dxa"/>
            <w:bottom w:w="0" w:type="dxa"/>
            <w:right w:w="0" w:type="dxa"/>
          </w:tblCellMar>
        </w:tblPrEx>
        <w:trPr>
          <w:trHeight w:val="358" w:hRule="atLeast"/>
        </w:trPr>
        <w:tc>
          <w:tcPr>
            <w:tcW w:w="3105" w:type="dxa"/>
            <w:gridSpan w:val="6"/>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center"/>
              <w:textAlignment w:val="center"/>
              <w:rPr>
                <w:rFonts w:ascii="宋体" w:hAnsi="宋体" w:cs="宋体"/>
                <w:color w:val="000000"/>
                <w:sz w:val="22"/>
                <w:szCs w:val="22"/>
              </w:rPr>
            </w:pPr>
            <w:r>
              <w:rPr>
                <w:rFonts w:hint="eastAsia" w:ascii="宋体" w:hAnsi="宋体" w:cs="宋体"/>
                <w:color w:val="000000"/>
                <w:kern w:val="0"/>
                <w:sz w:val="22"/>
                <w:szCs w:val="22"/>
              </w:rPr>
              <w:t>合计</w:t>
            </w: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46" w:hRule="atLeast"/>
        </w:trPr>
        <w:tc>
          <w:tcPr>
            <w:tcW w:w="1428" w:type="dxa"/>
            <w:gridSpan w:val="4"/>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677"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lef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8"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c>
          <w:tcPr>
            <w:tcW w:w="1899"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spacing w:after="0" w:line="240" w:lineRule="auto"/>
              <w:jc w:val="right"/>
              <w:rPr>
                <w:rFonts w:ascii="宋体" w:hAnsi="宋体" w:cs="宋体"/>
                <w:color w:val="000000"/>
                <w:sz w:val="22"/>
                <w:szCs w:val="22"/>
              </w:rPr>
            </w:pPr>
          </w:p>
        </w:tc>
      </w:tr>
      <w:tr>
        <w:tblPrEx>
          <w:tblCellMar>
            <w:top w:w="0" w:type="dxa"/>
            <w:left w:w="0" w:type="dxa"/>
            <w:bottom w:w="0" w:type="dxa"/>
            <w:right w:w="0" w:type="dxa"/>
          </w:tblCellMar>
        </w:tblPrEx>
        <w:trPr>
          <w:trHeight w:val="358" w:hRule="atLeast"/>
        </w:trPr>
        <w:tc>
          <w:tcPr>
            <w:tcW w:w="8800" w:type="dxa"/>
            <w:gridSpan w:val="11"/>
            <w:tcBorders>
              <w:top w:val="nil"/>
              <w:left w:val="nil"/>
              <w:bottom w:val="nil"/>
              <w:right w:val="nil"/>
            </w:tcBorders>
            <w:shd w:val="clear" w:color="auto" w:fill="auto"/>
            <w:tcMar>
              <w:top w:w="15" w:type="dxa"/>
              <w:left w:w="15" w:type="dxa"/>
              <w:right w:w="15" w:type="dxa"/>
            </w:tcMar>
            <w:vAlign w:val="center"/>
          </w:tcPr>
          <w:p>
            <w:pPr>
              <w:widowControl/>
              <w:spacing w:after="0" w:line="240" w:lineRule="auto"/>
              <w:jc w:val="left"/>
              <w:textAlignment w:val="center"/>
              <w:rPr>
                <w:rFonts w:ascii="宋体" w:hAnsi="宋体" w:cs="宋体"/>
                <w:color w:val="000000"/>
                <w:sz w:val="22"/>
                <w:szCs w:val="22"/>
              </w:rPr>
            </w:pPr>
            <w:r>
              <w:rPr>
                <w:rFonts w:hint="eastAsia" w:ascii="宋体" w:hAnsi="宋体" w:cs="宋体"/>
                <w:color w:val="000000"/>
                <w:kern w:val="0"/>
                <w:sz w:val="22"/>
                <w:szCs w:val="22"/>
              </w:rPr>
              <w:t>注：本表反映部门本年度国有资本经营预算财政拨款支出情况。本部门本年度无相关收入（或支出、收支及结转结余等）情况，按要求空表列示</w:t>
            </w:r>
          </w:p>
        </w:tc>
      </w:tr>
    </w:tbl>
    <w:p>
      <w:pPr>
        <w:widowControl/>
        <w:spacing w:after="0" w:line="560" w:lineRule="exact"/>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p>
    <w:tbl>
      <w:tblPr>
        <w:tblStyle w:val="12"/>
        <w:tblW w:w="8940" w:type="dxa"/>
        <w:tblInd w:w="0" w:type="dxa"/>
        <w:tblLayout w:type="fixed"/>
        <w:tblCellMar>
          <w:top w:w="0" w:type="dxa"/>
          <w:left w:w="0" w:type="dxa"/>
          <w:bottom w:w="0" w:type="dxa"/>
          <w:right w:w="0" w:type="dxa"/>
        </w:tblCellMar>
      </w:tblPr>
      <w:tblGrid>
        <w:gridCol w:w="1901"/>
        <w:gridCol w:w="1203"/>
        <w:gridCol w:w="790"/>
        <w:gridCol w:w="362"/>
        <w:gridCol w:w="911"/>
        <w:gridCol w:w="241"/>
        <w:gridCol w:w="1032"/>
        <w:gridCol w:w="120"/>
        <w:gridCol w:w="1154"/>
        <w:gridCol w:w="1226"/>
      </w:tblGrid>
      <w:tr>
        <w:tblPrEx>
          <w:tblCellMar>
            <w:top w:w="0" w:type="dxa"/>
            <w:left w:w="0" w:type="dxa"/>
            <w:bottom w:w="0" w:type="dxa"/>
            <w:right w:w="0" w:type="dxa"/>
          </w:tblCellMar>
        </w:tblPrEx>
        <w:trPr>
          <w:trHeight w:val="635"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黑体" w:hAnsi="宋体" w:eastAsia="黑体" w:cs="黑体"/>
                <w:color w:val="000000"/>
                <w:sz w:val="40"/>
                <w:szCs w:val="40"/>
              </w:rPr>
            </w:pPr>
            <w:r>
              <w:rPr>
                <w:rFonts w:hint="eastAsia" w:ascii="黑体" w:hAnsi="宋体" w:eastAsia="黑体" w:cs="黑体"/>
                <w:color w:val="000000"/>
                <w:kern w:val="0"/>
                <w:sz w:val="40"/>
                <w:szCs w:val="40"/>
              </w:rPr>
              <w:t>政府采购情况表</w:t>
            </w:r>
          </w:p>
        </w:tc>
      </w:tr>
      <w:tr>
        <w:tblPrEx>
          <w:tblCellMar>
            <w:top w:w="0" w:type="dxa"/>
            <w:left w:w="0" w:type="dxa"/>
            <w:bottom w:w="0" w:type="dxa"/>
            <w:right w:w="0" w:type="dxa"/>
          </w:tblCellMar>
        </w:tblPrEx>
        <w:trPr>
          <w:trHeight w:val="326" w:hRule="atLeast"/>
        </w:trPr>
        <w:tc>
          <w:tcPr>
            <w:tcW w:w="1901"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03"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790" w:type="dxa"/>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1273" w:type="dxa"/>
            <w:gridSpan w:val="2"/>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rPr>
                <w:rFonts w:ascii="Arial" w:hAnsi="Arial" w:cs="Arial"/>
                <w:color w:val="000000"/>
                <w:szCs w:val="21"/>
              </w:rPr>
            </w:pP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公开10表</w:t>
            </w:r>
          </w:p>
        </w:tc>
      </w:tr>
      <w:tr>
        <w:tblPrEx>
          <w:tblCellMar>
            <w:top w:w="0" w:type="dxa"/>
            <w:left w:w="0" w:type="dxa"/>
            <w:bottom w:w="0" w:type="dxa"/>
            <w:right w:w="0" w:type="dxa"/>
          </w:tblCellMar>
        </w:tblPrEx>
        <w:trPr>
          <w:trHeight w:val="360" w:hRule="atLeast"/>
        </w:trPr>
        <w:tc>
          <w:tcPr>
            <w:tcW w:w="6440" w:type="dxa"/>
            <w:gridSpan w:val="7"/>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编制单位：</w:t>
            </w:r>
          </w:p>
        </w:tc>
        <w:tc>
          <w:tcPr>
            <w:tcW w:w="2500" w:type="dxa"/>
            <w:gridSpan w:val="3"/>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right"/>
              <w:textAlignment w:val="center"/>
              <w:rPr>
                <w:rFonts w:ascii="宋体" w:hAnsi="宋体" w:cs="宋体"/>
                <w:color w:val="000000"/>
                <w:szCs w:val="21"/>
              </w:rPr>
            </w:pPr>
            <w:r>
              <w:rPr>
                <w:rFonts w:hint="eastAsia" w:ascii="宋体" w:hAnsi="宋体" w:cs="宋体"/>
                <w:color w:val="000000"/>
                <w:kern w:val="0"/>
                <w:szCs w:val="21"/>
              </w:rPr>
              <w:t>金额单位：万元</w:t>
            </w:r>
          </w:p>
        </w:tc>
      </w:tr>
      <w:tr>
        <w:tblPrEx>
          <w:tblCellMar>
            <w:top w:w="0" w:type="dxa"/>
            <w:left w:w="0" w:type="dxa"/>
            <w:bottom w:w="0" w:type="dxa"/>
            <w:right w:w="0" w:type="dxa"/>
          </w:tblCellMar>
        </w:tblPrEx>
        <w:trPr>
          <w:trHeight w:val="309" w:hRule="atLeast"/>
        </w:trPr>
        <w:tc>
          <w:tcPr>
            <w:tcW w:w="190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single" w:color="000000" w:sz="4" w:space="0"/>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采购计划金额</w:t>
            </w:r>
          </w:p>
        </w:tc>
      </w:tr>
      <w:tr>
        <w:tblPrEx>
          <w:tblCellMar>
            <w:top w:w="0" w:type="dxa"/>
            <w:left w:w="0" w:type="dxa"/>
            <w:bottom w:w="0" w:type="dxa"/>
            <w:right w:w="0" w:type="dxa"/>
          </w:tblCellMar>
        </w:tblPrEx>
        <w:trPr>
          <w:trHeight w:val="398"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473" w:hRule="atLeast"/>
        </w:trPr>
        <w:tc>
          <w:tcPr>
            <w:tcW w:w="190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50"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85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85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85</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vMerge w:val="restart"/>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项目</w:t>
            </w:r>
          </w:p>
        </w:tc>
        <w:tc>
          <w:tcPr>
            <w:tcW w:w="7039" w:type="dxa"/>
            <w:gridSpan w:val="9"/>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实际采购金额</w:t>
            </w:r>
          </w:p>
        </w:tc>
      </w:tr>
      <w:tr>
        <w:tblPrEx>
          <w:tblCellMar>
            <w:top w:w="0" w:type="dxa"/>
            <w:left w:w="0" w:type="dxa"/>
            <w:bottom w:w="0" w:type="dxa"/>
            <w:right w:w="0" w:type="dxa"/>
          </w:tblCellMar>
        </w:tblPrEx>
        <w:trPr>
          <w:trHeight w:val="350"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总计</w:t>
            </w:r>
          </w:p>
        </w:tc>
        <w:tc>
          <w:tcPr>
            <w:tcW w:w="4610" w:type="dxa"/>
            <w:gridSpan w:val="7"/>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采购预算（财政性资金）</w:t>
            </w:r>
          </w:p>
        </w:tc>
        <w:tc>
          <w:tcPr>
            <w:tcW w:w="1226" w:type="dxa"/>
            <w:vMerge w:val="restart"/>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非财政性资金</w:t>
            </w:r>
          </w:p>
        </w:tc>
      </w:tr>
      <w:tr>
        <w:tblPrEx>
          <w:tblCellMar>
            <w:top w:w="0" w:type="dxa"/>
            <w:left w:w="0" w:type="dxa"/>
            <w:bottom w:w="0" w:type="dxa"/>
            <w:right w:w="0" w:type="dxa"/>
          </w:tblCellMar>
        </w:tblPrEx>
        <w:trPr>
          <w:trHeight w:val="543" w:hRule="atLeast"/>
        </w:trPr>
        <w:tc>
          <w:tcPr>
            <w:tcW w:w="1901" w:type="dxa"/>
            <w:vMerge w:val="continue"/>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203"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合计</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一般公共预算</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政府性基金预算</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其他资金</w:t>
            </w:r>
          </w:p>
        </w:tc>
        <w:tc>
          <w:tcPr>
            <w:tcW w:w="1226" w:type="dxa"/>
            <w:vMerge w:val="continue"/>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rPr>
                <w:rFonts w:ascii="宋体" w:hAnsi="宋体" w:cs="宋体"/>
                <w:color w:val="000000"/>
                <w:szCs w:val="21"/>
              </w:rPr>
            </w:pPr>
          </w:p>
        </w:tc>
      </w:tr>
      <w:tr>
        <w:tblPrEx>
          <w:tblCellMar>
            <w:top w:w="0" w:type="dxa"/>
            <w:left w:w="0" w:type="dxa"/>
            <w:bottom w:w="0" w:type="dxa"/>
            <w:right w:w="0" w:type="dxa"/>
          </w:tblCellMar>
        </w:tblPrEx>
        <w:trPr>
          <w:trHeight w:val="309"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栏次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1</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2</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3</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4</w:t>
            </w: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5</w:t>
            </w: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6</w:t>
            </w: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合       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货物</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工程</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35" w:hRule="atLeast"/>
        </w:trPr>
        <w:tc>
          <w:tcPr>
            <w:tcW w:w="1901" w:type="dxa"/>
            <w:tcBorders>
              <w:top w:val="nil"/>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center"/>
              <w:textAlignment w:val="center"/>
              <w:rPr>
                <w:rFonts w:ascii="宋体" w:hAnsi="宋体" w:cs="宋体"/>
                <w:color w:val="000000"/>
                <w:szCs w:val="21"/>
              </w:rPr>
            </w:pPr>
            <w:r>
              <w:rPr>
                <w:rFonts w:hint="eastAsia" w:ascii="宋体" w:hAnsi="宋体" w:cs="宋体"/>
                <w:color w:val="000000"/>
                <w:kern w:val="0"/>
                <w:szCs w:val="21"/>
              </w:rPr>
              <w:t>服务</w:t>
            </w:r>
          </w:p>
        </w:tc>
        <w:tc>
          <w:tcPr>
            <w:tcW w:w="1203"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r>
              <w:rPr>
                <w:rFonts w:hint="eastAsia" w:ascii="宋体" w:hAnsi="宋体" w:cs="宋体"/>
                <w:color w:val="000000"/>
                <w:szCs w:val="21"/>
              </w:rPr>
              <w:t>60</w:t>
            </w:r>
          </w:p>
        </w:tc>
        <w:tc>
          <w:tcPr>
            <w:tcW w:w="1152" w:type="dxa"/>
            <w:gridSpan w:val="2"/>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154"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c>
          <w:tcPr>
            <w:tcW w:w="1226" w:type="dxa"/>
            <w:tcBorders>
              <w:top w:val="nil"/>
              <w:left w:val="nil"/>
              <w:bottom w:val="single" w:color="000000" w:sz="4" w:space="0"/>
              <w:right w:val="single" w:color="000000" w:sz="4" w:space="0"/>
            </w:tcBorders>
            <w:shd w:val="clear" w:color="auto" w:fill="auto"/>
            <w:tcMar>
              <w:top w:w="15" w:type="dxa"/>
              <w:left w:w="15" w:type="dxa"/>
              <w:right w:w="15" w:type="dxa"/>
            </w:tcMar>
            <w:vAlign w:val="center"/>
          </w:tcPr>
          <w:p>
            <w:pPr>
              <w:widowControl/>
              <w:adjustRightInd w:val="0"/>
              <w:snapToGrid w:val="0"/>
              <w:spacing w:after="0" w:line="240" w:lineRule="auto"/>
              <w:jc w:val="right"/>
              <w:rPr>
                <w:rFonts w:ascii="宋体" w:hAnsi="宋体" w:cs="宋体"/>
                <w:color w:val="000000"/>
                <w:szCs w:val="21"/>
              </w:rPr>
            </w:pPr>
          </w:p>
        </w:tc>
      </w:tr>
      <w:tr>
        <w:tblPrEx>
          <w:tblCellMar>
            <w:top w:w="0" w:type="dxa"/>
            <w:left w:w="0" w:type="dxa"/>
            <w:bottom w:w="0" w:type="dxa"/>
            <w:right w:w="0" w:type="dxa"/>
          </w:tblCellMar>
        </w:tblPrEx>
        <w:trPr>
          <w:trHeight w:val="398" w:hRule="atLeast"/>
        </w:trPr>
        <w:tc>
          <w:tcPr>
            <w:tcW w:w="8940" w:type="dxa"/>
            <w:gridSpan w:val="10"/>
            <w:tcBorders>
              <w:top w:val="nil"/>
              <w:left w:val="nil"/>
              <w:bottom w:val="nil"/>
              <w:right w:val="nil"/>
            </w:tcBorders>
            <w:shd w:val="clear" w:color="auto" w:fill="auto"/>
            <w:tcMar>
              <w:top w:w="15" w:type="dxa"/>
              <w:left w:w="15" w:type="dxa"/>
              <w:right w:w="15" w:type="dxa"/>
            </w:tcMar>
            <w:vAlign w:val="center"/>
          </w:tcPr>
          <w:p>
            <w:pPr>
              <w:widowControl/>
              <w:adjustRightInd w:val="0"/>
              <w:snapToGrid w:val="0"/>
              <w:spacing w:after="0" w:line="240" w:lineRule="auto"/>
              <w:jc w:val="left"/>
              <w:textAlignment w:val="center"/>
              <w:rPr>
                <w:rFonts w:ascii="宋体" w:hAnsi="宋体" w:cs="宋体"/>
                <w:color w:val="000000"/>
                <w:szCs w:val="21"/>
              </w:rPr>
            </w:pPr>
            <w:r>
              <w:rPr>
                <w:rFonts w:hint="eastAsia" w:ascii="宋体" w:hAnsi="宋体" w:cs="宋体"/>
                <w:color w:val="000000"/>
                <w:kern w:val="0"/>
                <w:szCs w:val="21"/>
              </w:rPr>
              <w:t xml:space="preserve">注：本表反映部门本年度纳入部门预算范围的政府采购预算及支出情况。     </w:t>
            </w:r>
          </w:p>
        </w:tc>
      </w:tr>
    </w:tbl>
    <w:p>
      <w:pPr>
        <w:widowControl/>
        <w:spacing w:after="0" w:line="560" w:lineRule="exact"/>
        <w:jc w:val="left"/>
        <w:rPr>
          <w:rFonts w:ascii="仿宋_GB2312" w:eastAsia="仿宋_GB2312" w:hAnsiTheme="majorEastAsia"/>
          <w:b/>
          <w:sz w:val="28"/>
          <w:szCs w:val="28"/>
          <w:highlight w:val="yellow"/>
        </w:rPr>
      </w:pPr>
    </w:p>
    <w:p/>
    <w:p/>
    <w:p/>
    <w:p/>
    <w:p>
      <w:pPr>
        <w:tabs>
          <w:tab w:val="left" w:pos="1086"/>
        </w:tabs>
        <w:jc w:val="left"/>
        <w:rPr>
          <w:rFonts w:ascii="仿宋_GB2312" w:eastAsia="仿宋_GB2312" w:hAnsiTheme="majorEastAsia"/>
          <w:b/>
          <w:sz w:val="28"/>
          <w:szCs w:val="28"/>
          <w:highlight w:val="yellow"/>
        </w:rPr>
        <w:sectPr>
          <w:pgSz w:w="11906" w:h="16838"/>
          <w:pgMar w:top="2098" w:right="1474" w:bottom="1984" w:left="1588" w:header="851" w:footer="992" w:gutter="0"/>
          <w:cols w:space="0" w:num="1"/>
          <w:docGrid w:type="lines" w:linePitch="312" w:charSpace="0"/>
        </w:sectPr>
      </w:pPr>
      <w:r>
        <w:rPr>
          <w:rFonts w:hint="eastAsia"/>
        </w:rPr>
        <w:tab/>
      </w: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4928"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4" name="图片 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43" o:spid="_x0000_s1043" o:spt="202" type="#_x0000_t202" style="position:absolute;left:0pt;margin-left:-78.7pt;margin-top:232.8pt;height:159.1pt;width:596.2pt;z-index:251643904;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第三部分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部门决算情况说明</w:t>
                  </w:r>
                </w:p>
              </w:txbxContent>
            </v:textbox>
          </v:shape>
        </w:pict>
      </w:r>
    </w:p>
    <w:p>
      <w:pPr>
        <w:pStyle w:val="3"/>
        <w:spacing w:before="0" w:after="0" w:line="580" w:lineRule="exact"/>
        <w:ind w:firstLine="640" w:firstLineChars="200"/>
        <w:rPr>
          <w:rFonts w:ascii="黑体" w:eastAsia="黑体"/>
          <w:b w:val="0"/>
          <w:bCs w:val="0"/>
        </w:rPr>
      </w:pPr>
      <w:r>
        <w:rPr>
          <w:rFonts w:hint="eastAsia" w:ascii="黑体" w:eastAsia="黑体"/>
          <w:b w:val="0"/>
          <w:bCs w:val="0"/>
        </w:rPr>
        <w:t>一、收入</w:t>
      </w:r>
      <w:r>
        <w:rPr>
          <w:rFonts w:hint="eastAsia" w:ascii="黑体" w:eastAsia="黑体" w:cs="黑体" w:hAnsiTheme="minorHAnsi"/>
          <w:b w:val="0"/>
          <w:bCs w:val="0"/>
          <w:kern w:val="0"/>
        </w:rPr>
        <w:t>支出</w:t>
      </w:r>
      <w:r>
        <w:rPr>
          <w:rFonts w:hint="eastAsia" w:ascii="黑体" w:eastAsia="黑体"/>
          <w:b w:val="0"/>
          <w:bCs w:val="0"/>
        </w:rPr>
        <w:t>决算总体情况说明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本部门2018年度收支总计（含结转和结余）1176.27万元。与2017年度决算相比，收支各增加68.20万元，增长6.15%，主要原因是公用支出增加。</w:t>
      </w:r>
    </w:p>
    <w:p>
      <w:pPr>
        <w:pStyle w:val="3"/>
        <w:spacing w:before="0" w:after="0" w:line="580" w:lineRule="exact"/>
        <w:ind w:firstLine="640" w:firstLineChars="200"/>
        <w:rPr>
          <w:rFonts w:ascii="黑体" w:eastAsia="黑体"/>
          <w:b w:val="0"/>
          <w:bCs w:val="0"/>
        </w:rPr>
      </w:pPr>
      <w:r>
        <w:rPr>
          <w:rFonts w:hint="eastAsia" w:ascii="黑体" w:eastAsia="黑体"/>
          <w:b w:val="0"/>
          <w:bCs w:val="0"/>
        </w:rPr>
        <w:t>二、收入决算情况说明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本部门2018年度本年收入合计1176.27万元，其中：财政拨款收入1176.27万元，占100%；事业收入0万元，占0%；经营收入0万元，占0%；其他收入0万元，占0%。如图所示：</w:t>
      </w:r>
    </w:p>
    <w:p>
      <w:pPr>
        <w:adjustRightInd w:val="0"/>
        <w:snapToGrid w:val="0"/>
        <w:spacing w:after="0" w:line="240" w:lineRule="auto"/>
        <w:ind w:firstLine="1920" w:firstLineChars="600"/>
        <w:rPr>
          <w:rFonts w:ascii="仿宋_GB2312" w:eastAsia="仿宋_GB2312" w:cs="DengXian-Regular"/>
          <w:sz w:val="32"/>
          <w:szCs w:val="32"/>
        </w:rPr>
      </w:pPr>
    </w:p>
    <w:p>
      <w:pPr>
        <w:pStyle w:val="3"/>
        <w:spacing w:before="0" w:after="0" w:line="240" w:lineRule="auto"/>
        <w:ind w:firstLine="643" w:firstLineChars="200"/>
        <w:rPr>
          <w:rFonts w:ascii="黑体" w:eastAsia="黑体"/>
        </w:rPr>
      </w:pPr>
      <w:r>
        <w:rPr>
          <w:rFonts w:ascii="黑体" w:eastAsia="黑体"/>
        </w:rPr>
        <w:drawing>
          <wp:inline distT="0" distB="0" distL="0" distR="0">
            <wp:extent cx="4391025" cy="2552700"/>
            <wp:effectExtent l="57150" t="0" r="47625" b="76200"/>
            <wp:docPr id="3"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6"/>
              </a:graphicData>
            </a:graphic>
          </wp:inline>
        </w:drawing>
      </w:r>
    </w:p>
    <w:p>
      <w:pPr>
        <w:pStyle w:val="3"/>
        <w:spacing w:before="0" w:after="0" w:line="240" w:lineRule="auto"/>
        <w:ind w:firstLine="643" w:firstLineChars="200"/>
        <w:rPr>
          <w:rFonts w:ascii="黑体" w:eastAsia="黑体"/>
        </w:rPr>
      </w:pPr>
    </w:p>
    <w:p>
      <w:pPr>
        <w:pStyle w:val="3"/>
        <w:spacing w:before="0" w:after="0" w:line="240" w:lineRule="auto"/>
        <w:ind w:firstLine="643" w:firstLineChars="200"/>
        <w:rPr>
          <w:rFonts w:ascii="黑体" w:eastAsia="黑体"/>
        </w:rPr>
      </w:pPr>
    </w:p>
    <w:p>
      <w:pPr>
        <w:pStyle w:val="3"/>
        <w:spacing w:before="0" w:after="0" w:line="580" w:lineRule="exact"/>
        <w:ind w:firstLine="640" w:firstLineChars="200"/>
        <w:rPr>
          <w:rFonts w:ascii="黑体" w:eastAsia="黑体"/>
          <w:b w:val="0"/>
          <w:bCs w:val="0"/>
        </w:rPr>
      </w:pPr>
    </w:p>
    <w:p>
      <w:pPr>
        <w:pStyle w:val="3"/>
        <w:spacing w:before="0" w:after="0" w:line="580" w:lineRule="exact"/>
        <w:ind w:firstLine="640" w:firstLineChars="200"/>
        <w:rPr>
          <w:rFonts w:ascii="黑体" w:eastAsia="黑体"/>
          <w:b w:val="0"/>
          <w:bCs w:val="0"/>
        </w:rPr>
      </w:pPr>
      <w:r>
        <w:rPr>
          <w:rFonts w:hint="eastAsia" w:ascii="黑体" w:eastAsia="黑体"/>
          <w:b w:val="0"/>
          <w:bCs w:val="0"/>
        </w:rPr>
        <w:t>三、支出决算情况说明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本部门2018年度本年支出合计1172.27万元，其中：基本支出</w:t>
      </w:r>
      <w:r>
        <w:rPr>
          <w:rFonts w:hint="eastAsia" w:ascii="宋体" w:hAnsi="宋体" w:cs="宋体"/>
          <w:sz w:val="32"/>
          <w:szCs w:val="32"/>
        </w:rPr>
        <w:t>960.94</w:t>
      </w:r>
      <w:r>
        <w:rPr>
          <w:rFonts w:hint="eastAsia" w:ascii="仿宋_GB2312" w:eastAsia="仿宋_GB2312" w:cs="DengXian-Regular"/>
          <w:sz w:val="32"/>
          <w:szCs w:val="32"/>
        </w:rPr>
        <w:t>万元，占</w:t>
      </w:r>
      <w:r>
        <w:rPr>
          <w:rFonts w:hint="eastAsia" w:ascii="仿宋_GB2312" w:cs="DengXian-Regular" w:eastAsiaTheme="minorEastAsia"/>
          <w:sz w:val="32"/>
          <w:szCs w:val="32"/>
        </w:rPr>
        <w:t>81.97</w:t>
      </w:r>
      <w:r>
        <w:rPr>
          <w:rFonts w:hint="eastAsia" w:ascii="仿宋_GB2312" w:eastAsia="仿宋_GB2312" w:cs="DengXian-Regular"/>
          <w:sz w:val="32"/>
          <w:szCs w:val="32"/>
        </w:rPr>
        <w:t>%；项目支出211.33万元，占18.03%；经营支出0万元，占0%。如图所示：</w:t>
      </w:r>
    </w:p>
    <w:p>
      <w:r>
        <w:drawing>
          <wp:inline distT="0" distB="0" distL="0" distR="0">
            <wp:extent cx="4219575" cy="2514600"/>
            <wp:effectExtent l="57150" t="0" r="47625" b="76200"/>
            <wp:docPr id="8"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pPr>
        <w:pStyle w:val="3"/>
        <w:spacing w:before="0" w:after="0" w:line="580" w:lineRule="exact"/>
        <w:ind w:firstLine="640" w:firstLineChars="200"/>
        <w:rPr>
          <w:rFonts w:ascii="黑体" w:eastAsia="黑体"/>
          <w:b w:val="0"/>
          <w:bCs w:val="0"/>
        </w:rPr>
      </w:pPr>
      <w:r>
        <w:rPr>
          <w:rFonts w:hint="eastAsia" w:ascii="黑体" w:eastAsia="黑体"/>
          <w:b w:val="0"/>
          <w:bCs w:val="0"/>
        </w:rPr>
        <w:t>四、</w:t>
      </w:r>
      <w:r>
        <w:rPr>
          <w:rFonts w:hint="eastAsia" w:ascii="黑体" w:eastAsia="黑体" w:cs="黑体" w:hAnsiTheme="minorHAnsi"/>
          <w:b w:val="0"/>
          <w:bCs w:val="0"/>
          <w:kern w:val="0"/>
        </w:rPr>
        <w:t>财政</w:t>
      </w:r>
      <w:r>
        <w:rPr>
          <w:rFonts w:hint="eastAsia" w:ascii="黑体" w:eastAsia="黑体"/>
          <w:b w:val="0"/>
          <w:bCs w:val="0"/>
        </w:rPr>
        <w:t>拨款收入支出决算情况说明</w:t>
      </w:r>
    </w:p>
    <w:p>
      <w:pPr>
        <w:spacing w:after="0" w:line="580" w:lineRule="exact"/>
        <w:ind w:firstLine="643" w:firstLineChars="200"/>
        <w:rPr>
          <w:rFonts w:ascii="楷体_GB2312" w:eastAsia="楷体_GB2312" w:cs="DengXian-Bold"/>
          <w:b/>
          <w:bCs/>
          <w:sz w:val="32"/>
          <w:szCs w:val="32"/>
        </w:rPr>
      </w:pPr>
      <w:r>
        <w:rPr>
          <w:rFonts w:hint="eastAsia" w:ascii="楷体_GB2312" w:eastAsia="楷体_GB2312" w:cs="DengXian-Bold"/>
          <w:b/>
          <w:bCs/>
          <w:sz w:val="32"/>
          <w:szCs w:val="32"/>
        </w:rPr>
        <w:t>（一）财政拨款收支与</w:t>
      </w:r>
      <w:r>
        <w:rPr>
          <w:rFonts w:hint="eastAsia" w:ascii="宋体" w:hAnsi="宋体" w:cs="宋体"/>
          <w:b/>
          <w:bCs/>
          <w:sz w:val="32"/>
          <w:szCs w:val="32"/>
        </w:rPr>
        <w:t>2017</w:t>
      </w:r>
      <w:r>
        <w:rPr>
          <w:rFonts w:hint="eastAsia" w:ascii="楷体_GB2312" w:eastAsia="楷体_GB2312" w:cs="DengXian-Bold"/>
          <w:b/>
          <w:bCs/>
          <w:sz w:val="32"/>
          <w:szCs w:val="32"/>
        </w:rPr>
        <w:t>年度决算对比情况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本部门2018年度形成的财政拨款收支均为一般公共预算财政拨款，其中一般公共预算财政拨款本年收入1176.27万元,比2017年度增加68.20万元，增长6.15%，主要是基本支出增加。本年支出1172.27万元，增加</w:t>
      </w:r>
      <w:r>
        <w:rPr>
          <w:rFonts w:hint="eastAsia" w:ascii="仿宋_GB2312" w:cs="DengXian-Regular" w:eastAsiaTheme="minorEastAsia"/>
          <w:sz w:val="32"/>
          <w:szCs w:val="32"/>
        </w:rPr>
        <w:t>124.57</w:t>
      </w:r>
      <w:r>
        <w:rPr>
          <w:rFonts w:hint="eastAsia" w:ascii="仿宋_GB2312" w:eastAsia="仿宋_GB2312" w:cs="DengXian-Regular"/>
          <w:sz w:val="32"/>
          <w:szCs w:val="32"/>
        </w:rPr>
        <w:t>万元，增长</w:t>
      </w:r>
      <w:r>
        <w:rPr>
          <w:rFonts w:hint="eastAsia" w:ascii="仿宋_GB2312" w:cs="DengXian-Regular" w:eastAsiaTheme="minorEastAsia"/>
          <w:sz w:val="32"/>
          <w:szCs w:val="32"/>
        </w:rPr>
        <w:t>11.89</w:t>
      </w:r>
      <w:r>
        <w:rPr>
          <w:rFonts w:hint="eastAsia" w:ascii="仿宋_GB2312" w:eastAsia="仿宋_GB2312" w:cs="DengXian-Regular"/>
          <w:sz w:val="32"/>
          <w:szCs w:val="32"/>
        </w:rPr>
        <w:t>%，主要是基本支出增加。</w:t>
      </w:r>
    </w:p>
    <w:p>
      <w:pPr>
        <w:adjustRightInd w:val="0"/>
        <w:snapToGrid w:val="0"/>
        <w:spacing w:after="0" w:line="240" w:lineRule="auto"/>
        <w:ind w:firstLine="640" w:firstLineChars="200"/>
        <w:rPr>
          <w:rFonts w:ascii="仿宋_GB2312" w:cs="DengXian-Regular" w:eastAsiaTheme="minorEastAsia"/>
          <w:sz w:val="32"/>
          <w:szCs w:val="32"/>
        </w:rPr>
      </w:pPr>
      <w:r>
        <w:rPr>
          <w:rFonts w:ascii="仿宋_GB2312" w:cs="DengXian-Regular" w:eastAsiaTheme="minorEastAsia"/>
          <w:sz w:val="32"/>
          <w:szCs w:val="32"/>
        </w:rPr>
        <w:drawing>
          <wp:inline distT="0" distB="0" distL="0" distR="0">
            <wp:extent cx="4572000" cy="2981325"/>
            <wp:effectExtent l="0" t="0" r="0" b="0"/>
            <wp:docPr id="1" name="图表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pPr>
        <w:adjustRightInd w:val="0"/>
        <w:snapToGrid w:val="0"/>
        <w:spacing w:after="0" w:line="580" w:lineRule="exact"/>
        <w:ind w:firstLine="640" w:firstLineChars="200"/>
        <w:rPr>
          <w:rFonts w:ascii="仿宋_GB2312" w:eastAsia="仿宋_GB2312" w:cs="DengXian-Regular"/>
          <w:sz w:val="32"/>
          <w:szCs w:val="32"/>
        </w:rPr>
      </w:pPr>
    </w:p>
    <w:p>
      <w:pPr>
        <w:adjustRightInd w:val="0"/>
        <w:snapToGrid w:val="0"/>
        <w:spacing w:after="0" w:line="580" w:lineRule="exact"/>
        <w:rPr>
          <w:rFonts w:ascii="仿宋_GB2312" w:eastAsia="仿宋_GB2312" w:cs="DengXian-Regular"/>
          <w:sz w:val="32"/>
          <w:szCs w:val="32"/>
        </w:rPr>
      </w:pPr>
      <w:r>
        <w:rPr>
          <w:rFonts w:hint="eastAsia" w:ascii="宋体" w:hAnsi="宋体" w:cs="宋体"/>
          <w:b/>
          <w:bCs/>
          <w:sz w:val="32"/>
          <w:szCs w:val="32"/>
        </w:rPr>
        <w:t xml:space="preserve">   </w:t>
      </w:r>
      <w:r>
        <w:rPr>
          <w:rFonts w:hint="eastAsia" w:ascii="楷体_GB2312" w:eastAsia="楷体_GB2312" w:cs="DengXian-Bold"/>
          <w:b/>
          <w:bCs/>
          <w:sz w:val="32"/>
          <w:szCs w:val="32"/>
        </w:rPr>
        <w:t>（二）财政拨款收支与年初预算数对比情况</w:t>
      </w:r>
    </w:p>
    <w:p>
      <w:pPr>
        <w:adjustRightInd w:val="0"/>
        <w:snapToGrid w:val="0"/>
        <w:spacing w:after="0" w:line="580" w:lineRule="exact"/>
        <w:ind w:firstLine="640" w:firstLineChars="200"/>
        <w:rPr>
          <w:rFonts w:ascii="仿宋" w:hAnsi="仿宋" w:eastAsia="仿宋" w:cs="DengXian-Regular"/>
          <w:sz w:val="32"/>
          <w:szCs w:val="32"/>
        </w:rPr>
      </w:pPr>
      <w:r>
        <w:rPr>
          <w:rFonts w:hint="eastAsia" w:ascii="仿宋_GB2312" w:eastAsia="仿宋_GB2312" w:cs="DengXian-Regular"/>
          <w:sz w:val="32"/>
          <w:szCs w:val="32"/>
        </w:rPr>
        <w:t>本部门2018年度一般公共预算财政拨款收入1176.27万元，完成年初预算的</w:t>
      </w:r>
      <w:r>
        <w:rPr>
          <w:rFonts w:hint="eastAsia" w:ascii="仿宋_GB2312" w:cs="DengXian-Regular" w:eastAsiaTheme="minorEastAsia"/>
          <w:sz w:val="32"/>
          <w:szCs w:val="32"/>
        </w:rPr>
        <w:t>112.09</w:t>
      </w:r>
      <w:r>
        <w:rPr>
          <w:rFonts w:hint="eastAsia" w:ascii="仿宋_GB2312" w:eastAsia="仿宋_GB2312" w:cs="DengXian-Regular"/>
          <w:sz w:val="32"/>
          <w:szCs w:val="32"/>
        </w:rPr>
        <w:t>%,比年初预</w:t>
      </w:r>
      <w:r>
        <w:rPr>
          <w:rFonts w:hint="eastAsia" w:ascii="仿宋" w:hAnsi="仿宋" w:eastAsia="仿宋" w:cs="DengXian-Regular"/>
          <w:sz w:val="32"/>
          <w:szCs w:val="32"/>
        </w:rPr>
        <w:t>算增加</w:t>
      </w:r>
      <w:r>
        <w:rPr>
          <w:rFonts w:hint="eastAsia" w:ascii="仿宋_GB2312" w:cs="DengXian-Regular" w:eastAsiaTheme="minorEastAsia"/>
          <w:sz w:val="32"/>
          <w:szCs w:val="32"/>
        </w:rPr>
        <w:t>126.91</w:t>
      </w:r>
      <w:r>
        <w:rPr>
          <w:rFonts w:hint="eastAsia" w:ascii="仿宋_GB2312" w:eastAsia="仿宋_GB2312" w:cs="DengXian-Regular"/>
          <w:sz w:val="32"/>
          <w:szCs w:val="32"/>
        </w:rPr>
        <w:t>万元，</w:t>
      </w:r>
      <w:r>
        <w:rPr>
          <w:rFonts w:hint="eastAsia" w:ascii="仿宋" w:hAnsi="仿宋" w:eastAsia="仿宋" w:cs="DengXian-Regular"/>
          <w:sz w:val="32"/>
          <w:szCs w:val="32"/>
        </w:rPr>
        <w:t>决算数大于预算数主要原因是基本支出收入增加；本年支出1172.27万元，完成年初预算的111.71%,比年初预算增加122.91万元，决算数大于预算数主要原因是基本支出增加。</w:t>
      </w:r>
    </w:p>
    <w:p>
      <w:pPr>
        <w:adjustRightInd w:val="0"/>
        <w:snapToGrid w:val="0"/>
        <w:spacing w:after="0" w:line="240" w:lineRule="auto"/>
        <w:ind w:firstLine="640" w:firstLineChars="200"/>
        <w:rPr>
          <w:rFonts w:ascii="仿宋_GB2312" w:cs="DengXian-Regular" w:eastAsiaTheme="minorEastAsia"/>
          <w:sz w:val="32"/>
          <w:szCs w:val="32"/>
          <w:highlight w:val="yellow"/>
        </w:rPr>
      </w:pPr>
      <w:r>
        <w:rPr>
          <w:rFonts w:ascii="仿宋_GB2312" w:cs="DengXian-Regular" w:eastAsiaTheme="minorEastAsia"/>
          <w:sz w:val="32"/>
          <w:szCs w:val="32"/>
        </w:rPr>
        <w:drawing>
          <wp:inline distT="0" distB="0" distL="0" distR="0">
            <wp:extent cx="4572000" cy="3486150"/>
            <wp:effectExtent l="0" t="0" r="0" b="0"/>
            <wp:docPr id="2" name="图表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pPr>
        <w:adjustRightInd w:val="0"/>
        <w:snapToGrid w:val="0"/>
        <w:spacing w:after="0" w:line="240" w:lineRule="auto"/>
        <w:ind w:firstLine="640" w:firstLineChars="200"/>
        <w:rPr>
          <w:rFonts w:ascii="仿宋_GB2312" w:eastAsia="仿宋_GB2312" w:cs="DengXian-Regular"/>
          <w:sz w:val="32"/>
          <w:szCs w:val="32"/>
          <w:highlight w:val="yellow"/>
        </w:rPr>
      </w:pPr>
    </w:p>
    <w:p>
      <w:pPr>
        <w:adjustRightInd w:val="0"/>
        <w:snapToGrid w:val="0"/>
        <w:spacing w:after="0" w:line="580" w:lineRule="exact"/>
        <w:ind w:firstLine="640" w:firstLineChars="200"/>
        <w:rPr>
          <w:rFonts w:ascii="仿宋_GB2312" w:eastAsia="仿宋_GB2312" w:cs="DengXian-Regular"/>
          <w:sz w:val="32"/>
          <w:szCs w:val="32"/>
          <w:highlight w:val="yellow"/>
        </w:rPr>
      </w:pPr>
    </w:p>
    <w:p>
      <w:pPr>
        <w:numPr>
          <w:ilvl w:val="0"/>
          <w:numId w:val="3"/>
        </w:num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财政拨款支出决算结构情况。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年度财政拨款支出1172.27万元，主要用于以下方面一般公共服务（类）支出1151.04万元，占</w:t>
      </w:r>
      <w:r>
        <w:rPr>
          <w:rFonts w:hint="eastAsia" w:ascii="宋体" w:hAnsi="宋体" w:cs="宋体"/>
          <w:sz w:val="32"/>
          <w:szCs w:val="32"/>
        </w:rPr>
        <w:t>98.19</w:t>
      </w:r>
      <w:r>
        <w:rPr>
          <w:rFonts w:hint="eastAsia" w:ascii="仿宋_GB2312" w:eastAsia="仿宋_GB2312" w:cs="DengXian-Regular"/>
          <w:sz w:val="32"/>
          <w:szCs w:val="32"/>
        </w:rPr>
        <w:t>%；公共安全类（类）支出0万元，占0%；教育（类）支出0万元，占0%；科学技术（类）支出0万元，占 0%；社会保障和就业（类）支出 17.23万元，占1.47%；住房保障（类）支出0万元，占 0%;农林水支出4万元，占0.34%。</w:t>
      </w:r>
    </w:p>
    <w:p>
      <w:pPr>
        <w:adjustRightInd w:val="0"/>
        <w:snapToGrid w:val="0"/>
        <w:spacing w:after="0" w:line="240" w:lineRule="auto"/>
        <w:ind w:firstLine="640" w:firstLineChars="200"/>
        <w:rPr>
          <w:rFonts w:ascii="仿宋_GB2312" w:eastAsia="仿宋_GB2312" w:cs="DengXian-Regular"/>
          <w:sz w:val="32"/>
          <w:szCs w:val="32"/>
        </w:rPr>
      </w:pPr>
      <w:r>
        <w:rPr>
          <w:rFonts w:ascii="仿宋_GB2312" w:eastAsia="仿宋_GB2312" w:cs="DengXian-Regular"/>
          <w:sz w:val="32"/>
          <w:szCs w:val="32"/>
        </w:rPr>
        <w:drawing>
          <wp:inline distT="0" distB="0" distL="0" distR="0">
            <wp:extent cx="4572000" cy="3228975"/>
            <wp:effectExtent l="57150" t="0" r="57150" b="85724"/>
            <wp:docPr id="31" name="图表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pPr>
        <w:adjustRightInd w:val="0"/>
        <w:snapToGrid w:val="0"/>
        <w:spacing w:after="0" w:line="580" w:lineRule="exact"/>
        <w:ind w:left="420" w:leftChars="200"/>
        <w:rPr>
          <w:rFonts w:ascii="楷体_GB2312" w:eastAsia="楷体_GB2312" w:cs="DengXian-Bold"/>
          <w:b/>
          <w:bCs/>
          <w:sz w:val="32"/>
          <w:szCs w:val="32"/>
        </w:rPr>
      </w:pPr>
      <w:r>
        <w:rPr>
          <w:rFonts w:hint="eastAsia" w:ascii="楷体_GB2312" w:eastAsia="楷体_GB2312" w:cs="DengXian-Bold"/>
          <w:b/>
          <w:bCs/>
          <w:sz w:val="32"/>
          <w:szCs w:val="32"/>
        </w:rPr>
        <w:t>（四）一般公共预算财政拨款基本支出决算情况说明</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2018 年度一般公共预算财政拨款基本支出960.94万元，其中：人员经费785.12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 175.82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pPr>
        <w:pStyle w:val="3"/>
        <w:spacing w:before="0" w:after="0" w:line="580" w:lineRule="exact"/>
        <w:ind w:firstLine="640" w:firstLineChars="200"/>
        <w:rPr>
          <w:rFonts w:ascii="黑体" w:eastAsia="黑体"/>
          <w:b w:val="0"/>
          <w:bCs w:val="0"/>
        </w:rPr>
      </w:pPr>
      <w:r>
        <w:rPr>
          <w:rFonts w:hint="eastAsia" w:ascii="黑体" w:eastAsia="黑体"/>
          <w:b w:val="0"/>
          <w:bCs w:val="0"/>
        </w:rPr>
        <w:t>五、一般公共预算财政拨款“三公” 经费支出决算情况说明</w:t>
      </w:r>
    </w:p>
    <w:p>
      <w:pPr>
        <w:widowControl/>
        <w:spacing w:after="0" w:line="240" w:lineRule="auto"/>
        <w:jc w:val="left"/>
        <w:rPr>
          <w:rFonts w:ascii="仿宋_GB2312" w:eastAsia="仿宋_GB2312" w:cs="DengXian-Regular"/>
          <w:sz w:val="32"/>
          <w:szCs w:val="32"/>
        </w:rPr>
      </w:pPr>
      <w:r>
        <w:rPr>
          <w:rFonts w:hint="eastAsia" w:ascii="仿宋_GB2312" w:eastAsia="仿宋_GB2312" w:cs="DengXian-Regular"/>
          <w:sz w:val="32"/>
          <w:szCs w:val="32"/>
        </w:rPr>
        <w:t xml:space="preserve">    本部门2018年度 “三公”经费支出共计2.77万元，</w:t>
      </w:r>
      <w:r>
        <w:rPr>
          <w:rFonts w:hint="eastAsia" w:ascii="仿宋_GB2312" w:eastAsia="仿宋_GB2312" w:cs="DengXian-Regular"/>
          <w:b/>
          <w:bCs/>
          <w:sz w:val="32"/>
          <w:szCs w:val="32"/>
        </w:rPr>
        <w:t>较年初预算减少0.23万元，降低7.66%，</w:t>
      </w:r>
      <w:r>
        <w:rPr>
          <w:rFonts w:hint="eastAsia" w:ascii="仿宋_GB2312" w:eastAsia="仿宋_GB2312" w:cs="DengXian-Regular"/>
          <w:sz w:val="32"/>
          <w:szCs w:val="32"/>
        </w:rPr>
        <w:t>主要是认真贯彻落实中央</w:t>
      </w:r>
      <w:bookmarkStart w:id="0" w:name="_GoBack"/>
      <w:bookmarkEnd w:id="0"/>
      <w:r>
        <w:rPr>
          <w:rFonts w:hint="eastAsia" w:ascii="仿宋_GB2312" w:eastAsia="仿宋_GB2312" w:cs="DengXian-Regular"/>
          <w:sz w:val="32"/>
          <w:szCs w:val="32"/>
        </w:rPr>
        <w:t>八项规定精神和厉行节约要求，从严控制“三公”经费开支，全年实际支出比预算有所节约。具体情况如下：</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（一）因公出国（境）费支出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本部门2018年度因公出国（境）团组0个、共0人。因公出国（境）费支出较年初预算持平，主要是没有因公出国出境支出。</w:t>
      </w:r>
    </w:p>
    <w:p>
      <w:pPr>
        <w:adjustRightInd w:val="0"/>
        <w:snapToGrid w:val="0"/>
        <w:spacing w:after="0" w:line="580" w:lineRule="exact"/>
        <w:ind w:firstLine="643" w:firstLineChars="200"/>
        <w:rPr>
          <w:rFonts w:ascii="仿宋_GB2312" w:eastAsia="仿宋_GB2312" w:cs="DengXian-Bold"/>
          <w:b/>
          <w:bCs/>
          <w:sz w:val="32"/>
          <w:szCs w:val="32"/>
        </w:rPr>
      </w:pPr>
      <w:r>
        <w:rPr>
          <w:rFonts w:hint="eastAsia" w:ascii="楷体_GB2312" w:eastAsia="楷体_GB2312" w:cs="DengXian-Bold"/>
          <w:b/>
          <w:bCs/>
          <w:sz w:val="32"/>
          <w:szCs w:val="32"/>
        </w:rPr>
        <w:t>（二）公务用车购置及运行维护费支出</w:t>
      </w:r>
      <w:r>
        <w:rPr>
          <w:rFonts w:hint="eastAsia" w:ascii="宋体" w:hAnsi="宋体" w:cs="宋体"/>
          <w:b/>
          <w:bCs/>
          <w:sz w:val="32"/>
          <w:szCs w:val="32"/>
        </w:rPr>
        <w:t>2.77</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本部门2018年度公务用车购置及运行维护费较年初预算减少0.23万元，降低7.66%,主要是从严控制“三公”经费开支，全年实际支出比预算有所节约。</w:t>
      </w:r>
      <w:r>
        <w:rPr>
          <w:rFonts w:hint="eastAsia" w:ascii="仿宋_GB2312" w:eastAsia="仿宋_GB2312" w:cs="DengXian-Bold"/>
          <w:b/>
          <w:bCs/>
          <w:sz w:val="32"/>
          <w:szCs w:val="32"/>
        </w:rPr>
        <w:t>其中：</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公务用车购置费：</w:t>
      </w:r>
      <w:r>
        <w:rPr>
          <w:rFonts w:hint="eastAsia" w:ascii="仿宋_GB2312" w:eastAsia="仿宋_GB2312" w:cs="DengXian-Regular"/>
          <w:sz w:val="32"/>
          <w:szCs w:val="32"/>
        </w:rPr>
        <w:t>本部门2018年度公务用车购置量0辆，发生“公务用车购置”经费支出0万元。公务用车购置费支出与年初预算持平，主要是未发生公务用车购置经费支出。</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仿宋_GB2312" w:eastAsia="仿宋_GB2312" w:cs="DengXian-Regular"/>
          <w:b/>
          <w:sz w:val="32"/>
          <w:szCs w:val="32"/>
        </w:rPr>
        <w:t>公务用车运行维护费：</w:t>
      </w:r>
      <w:r>
        <w:rPr>
          <w:rFonts w:hint="eastAsia" w:ascii="仿宋_GB2312" w:eastAsia="仿宋_GB2312" w:cs="DengXian-Regular"/>
          <w:sz w:val="32"/>
          <w:szCs w:val="32"/>
        </w:rPr>
        <w:t>本部门2018年度单位公务用车保有量2辆。公车运行维护费2.77万元，较年初预算减少0.23万元，降低7.66%,主要是从严控制“三公”经费开支，全年实际支出比预算有所节约。</w:t>
      </w:r>
    </w:p>
    <w:p>
      <w:pPr>
        <w:adjustRightInd w:val="0"/>
        <w:snapToGrid w:val="0"/>
        <w:spacing w:after="0" w:line="580" w:lineRule="exact"/>
        <w:ind w:firstLine="643" w:firstLineChars="200"/>
        <w:rPr>
          <w:rFonts w:ascii="仿宋_GB2312" w:eastAsia="仿宋_GB2312" w:cs="DengXian-Regular"/>
          <w:sz w:val="32"/>
          <w:szCs w:val="32"/>
        </w:rPr>
      </w:pPr>
      <w:r>
        <w:rPr>
          <w:rFonts w:hint="eastAsia" w:ascii="楷体_GB2312" w:eastAsia="楷体_GB2312" w:cs="DengXian-Bold"/>
          <w:b/>
          <w:bCs/>
          <w:sz w:val="32"/>
          <w:szCs w:val="32"/>
        </w:rPr>
        <w:t>（三）公务接待费支出</w:t>
      </w:r>
      <w:r>
        <w:rPr>
          <w:rFonts w:hint="eastAsia" w:ascii="宋体" w:hAnsi="宋体" w:cs="宋体"/>
          <w:b/>
          <w:bCs/>
          <w:sz w:val="32"/>
          <w:szCs w:val="32"/>
        </w:rPr>
        <w:t>0</w:t>
      </w:r>
      <w:r>
        <w:rPr>
          <w:rFonts w:hint="eastAsia" w:ascii="楷体_GB2312" w:eastAsia="楷体_GB2312" w:cs="DengXian-Bold"/>
          <w:b/>
          <w:bCs/>
          <w:sz w:val="32"/>
          <w:szCs w:val="32"/>
        </w:rPr>
        <w:t>万元。</w:t>
      </w:r>
      <w:r>
        <w:rPr>
          <w:rFonts w:hint="eastAsia" w:ascii="仿宋_GB2312" w:eastAsia="仿宋_GB2312" w:cs="DengXian-Regular"/>
          <w:sz w:val="32"/>
          <w:szCs w:val="32"/>
        </w:rPr>
        <w:t>本部门2018年度公务接待共0批次、0人次。公务接待费支出较年初预算持平，无增减变化，主要是没有公务接待费用支出。</w:t>
      </w:r>
    </w:p>
    <w:p>
      <w:pPr>
        <w:pStyle w:val="3"/>
        <w:spacing w:before="0" w:after="0" w:line="580" w:lineRule="exact"/>
        <w:ind w:firstLine="643" w:firstLineChars="200"/>
        <w:rPr>
          <w:rFonts w:ascii="黑体" w:eastAsia="黑体" w:cs="Times New Roman"/>
        </w:rPr>
      </w:pPr>
      <w:r>
        <w:rPr>
          <w:rFonts w:hint="eastAsia" w:ascii="黑体" w:eastAsia="黑体"/>
          <w:szCs w:val="40"/>
        </w:rPr>
        <w:t>六、</w:t>
      </w:r>
      <w:r>
        <w:rPr>
          <w:rFonts w:hint="eastAsia" w:ascii="黑体" w:eastAsia="黑体" w:cs="Times New Roman"/>
        </w:rPr>
        <w:t>绩效预算情况说明</w:t>
      </w:r>
    </w:p>
    <w:p>
      <w:pPr>
        <w:adjustRightInd w:val="0"/>
        <w:snapToGrid w:val="0"/>
        <w:spacing w:after="0" w:line="580" w:lineRule="exact"/>
        <w:ind w:firstLine="640" w:firstLineChars="200"/>
        <w:rPr>
          <w:rFonts w:ascii="仿宋_GB2312" w:eastAsia="仿宋_GB2312" w:cs="DengXian-Regular"/>
          <w:color w:val="FF0000"/>
          <w:sz w:val="32"/>
          <w:szCs w:val="32"/>
        </w:rPr>
      </w:pPr>
      <w:r>
        <w:rPr>
          <w:rFonts w:hint="eastAsia" w:ascii="仿宋_GB2312" w:eastAsia="仿宋_GB2312" w:cs="DengXian-Regular"/>
          <w:sz w:val="32"/>
          <w:szCs w:val="32"/>
        </w:rPr>
        <w:t>（一）绩效管理工作开展情况。根据《关于开展2018年度财政专项资金部门绩效自评价工作的通知》（无财[2019]13号），本单位认真开展了预算绩效管理改革开展情况自查，对部门全面规范绩效预算编制、严格预算执行管理、推进绩效评价工作、推进预决算信息公开等方面进行了自评，考核结果为良好。</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二）预算项目绩效评价开展情况。根据预算绩效管理要求，本单位组织对2018年度一般公共预算项目支出全面开展绩效自评，涉及行政运行、信息化建设、其他财政事务等3个项目，涉及资金1151.04万元。从评价情况看，评价结果均为良好。</w:t>
      </w:r>
    </w:p>
    <w:p>
      <w:pPr>
        <w:adjustRightInd w:val="0"/>
        <w:snapToGrid w:val="0"/>
        <w:spacing w:after="0" w:line="580" w:lineRule="exact"/>
        <w:ind w:firstLine="643" w:firstLineChars="200"/>
        <w:rPr>
          <w:rFonts w:ascii="仿宋_GB2312" w:eastAsia="仿宋_GB2312" w:cs="DengXian-Regular"/>
          <w:b/>
          <w:sz w:val="32"/>
          <w:szCs w:val="32"/>
          <w:shd w:val="pct10" w:color="auto" w:fill="FFFFFF"/>
        </w:rPr>
      </w:pPr>
      <w:r>
        <w:rPr>
          <w:rFonts w:hint="eastAsia" w:ascii="仿宋_GB2312" w:eastAsia="仿宋_GB2312" w:cs="DengXian-Regular"/>
          <w:b/>
          <w:sz w:val="32"/>
          <w:szCs w:val="32"/>
        </w:rPr>
        <w:t>（三）预算项目绩效自评选例</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 w:hAnsi="仿宋" w:eastAsia="仿宋" w:cs="DengXian-Regular"/>
          <w:sz w:val="32"/>
          <w:szCs w:val="32"/>
        </w:rPr>
        <w:t>1、本单位2018年信息化建设项目绩效自评：根据年初设定的绩效目标，息化建设项目绩效自评结果为良好项目全年预算数为7.79万元，执行数为7.79万元，完成预算的100%。主要产出和效果是</w:t>
      </w:r>
      <w:r>
        <w:rPr>
          <w:rFonts w:hint="eastAsia" w:ascii="仿宋" w:hAnsi="仿宋" w:eastAsia="仿宋" w:cs="宋体"/>
          <w:color w:val="000000"/>
          <w:kern w:val="0"/>
          <w:sz w:val="32"/>
          <w:szCs w:val="32"/>
        </w:rPr>
        <w:t>：提高财政信息化管理</w:t>
      </w:r>
      <w:r>
        <w:rPr>
          <w:rFonts w:hint="eastAsia" w:ascii="仿宋" w:hAnsi="仿宋" w:eastAsia="仿宋" w:cs="DengXian-Regular"/>
          <w:sz w:val="32"/>
          <w:szCs w:val="32"/>
        </w:rPr>
        <w:t>。提高</w:t>
      </w:r>
      <w:r>
        <w:rPr>
          <w:rFonts w:hint="eastAsia" w:ascii="仿宋" w:hAnsi="仿宋" w:eastAsia="仿宋" w:cs="宋体"/>
          <w:color w:val="000000"/>
          <w:kern w:val="0"/>
          <w:sz w:val="32"/>
          <w:szCs w:val="32"/>
        </w:rPr>
        <w:t>信息化管理使用率，加强财政业务运行，切实加强财政运行效率，提高工作目标效率。</w:t>
      </w:r>
      <w:r>
        <w:rPr>
          <w:rFonts w:hint="eastAsia" w:ascii="仿宋" w:hAnsi="仿宋" w:eastAsia="仿宋" w:cs="仿宋"/>
          <w:sz w:val="32"/>
          <w:szCs w:val="32"/>
        </w:rPr>
        <w:t>年度资金使用比例100%。完成目标任务100%。效益指标：提高财政资金监督管理。完成目标任务95%。满意度指标：群众满意度，完成任务目标100%。</w:t>
      </w:r>
    </w:p>
    <w:p>
      <w:pPr>
        <w:adjustRightInd w:val="0"/>
        <w:snapToGrid w:val="0"/>
        <w:spacing w:after="0" w:line="580" w:lineRule="exact"/>
        <w:ind w:firstLine="640" w:firstLineChars="200"/>
        <w:rPr>
          <w:rFonts w:ascii="仿宋" w:hAnsi="仿宋" w:eastAsia="仿宋" w:cs="仿宋"/>
          <w:sz w:val="32"/>
          <w:szCs w:val="32"/>
        </w:rPr>
      </w:pPr>
      <w:r>
        <w:rPr>
          <w:rFonts w:hint="eastAsia" w:ascii="仿宋_GB2312" w:eastAsia="仿宋_GB2312" w:cs="DengXian-Regular"/>
          <w:sz w:val="32"/>
          <w:szCs w:val="32"/>
        </w:rPr>
        <w:t>2、</w:t>
      </w:r>
      <w:r>
        <w:rPr>
          <w:rFonts w:hint="eastAsia" w:ascii="仿宋" w:hAnsi="仿宋" w:eastAsia="仿宋" w:cs="仿宋"/>
          <w:sz w:val="32"/>
          <w:szCs w:val="32"/>
        </w:rPr>
        <w:t>本单位2018年财政委托业务项目自评</w:t>
      </w:r>
      <w:r>
        <w:rPr>
          <w:rFonts w:hint="eastAsia" w:ascii="仿宋" w:hAnsi="仿宋" w:eastAsia="仿宋" w:cs="DengXian-Regular"/>
          <w:sz w:val="32"/>
          <w:szCs w:val="32"/>
        </w:rPr>
        <w:t>根据年初设定的绩效目标，财政委托业务项目绩效自评结果为良好项目全年预算数为50万元，执行数为50万，按成预算的100%。主要产出和效果指标为加强财政业务审核咨询事务，完成财政监管职责。</w:t>
      </w:r>
      <w:r>
        <w:rPr>
          <w:rFonts w:hint="eastAsia" w:ascii="仿宋" w:hAnsi="仿宋" w:eastAsia="仿宋" w:cs="仿宋"/>
          <w:sz w:val="32"/>
          <w:szCs w:val="32"/>
        </w:rPr>
        <w:t>年度资金使用比例100%。完成目标任务100%。效益指标：完善财政监管机制，完成目标任务95%。满意度指标：群众满意度，完成任务目标100%。</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未发现其他问题。</w:t>
      </w:r>
    </w:p>
    <w:p>
      <w:pPr>
        <w:pStyle w:val="3"/>
        <w:spacing w:before="0" w:after="0" w:line="580" w:lineRule="exact"/>
        <w:ind w:firstLine="640" w:firstLineChars="200"/>
        <w:rPr>
          <w:rFonts w:ascii="黑体" w:eastAsia="黑体" w:cs="Times New Roman"/>
          <w:b w:val="0"/>
          <w:bCs w:val="0"/>
        </w:rPr>
      </w:pPr>
      <w:r>
        <w:rPr>
          <w:rFonts w:hint="eastAsia" w:ascii="黑体" w:eastAsia="黑体" w:cs="Times New Roman"/>
          <w:b w:val="0"/>
          <w:bCs w:val="0"/>
        </w:rPr>
        <w:t>七、其他重要事项的说明</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（一）机关运行经费情况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本部门2018年度机关运行经费支出175.81万元，比年初预算数增加48.71万元，增长38.32%。主要原因是基本支出增加。</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（二）政府采购情况</w:t>
      </w:r>
    </w:p>
    <w:p>
      <w:pPr>
        <w:widowControl/>
        <w:spacing w:after="0" w:line="580" w:lineRule="exact"/>
        <w:ind w:firstLine="640" w:firstLineChars="200"/>
        <w:jc w:val="left"/>
        <w:rPr>
          <w:rFonts w:ascii="仿宋_GB2312" w:eastAsia="仿宋_GB2312" w:cs="DengXian-Regular"/>
          <w:sz w:val="32"/>
          <w:szCs w:val="32"/>
        </w:rPr>
      </w:pPr>
      <w:r>
        <w:rPr>
          <w:rFonts w:hint="eastAsia" w:ascii="仿宋_GB2312" w:eastAsia="仿宋_GB2312" w:cs="DengXian-Regular"/>
          <w:sz w:val="32"/>
          <w:szCs w:val="32"/>
        </w:rPr>
        <w:t>本部门2018年度政府采购支出总额60万元，从采购类型来看，</w:t>
      </w:r>
      <w:r>
        <w:rPr>
          <w:rFonts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万元、政府采购工程支出</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 xml:space="preserve">万元、政府采购服务支出 </w:t>
      </w:r>
      <w:r>
        <w:rPr>
          <w:rFonts w:hint="eastAsia" w:ascii="仿宋_GB2312" w:hAnsi="仿宋_GB2312" w:eastAsia="仿宋_GB2312" w:cs="仿宋_GB2312"/>
          <w:color w:val="000000"/>
          <w:kern w:val="0"/>
          <w:sz w:val="32"/>
          <w:szCs w:val="32"/>
        </w:rPr>
        <w:t>60</w:t>
      </w:r>
      <w:r>
        <w:rPr>
          <w:rFonts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rPr>
        <w:t>60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100%，</w:t>
      </w:r>
      <w:r>
        <w:rPr>
          <w:rFonts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rPr>
        <w:t>0</w:t>
      </w:r>
      <w:r>
        <w:rPr>
          <w:rFonts w:ascii="仿宋_GB2312" w:hAnsi="仿宋_GB2312" w:eastAsia="仿宋_GB2312" w:cs="仿宋_GB2312"/>
          <w:color w:val="000000"/>
          <w:kern w:val="0"/>
          <w:sz w:val="32"/>
          <w:szCs w:val="32"/>
        </w:rPr>
        <w:t>%。</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（三）国有资产占用情况</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截至2018年12月31日，本部门共有车辆1辆，比上年持平。其中，副部（省）级及以上领导用车0辆，主要领导干部用车0辆，机要通信用车0辆，应急保障用车1辆，执法执勤用车0辆，特种专业技术用车0辆，离退休干部用车0辆，其他用车0辆，单位价值</w:t>
      </w:r>
      <w:r>
        <w:rPr>
          <w:rFonts w:hint="eastAsia" w:ascii="仿宋_GB2312" w:hAnsi="TimesNewRomanPSMT" w:eastAsia="仿宋_GB2312" w:cs="TimesNewRomanPSMT"/>
          <w:sz w:val="32"/>
          <w:szCs w:val="32"/>
        </w:rPr>
        <w:t>50</w:t>
      </w:r>
      <w:r>
        <w:rPr>
          <w:rFonts w:hint="eastAsia" w:ascii="仿宋_GB2312" w:eastAsia="仿宋_GB2312" w:cs="DengXian-Regular"/>
          <w:sz w:val="32"/>
          <w:szCs w:val="32"/>
        </w:rPr>
        <w:t>万元以上通用设备0台（套），比上年持平，单位价值</w:t>
      </w:r>
      <w:r>
        <w:rPr>
          <w:rFonts w:hint="eastAsia" w:ascii="仿宋_GB2312" w:hAnsi="TimesNewRomanPSMT" w:eastAsia="仿宋_GB2312" w:cs="TimesNewRomanPSMT"/>
          <w:sz w:val="32"/>
          <w:szCs w:val="32"/>
        </w:rPr>
        <w:t>100</w:t>
      </w:r>
      <w:r>
        <w:rPr>
          <w:rFonts w:hint="eastAsia" w:ascii="仿宋_GB2312" w:eastAsia="仿宋_GB2312" w:cs="DengXian-Regular"/>
          <w:sz w:val="32"/>
          <w:szCs w:val="32"/>
        </w:rPr>
        <w:t>万元以上专用设备0台（套）比上年持平。</w:t>
      </w:r>
    </w:p>
    <w:p>
      <w:pPr>
        <w:pStyle w:val="4"/>
        <w:spacing w:before="0" w:after="0" w:line="580" w:lineRule="exact"/>
        <w:ind w:firstLine="643" w:firstLineChars="200"/>
        <w:rPr>
          <w:rFonts w:ascii="楷体_GB2312" w:eastAsia="楷体_GB2312" w:cs="DengXian-Bold"/>
        </w:rPr>
      </w:pPr>
      <w:r>
        <w:rPr>
          <w:rFonts w:hint="eastAsia" w:ascii="楷体_GB2312" w:eastAsia="楷体_GB2312" w:cs="DengXian-Bold"/>
        </w:rPr>
        <w:t>（四）其他需要说明的情况</w:t>
      </w:r>
    </w:p>
    <w:p>
      <w:pPr>
        <w:adjustRightInd w:val="0"/>
        <w:snapToGrid w:val="0"/>
        <w:spacing w:after="0" w:line="580" w:lineRule="exact"/>
        <w:ind w:firstLine="640" w:firstLineChars="200"/>
        <w:rPr>
          <w:rFonts w:ascii="仿宋_GB2312" w:eastAsia="仿宋_GB2312" w:cs="DengXian-Regular"/>
          <w:sz w:val="30"/>
          <w:szCs w:val="30"/>
        </w:rPr>
      </w:pPr>
      <w:r>
        <w:rPr>
          <w:rFonts w:hint="eastAsia" w:ascii="仿宋_GB2312" w:eastAsia="仿宋_GB2312" w:cs="DengXian-Regular"/>
          <w:sz w:val="32"/>
          <w:szCs w:val="32"/>
        </w:rPr>
        <w:t>1、本部门2018年度无极县财政局无政府基金预算财政拨</w:t>
      </w:r>
      <w:r>
        <w:rPr>
          <w:rFonts w:hint="eastAsia" w:cs="DengXian-Regular" w:asciiTheme="majorEastAsia" w:hAnsiTheme="majorEastAsia" w:eastAsiaTheme="majorEastAsia"/>
          <w:sz w:val="30"/>
          <w:szCs w:val="30"/>
        </w:rPr>
        <w:t>款收入支出决算表和</w:t>
      </w:r>
      <w:r>
        <w:rPr>
          <w:rFonts w:hint="eastAsia" w:cs="黑体" w:asciiTheme="majorEastAsia" w:hAnsiTheme="majorEastAsia" w:eastAsiaTheme="majorEastAsia"/>
          <w:color w:val="000000"/>
          <w:kern w:val="0"/>
          <w:sz w:val="30"/>
          <w:szCs w:val="30"/>
        </w:rPr>
        <w:t>国有资本经营预算财政拨款支出决算表</w:t>
      </w:r>
      <w:r>
        <w:rPr>
          <w:rFonts w:hint="eastAsia" w:cs="DengXian-Regular" w:asciiTheme="majorEastAsia" w:hAnsiTheme="majorEastAsia" w:eastAsiaTheme="majorEastAsia"/>
          <w:sz w:val="30"/>
          <w:szCs w:val="30"/>
        </w:rPr>
        <w:t>故08表09表以空表列示</w:t>
      </w:r>
      <w:r>
        <w:rPr>
          <w:rFonts w:hint="eastAsia" w:ascii="仿宋_GB2312" w:eastAsia="仿宋_GB2312" w:cs="DengXian-Regular"/>
          <w:sz w:val="30"/>
          <w:szCs w:val="30"/>
        </w:rPr>
        <w:t>。</w:t>
      </w:r>
    </w:p>
    <w:p>
      <w:pPr>
        <w:adjustRightInd w:val="0"/>
        <w:snapToGrid w:val="0"/>
        <w:spacing w:after="0" w:line="580" w:lineRule="exact"/>
        <w:ind w:firstLine="640" w:firstLineChars="200"/>
        <w:rPr>
          <w:rFonts w:ascii="仿宋_GB2312" w:eastAsia="仿宋_GB2312" w:cs="DengXian-Regular"/>
          <w:sz w:val="32"/>
          <w:szCs w:val="32"/>
        </w:rPr>
      </w:pPr>
      <w:r>
        <w:rPr>
          <w:rFonts w:hint="eastAsia" w:ascii="仿宋_GB2312" w:eastAsia="仿宋_GB2312" w:cs="DengXian-Regular"/>
          <w:sz w:val="32"/>
          <w:szCs w:val="32"/>
        </w:rPr>
        <w:t>2、由于决算公开表格中金额数值应当保留两位小数，公开数据为四舍五入计算结果，个别数据合计项与分项之和存在小数点后差额，特此说明。</w:t>
      </w:r>
    </w:p>
    <w:p>
      <w:pPr>
        <w:widowControl/>
        <w:spacing w:after="0" w:line="580" w:lineRule="exact"/>
        <w:ind w:firstLine="883" w:firstLineChars="200"/>
        <w:jc w:val="left"/>
        <w:rPr>
          <w:rFonts w:cs="MS-UIGothic,Bold" w:asciiTheme="majorEastAsia" w:hAnsiTheme="majorEastAsia" w:eastAsiaTheme="majorEastAsia"/>
          <w:b/>
          <w:bCs/>
          <w:kern w:val="0"/>
          <w:sz w:val="44"/>
          <w:szCs w:val="44"/>
        </w:rPr>
        <w:sectPr>
          <w:pgSz w:w="11906" w:h="16838"/>
          <w:pgMar w:top="2098" w:right="1474" w:bottom="1984" w:left="1588" w:header="851" w:footer="992" w:gutter="0"/>
          <w:cols w:space="0" w:num="1"/>
          <w:docGrid w:type="lines" w:linePitch="312" w:charSpace="0"/>
        </w:sectPr>
      </w:pPr>
    </w:p>
    <w:p>
      <w:pPr>
        <w:spacing w:line="300" w:lineRule="exact"/>
        <w:rPr>
          <w:rFonts w:ascii="黑体" w:hAnsi="黑体" w:eastAsia="黑体"/>
          <w:sz w:val="32"/>
          <w:szCs w:val="32"/>
        </w:rPr>
      </w:pPr>
    </w:p>
    <w:p>
      <w:pPr>
        <w:rPr>
          <w:rFonts w:ascii="黑体" w:hAnsi="黑体" w:eastAsia="黑体"/>
        </w:rPr>
      </w:pPr>
    </w:p>
    <w:p>
      <w:pPr>
        <w:rPr>
          <w:rFonts w:ascii="黑体" w:hAnsi="黑体" w:eastAsia="黑体"/>
        </w:rPr>
      </w:pPr>
    </w:p>
    <w:p>
      <w:pPr>
        <w:rPr>
          <w:rFonts w:ascii="黑体" w:hAnsi="黑体" w:eastAsia="黑体"/>
        </w:rPr>
      </w:pPr>
    </w:p>
    <w:p>
      <w:pPr>
        <w:rPr>
          <w:rFonts w:ascii="黑体" w:hAnsi="黑体" w:eastAsia="黑体"/>
        </w:rPr>
      </w:pPr>
    </w:p>
    <w:p>
      <w:pPr>
        <w:rPr>
          <w:rFonts w:ascii="宋体" w:hAnsi="宋体" w:cs="ArialUnicodeMS"/>
          <w:color w:val="000000"/>
          <w:kern w:val="0"/>
        </w:rPr>
        <w:sectPr>
          <w:pgSz w:w="11906" w:h="16838"/>
          <w:pgMar w:top="2098" w:right="1474" w:bottom="1984" w:left="1588" w:header="851" w:footer="992" w:gutter="0"/>
          <w:cols w:space="0" w:num="1"/>
          <w:docGrid w:type="lines" w:linePitch="312" w:charSpace="0"/>
        </w:sectPr>
      </w:pPr>
      <w:r>
        <w:rPr>
          <w:rFonts w:hint="eastAsia" w:ascii="宋体" w:hAnsi="宋体" w:cs="ArialUnicodeMS"/>
          <w:color w:val="000000"/>
          <w:kern w:val="0"/>
        </w:rPr>
        <w:drawing>
          <wp:anchor distT="0" distB="0" distL="114300" distR="114300" simplePos="0" relativeHeight="251646976" behindDoc="1" locked="0" layoutInCell="1" allowOverlap="1">
            <wp:simplePos x="0" y="0"/>
            <wp:positionH relativeFrom="column">
              <wp:posOffset>-1009015</wp:posOffset>
            </wp:positionH>
            <wp:positionV relativeFrom="paragraph">
              <wp:posOffset>-1337945</wp:posOffset>
            </wp:positionV>
            <wp:extent cx="7550150" cy="10680065"/>
            <wp:effectExtent l="0" t="0" r="12700" b="6985"/>
            <wp:wrapNone/>
            <wp:docPr id="21" name="图片 21"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2"/>
                    <pic:cNvPicPr>
                      <a:picLocks noChangeAspect="1"/>
                    </pic:cNvPicPr>
                  </pic:nvPicPr>
                  <pic:blipFill>
                    <a:blip r:embed="rId5" cstate="print"/>
                    <a:stretch>
                      <a:fillRect/>
                    </a:stretch>
                  </pic:blipFill>
                  <pic:spPr>
                    <a:xfrm>
                      <a:off x="0" y="0"/>
                      <a:ext cx="7550150" cy="10680065"/>
                    </a:xfrm>
                    <a:prstGeom prst="rect">
                      <a:avLst/>
                    </a:prstGeom>
                  </pic:spPr>
                </pic:pic>
              </a:graphicData>
            </a:graphic>
          </wp:anchor>
        </w:drawing>
      </w:r>
      <w:r>
        <w:rPr>
          <w:sz w:val="72"/>
        </w:rPr>
        <w:pict>
          <v:shape id="_x0000_s1027" o:spid="_x0000_s1027" o:spt="202" type="#_x0000_t202" style="position:absolute;left:0pt;margin-left:-78.7pt;margin-top:232.8pt;height:159.1pt;width:596.2pt;z-index:251645952;mso-width-relative:page;mso-height-relative:page;" filled="f" stroked="f" coordsize="21600,21600" o:gfxdata="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DZZp6M3gAAAA0BAAAPAAAAAAAAAAEAIAAAACIAAABkcnMvZG93bnJldi54bWxQSwECFAAUAAAA&#10;CACHTuJAal9dpSECAAAbBAAADgAAAAAAAAABACAAAAAtAQAAZHJzL2Uyb0RvYy54bWxQSwUGAAAA&#10;AAYABgBZAQAAwAUAAAAA&#10;">
            <v:path/>
            <v:fill on="f" focussize="0,0"/>
            <v:stroke on="f" weight="0.5pt" joinstyle="miter"/>
            <v:imagedata o:title=""/>
            <o:lock v:ext="edit"/>
            <v:textbox>
              <w:txbxContent>
                <w:p>
                  <w:pPr>
                    <w:widowControl/>
                    <w:spacing w:line="1200" w:lineRule="exact"/>
                    <w:jc w:val="center"/>
                    <w:rPr>
                      <w:rFonts w:hAnsi="宋体" w:asciiTheme="minorEastAsia" w:eastAsiaTheme="minorEastAsia"/>
                      <w:color w:val="FDEFBE"/>
                      <w:sz w:val="96"/>
                      <w:szCs w:val="96"/>
                    </w:rPr>
                  </w:pPr>
                  <w:r>
                    <w:rPr>
                      <w:rFonts w:hint="eastAsia" w:hAnsi="宋体" w:asciiTheme="minorEastAsia" w:eastAsiaTheme="minorEastAsia"/>
                      <w:color w:val="FDEFBE"/>
                      <w:sz w:val="96"/>
                      <w:szCs w:val="96"/>
                    </w:rPr>
                    <w:t>第四部分</w:t>
                  </w:r>
                </w:p>
                <w:p>
                  <w:pPr>
                    <w:widowControl/>
                    <w:spacing w:line="1200" w:lineRule="exact"/>
                    <w:jc w:val="center"/>
                    <w:rPr>
                      <w:color w:val="FDEFBE"/>
                      <w:sz w:val="96"/>
                      <w:szCs w:val="96"/>
                    </w:rPr>
                  </w:pPr>
                  <w:r>
                    <w:rPr>
                      <w:rFonts w:hint="eastAsia" w:hAnsi="宋体" w:asciiTheme="minorEastAsia" w:eastAsiaTheme="minorEastAsia"/>
                      <w:color w:val="FDEFBE"/>
                      <w:sz w:val="96"/>
                      <w:szCs w:val="96"/>
                    </w:rPr>
                    <w:t>名词解释</w:t>
                  </w:r>
                </w:p>
              </w:txbxContent>
            </v:textbox>
          </v:shape>
        </w:pic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（一）财政拨款收入：</w:t>
      </w:r>
      <w:r>
        <w:rPr>
          <w:rFonts w:hint="eastAsia" w:ascii="仿宋_GB2312" w:eastAsia="仿宋_GB2312" w:hAnsiTheme="majorEastAsia"/>
          <w:color w:val="000000"/>
          <w:kern w:val="0"/>
          <w:sz w:val="32"/>
          <w:szCs w:val="32"/>
        </w:rPr>
        <w:t>本年度从本级财政部门取得的财政拨款，包括一般公共预算财政拨款和政府性基金预算财政拨款。</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（二）事业收入：</w:t>
      </w:r>
      <w:r>
        <w:rPr>
          <w:rFonts w:hint="eastAsia" w:ascii="仿宋_GB2312" w:eastAsia="仿宋_GB2312" w:hAnsiTheme="majorEastAsia"/>
          <w:color w:val="000000"/>
          <w:kern w:val="0"/>
          <w:sz w:val="32"/>
          <w:szCs w:val="32"/>
        </w:rPr>
        <w:t>指事业单位开展专业业务活动及辅助活动所取得的收入。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（三）其他收入：</w:t>
      </w:r>
      <w:r>
        <w:rPr>
          <w:rFonts w:hint="eastAsia" w:ascii="仿宋_GB2312" w:eastAsia="仿宋_GB2312" w:hAnsiTheme="majorEastAsia"/>
          <w:color w:val="000000"/>
          <w:kern w:val="0"/>
          <w:sz w:val="32"/>
          <w:szCs w:val="32"/>
        </w:rPr>
        <w:t>指除上述“财政拨款收入”“事业收入”“经营收入”等以外的收入。</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（四）用事业基金弥补收支差额：</w:t>
      </w:r>
      <w:r>
        <w:rPr>
          <w:rFonts w:hint="eastAsia" w:ascii="仿宋_GB2312" w:eastAsia="仿宋_GB2312" w:hAnsiTheme="major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支相抵后按国家规定提取、用于弥补以后年度收支差额的基金）弥补本年度收支缺口的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（五）年初结转和结余：</w:t>
      </w:r>
      <w:r>
        <w:rPr>
          <w:rFonts w:hint="eastAsia" w:ascii="仿宋_GB2312" w:eastAsia="仿宋_GB2312" w:hAnsiTheme="majorEastAsia"/>
          <w:color w:val="000000"/>
          <w:kern w:val="0"/>
          <w:sz w:val="32"/>
          <w:szCs w:val="32"/>
        </w:rPr>
        <w:t>指以前年度尚未完成、结转到本年仍按原规定用途继续使用的资金，或项目已完成等产生的结余资金。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（六）结余分配：</w:t>
      </w:r>
      <w:r>
        <w:rPr>
          <w:rFonts w:hint="eastAsia" w:ascii="仿宋_GB2312" w:eastAsia="仿宋_GB2312" w:hAnsiTheme="majorEastAsia"/>
          <w:color w:val="000000"/>
          <w:kern w:val="0"/>
          <w:sz w:val="32"/>
          <w:szCs w:val="32"/>
        </w:rPr>
        <w:t>指事业单位按照事业单位会计制度的规定从非财政补助结余中分配的事业基金和职工福利基金等。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（七）年末结转和结余：</w:t>
      </w:r>
      <w:r>
        <w:rPr>
          <w:rFonts w:hint="eastAsia" w:ascii="仿宋_GB2312" w:eastAsia="仿宋_GB2312" w:hAnsiTheme="majorEastAsia"/>
          <w:color w:val="000000"/>
          <w:kern w:val="0"/>
          <w:sz w:val="32"/>
          <w:szCs w:val="32"/>
        </w:rPr>
        <w:t>指单位按有关规定结转到下年或以后年度继续使用的资金，或项目已完成等产生的结余资金。</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（八）基本支出：</w:t>
      </w:r>
      <w:r>
        <w:rPr>
          <w:rFonts w:hint="eastAsia" w:ascii="仿宋_GB2312" w:eastAsia="仿宋_GB2312" w:hAnsiTheme="majorEastAsia"/>
          <w:color w:val="000000"/>
          <w:kern w:val="0"/>
          <w:sz w:val="32"/>
          <w:szCs w:val="32"/>
        </w:rPr>
        <w:t>填列单位为保障机构正常运转、完成日常工作任务而发生的各项支出。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（九）项目支出：</w:t>
      </w:r>
      <w:r>
        <w:rPr>
          <w:rFonts w:hint="eastAsia" w:ascii="仿宋_GB2312" w:eastAsia="仿宋_GB2312" w:hAnsiTheme="majorEastAsia"/>
          <w:color w:val="000000"/>
          <w:kern w:val="0"/>
          <w:sz w:val="32"/>
          <w:szCs w:val="32"/>
        </w:rPr>
        <w:t>填列单位为完成特定的行政工作任务或事业发展目标，在基本支出之外发生的各项支出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（十）资本性支出（基本建设）：</w:t>
      </w:r>
      <w:r>
        <w:rPr>
          <w:rFonts w:hint="eastAsia" w:ascii="仿宋_GB2312" w:eastAsia="仿宋_GB2312" w:hAnsiTheme="majorEastAsia"/>
          <w:color w:val="000000"/>
          <w:kern w:val="0"/>
          <w:sz w:val="32"/>
          <w:szCs w:val="32"/>
        </w:rPr>
        <w:t>填列切块由发展改革部门安排的基本建设支出，对企业补助支出不在此科目反映。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（十一）资本性支出：</w:t>
      </w:r>
      <w:r>
        <w:rPr>
          <w:rFonts w:hint="eastAsia" w:ascii="仿宋_GB2312" w:eastAsia="仿宋_GB2312" w:hAnsiTheme="majorEastAsia"/>
          <w:color w:val="000000"/>
          <w:kern w:val="0"/>
          <w:sz w:val="32"/>
          <w:szCs w:val="32"/>
        </w:rPr>
        <w:t>填列各单位安排的资本性支出。切块由发展改革部门安排的基本建设支出不在此科目反映。</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（十二）“三公”经费：</w:t>
      </w:r>
      <w:r>
        <w:rPr>
          <w:rFonts w:hint="eastAsia" w:ascii="仿宋_GB2312" w:eastAsia="仿宋_GB2312" w:hAnsiTheme="major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及租用费、燃料费、维修费、过路过桥费、保险费、安全奖励费用等支出；公务接待费反映单位按规定开支的各类公务接待（含外宾接待）支出。</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（十三）其他交通费用：</w:t>
      </w:r>
      <w:r>
        <w:rPr>
          <w:rFonts w:hint="eastAsia" w:ascii="仿宋_GB2312" w:eastAsia="仿宋_GB2312" w:hAnsiTheme="majorEastAsia"/>
          <w:color w:val="000000"/>
          <w:kern w:val="0"/>
          <w:sz w:val="32"/>
          <w:szCs w:val="32"/>
        </w:rPr>
        <w:t>填列单位除公务用车运行维护费以外的其他交通费用。如公务交通补贴、租车费用、出租车费用、飞机、船舶等的燃料费、维修费、保险费等。</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（十四）公务用车购置：</w:t>
      </w:r>
      <w:r>
        <w:rPr>
          <w:rFonts w:hint="eastAsia" w:ascii="仿宋_GB2312" w:eastAsia="仿宋_GB2312" w:hAnsiTheme="majorEastAsia"/>
          <w:color w:val="000000"/>
          <w:kern w:val="0"/>
          <w:sz w:val="32"/>
          <w:szCs w:val="32"/>
        </w:rPr>
        <w:t>填列单位公务用车购置支出（含车辆购置税、牌照费）。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（十五）其他交通工具购置：</w:t>
      </w:r>
      <w:r>
        <w:rPr>
          <w:rFonts w:hint="eastAsia" w:ascii="仿宋_GB2312" w:eastAsia="仿宋_GB2312" w:hAnsiTheme="majorEastAsia"/>
          <w:color w:val="000000"/>
          <w:kern w:val="0"/>
          <w:sz w:val="32"/>
          <w:szCs w:val="32"/>
        </w:rPr>
        <w:t>填列单位除公务用车外的其他各类交通工具（如船舶、飞机）购置支出（含车辆购置税、牌照费）。</w:t>
      </w:r>
    </w:p>
    <w:p>
      <w:pPr>
        <w:widowControl/>
        <w:spacing w:after="0" w:line="560" w:lineRule="exact"/>
        <w:ind w:firstLine="643" w:firstLineChars="200"/>
        <w:rPr>
          <w:rFonts w:ascii="仿宋_GB2312" w:eastAsia="仿宋_GB2312" w:hAnsiTheme="majorEastAsia"/>
          <w:color w:val="000000"/>
          <w:kern w:val="0"/>
          <w:sz w:val="32"/>
          <w:szCs w:val="32"/>
        </w:rPr>
      </w:pPr>
      <w:r>
        <w:rPr>
          <w:rFonts w:hint="eastAsia" w:ascii="仿宋_GB2312" w:eastAsia="仿宋_GB2312" w:hAnsiTheme="majorEastAsia"/>
          <w:b/>
          <w:bCs/>
          <w:color w:val="000000"/>
          <w:kern w:val="0"/>
          <w:sz w:val="32"/>
          <w:szCs w:val="32"/>
        </w:rPr>
        <w:t>（十六）机关运行经费：</w:t>
      </w:r>
      <w:r>
        <w:rPr>
          <w:rFonts w:hint="eastAsia" w:ascii="仿宋_GB2312" w:eastAsia="仿宋_GB2312" w:hAnsiTheme="major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pPr>
        <w:widowControl/>
        <w:spacing w:after="0" w:line="560" w:lineRule="exact"/>
        <w:ind w:firstLine="643" w:firstLineChars="200"/>
        <w:rPr>
          <w:rFonts w:ascii="仿宋_GB2312" w:eastAsia="仿宋_GB2312" w:cs="ArialUnicodeMS" w:hAnsiTheme="minorHAnsi"/>
          <w:kern w:val="0"/>
          <w:sz w:val="32"/>
          <w:szCs w:val="32"/>
        </w:rPr>
        <w:sectPr>
          <w:pgSz w:w="11906" w:h="16838"/>
          <w:pgMar w:top="2098" w:right="1474" w:bottom="1985" w:left="1588" w:header="851" w:footer="992" w:gutter="0"/>
          <w:cols w:space="425" w:num="1"/>
          <w:docGrid w:type="lines" w:linePitch="312" w:charSpace="0"/>
        </w:sectPr>
      </w:pPr>
      <w:r>
        <w:rPr>
          <w:rFonts w:hint="eastAsia" w:ascii="仿宋_GB2312" w:eastAsia="仿宋_GB2312" w:hAnsiTheme="majorEastAsia"/>
          <w:b/>
          <w:bCs/>
          <w:color w:val="000000"/>
          <w:kern w:val="0"/>
          <w:sz w:val="32"/>
          <w:szCs w:val="32"/>
        </w:rPr>
        <w:t>（十七）经费形式:</w:t>
      </w:r>
      <w:r>
        <w:rPr>
          <w:rFonts w:hint="eastAsia" w:ascii="仿宋_GB2312" w:eastAsia="仿宋_GB2312" w:hAnsiTheme="majorEastAsia"/>
          <w:color w:val="000000"/>
          <w:kern w:val="0"/>
          <w:sz w:val="32"/>
          <w:szCs w:val="32"/>
        </w:rPr>
        <w:t>按照经费来源，</w:t>
      </w:r>
      <w:r>
        <w:rPr>
          <w:rFonts w:hint="eastAsia" w:ascii="仿宋_GB2312" w:eastAsia="仿宋_GB2312" w:cs="ArialUnicodeMS" w:hAnsiTheme="minorHAnsi"/>
          <w:kern w:val="0"/>
          <w:sz w:val="32"/>
          <w:szCs w:val="32"/>
        </w:rPr>
        <w:t>可分为财政拨款、财政性资金基本保证、财政性资金定额或定项补助、财政性资金零补助四类。</w:t>
      </w:r>
    </w:p>
    <w:p>
      <w:pPr>
        <w:widowControl/>
        <w:spacing w:after="0" w:line="560" w:lineRule="exact"/>
        <w:ind w:firstLine="640" w:firstLineChars="200"/>
        <w:rPr>
          <w:rFonts w:ascii="仿宋_GB2312" w:eastAsia="仿宋_GB2312" w:cs="ArialUnicodeMS" w:hAnsiTheme="minorHAnsi"/>
          <w:kern w:val="0"/>
          <w:sz w:val="32"/>
          <w:szCs w:val="32"/>
        </w:rPr>
      </w:pPr>
      <w:r>
        <w:rPr>
          <w:rFonts w:ascii="仿宋_GB2312" w:eastAsia="仿宋_GB2312" w:cs="ArialUnicodeMS" w:hAnsiTheme="minorHAnsi"/>
          <w:kern w:val="0"/>
          <w:sz w:val="32"/>
          <w:szCs w:val="32"/>
        </w:rPr>
        <w:drawing>
          <wp:anchor distT="0" distB="0" distL="114300" distR="114300" simplePos="0" relativeHeight="251651072" behindDoc="1" locked="0" layoutInCell="1" allowOverlap="1">
            <wp:simplePos x="0" y="0"/>
            <wp:positionH relativeFrom="column">
              <wp:posOffset>-990600</wp:posOffset>
            </wp:positionH>
            <wp:positionV relativeFrom="paragraph">
              <wp:posOffset>-1355090</wp:posOffset>
            </wp:positionV>
            <wp:extent cx="7590155" cy="10735945"/>
            <wp:effectExtent l="0" t="0" r="10795" b="8255"/>
            <wp:wrapNone/>
            <wp:docPr id="101" name="图片 101" descr="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 name="图片 101" descr="3"/>
                    <pic:cNvPicPr>
                      <a:picLocks noChangeAspect="1"/>
                    </pic:cNvPicPr>
                  </pic:nvPicPr>
                  <pic:blipFill>
                    <a:blip r:embed="rId11" cstate="print"/>
                    <a:stretch>
                      <a:fillRect/>
                    </a:stretch>
                  </pic:blipFill>
                  <pic:spPr>
                    <a:xfrm>
                      <a:off x="0" y="0"/>
                      <a:ext cx="7590155" cy="10735945"/>
                    </a:xfrm>
                    <a:prstGeom prst="rect">
                      <a:avLst/>
                    </a:prstGeom>
                  </pic:spPr>
                </pic:pic>
              </a:graphicData>
            </a:graphic>
          </wp:anchor>
        </w:drawing>
      </w:r>
    </w:p>
    <w:sectPr>
      <w:pgSz w:w="11906" w:h="16838"/>
      <w:pgMar w:top="2098" w:right="1474" w:bottom="1985" w:left="158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13ABB296-72C7-4EC6-816E-DEDE5437D98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E00002FF" w:usb1="400004FF" w:usb2="00000000" w:usb3="00000000" w:csb0="2000019F" w:csb1="00000000"/>
    <w:embedRegular r:id="rId2" w:fontKey="{116F9947-69E2-4778-9406-99749D57105B}"/>
  </w:font>
  <w:font w:name="楷体">
    <w:panose1 w:val="02010609060101010101"/>
    <w:charset w:val="86"/>
    <w:family w:val="modern"/>
    <w:pitch w:val="default"/>
    <w:sig w:usb0="800002BF" w:usb1="38CF7CFA" w:usb2="00000016" w:usb3="00000000" w:csb0="00040001" w:csb1="00000000"/>
    <w:embedRegular r:id="rId3" w:fontKey="{FA982117-8BE6-49F1-8E39-9613531A7938}"/>
  </w:font>
  <w:font w:name="楷体_GB2312">
    <w:panose1 w:val="02010609030101010101"/>
    <w:charset w:val="86"/>
    <w:family w:val="modern"/>
    <w:pitch w:val="default"/>
    <w:sig w:usb0="00000001" w:usb1="080E0000" w:usb2="00000000" w:usb3="00000000" w:csb0="00040000" w:csb1="00000000"/>
    <w:embedRegular r:id="rId4" w:fontKey="{8F54472B-9FFA-4195-85E5-D443A8581D34}"/>
  </w:font>
  <w:font w:name="仿宋_GB2312">
    <w:panose1 w:val="02010609030101010101"/>
    <w:charset w:val="86"/>
    <w:family w:val="modern"/>
    <w:pitch w:val="default"/>
    <w:sig w:usb0="00000001" w:usb1="080E0000" w:usb2="00000000" w:usb3="00000000" w:csb0="00040000" w:csb1="00000000"/>
    <w:embedRegular r:id="rId5" w:fontKey="{3FB6A1E0-5758-419B-938C-E2A410DE1056}"/>
  </w:font>
  <w:font w:name="ArialUnicodeMS">
    <w:altName w:val="Malgun Gothic"/>
    <w:panose1 w:val="00000000000000000000"/>
    <w:charset w:val="81"/>
    <w:family w:val="auto"/>
    <w:pitch w:val="default"/>
    <w:sig w:usb0="00000000" w:usb1="00000000" w:usb2="00000010" w:usb3="00000000" w:csb0="00080001" w:csb1="00000000"/>
    <w:embedRegular r:id="rId6" w:fontKey="{177651DD-135C-4FB1-8897-E76C7663BD90}"/>
  </w:font>
  <w:font w:name="MS-UIGothic,Bold">
    <w:altName w:val="Malgun Gothic"/>
    <w:panose1 w:val="00000000000000000000"/>
    <w:charset w:val="81"/>
    <w:family w:val="auto"/>
    <w:pitch w:val="default"/>
    <w:sig w:usb0="00000000" w:usb1="00000000" w:usb2="00000010" w:usb3="00000000" w:csb0="00080000" w:csb1="00000000"/>
    <w:embedRegular r:id="rId7" w:fontKey="{D5321DA0-7C7D-492C-915E-83255A415B28}"/>
  </w:font>
  <w:font w:name="Arial">
    <w:panose1 w:val="020B0604020202020204"/>
    <w:charset w:val="00"/>
    <w:family w:val="swiss"/>
    <w:pitch w:val="default"/>
    <w:sig w:usb0="E0002AFF" w:usb1="C0007843" w:usb2="00000009" w:usb3="00000000" w:csb0="400001FF" w:csb1="FFFF0000"/>
    <w:embedRegular r:id="rId8" w:fontKey="{4BCC6513-DC29-42AA-B251-25D736F691FD}"/>
  </w:font>
  <w:font w:name="DengXian-Regular">
    <w:altName w:val="宋体"/>
    <w:panose1 w:val="00000000000000000000"/>
    <w:charset w:val="86"/>
    <w:family w:val="auto"/>
    <w:pitch w:val="default"/>
    <w:sig w:usb0="00000000" w:usb1="00000000" w:usb2="00000010" w:usb3="00000000" w:csb0="00040001" w:csb1="00000000"/>
    <w:embedRegular r:id="rId9" w:fontKey="{6BA9C699-2FB6-4465-B98C-4B2C19E73BDF}"/>
  </w:font>
  <w:font w:name="DengXian-Bold">
    <w:altName w:val="宋体"/>
    <w:panose1 w:val="00000000000000000000"/>
    <w:charset w:val="86"/>
    <w:family w:val="auto"/>
    <w:pitch w:val="default"/>
    <w:sig w:usb0="00000000" w:usb1="00000000" w:usb2="00000010" w:usb3="00000000" w:csb0="00040001" w:csb1="00000000"/>
    <w:embedRegular r:id="rId10" w:fontKey="{80D604D6-1899-4883-8808-F87363CBB6E7}"/>
  </w:font>
  <w:font w:name="仿宋">
    <w:panose1 w:val="02010609060101010101"/>
    <w:charset w:val="86"/>
    <w:family w:val="modern"/>
    <w:pitch w:val="default"/>
    <w:sig w:usb0="800002BF" w:usb1="38CF7CFA" w:usb2="00000016" w:usb3="00000000" w:csb0="00040001" w:csb1="00000000"/>
    <w:embedRegular r:id="rId11" w:fontKey="{53F35DA5-7176-447B-9A71-BC09B0932425}"/>
  </w:font>
  <w:font w:name="TimesNewRomanPSMT">
    <w:altName w:val="Arial"/>
    <w:panose1 w:val="00000000000000000000"/>
    <w:charset w:val="00"/>
    <w:family w:val="swiss"/>
    <w:pitch w:val="default"/>
    <w:sig w:usb0="00000000"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3"/>
    <w:multiLevelType w:val="singleLevel"/>
    <w:tmpl w:val="00000003"/>
    <w:lvl w:ilvl="0" w:tentative="0">
      <w:start w:val="5"/>
      <w:numFmt w:val="chineseCounting"/>
      <w:suff w:val="nothing"/>
      <w:lvlText w:val="（%1）"/>
      <w:lvlJc w:val="left"/>
    </w:lvl>
  </w:abstractNum>
  <w:abstractNum w:abstractNumId="1">
    <w:nsid w:val="00000009"/>
    <w:multiLevelType w:val="singleLevel"/>
    <w:tmpl w:val="00000009"/>
    <w:lvl w:ilvl="0" w:tentative="0">
      <w:start w:val="7"/>
      <w:numFmt w:val="chineseCounting"/>
      <w:suff w:val="nothing"/>
      <w:lvlText w:val="（%1）"/>
      <w:lvlJc w:val="left"/>
    </w:lvl>
  </w:abstractNum>
  <w:abstractNum w:abstractNumId="2">
    <w:nsid w:val="45DB9A87"/>
    <w:multiLevelType w:val="singleLevel"/>
    <w:tmpl w:val="45DB9A87"/>
    <w:lvl w:ilvl="0" w:tentative="0">
      <w:start w:val="3"/>
      <w:numFmt w:val="chineseCounting"/>
      <w:suff w:val="nothing"/>
      <w:lvlText w:val="（%1）"/>
      <w:lvlJc w:val="left"/>
      <w:rPr>
        <w:rFonts w:hint="eastAsia"/>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TrueTypeFonts/>
  <w:saveSubsetFonts/>
  <w:bordersDoNotSurroundHeader w:val="1"/>
  <w:bordersDoNotSurroundFooter w:val="1"/>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3C1413"/>
    <w:rsid w:val="000066D7"/>
    <w:rsid w:val="000200C7"/>
    <w:rsid w:val="00024E7F"/>
    <w:rsid w:val="000332C3"/>
    <w:rsid w:val="000349F7"/>
    <w:rsid w:val="000475A0"/>
    <w:rsid w:val="00057981"/>
    <w:rsid w:val="000838C3"/>
    <w:rsid w:val="000A4E6A"/>
    <w:rsid w:val="000B2446"/>
    <w:rsid w:val="000C3F8C"/>
    <w:rsid w:val="000D7C65"/>
    <w:rsid w:val="000E2F81"/>
    <w:rsid w:val="00117946"/>
    <w:rsid w:val="00117E2C"/>
    <w:rsid w:val="00146C47"/>
    <w:rsid w:val="00152FB8"/>
    <w:rsid w:val="00161DA7"/>
    <w:rsid w:val="00176658"/>
    <w:rsid w:val="0018239E"/>
    <w:rsid w:val="0019526A"/>
    <w:rsid w:val="001B3410"/>
    <w:rsid w:val="001C030D"/>
    <w:rsid w:val="001C4A84"/>
    <w:rsid w:val="001C5061"/>
    <w:rsid w:val="001E5902"/>
    <w:rsid w:val="001F1EA6"/>
    <w:rsid w:val="001F6F65"/>
    <w:rsid w:val="00221B5E"/>
    <w:rsid w:val="00224E91"/>
    <w:rsid w:val="00233705"/>
    <w:rsid w:val="00233F09"/>
    <w:rsid w:val="00275CA2"/>
    <w:rsid w:val="0029399C"/>
    <w:rsid w:val="002A65A5"/>
    <w:rsid w:val="002B3AD9"/>
    <w:rsid w:val="002C04C4"/>
    <w:rsid w:val="002C0505"/>
    <w:rsid w:val="002D08B0"/>
    <w:rsid w:val="002D1AE3"/>
    <w:rsid w:val="002D7BD5"/>
    <w:rsid w:val="002F2ECE"/>
    <w:rsid w:val="00332BE7"/>
    <w:rsid w:val="00341C8F"/>
    <w:rsid w:val="003466D9"/>
    <w:rsid w:val="0035463A"/>
    <w:rsid w:val="00380C0D"/>
    <w:rsid w:val="00391D9D"/>
    <w:rsid w:val="00391E1D"/>
    <w:rsid w:val="003A0FA0"/>
    <w:rsid w:val="003A7135"/>
    <w:rsid w:val="003A75AF"/>
    <w:rsid w:val="003B6C51"/>
    <w:rsid w:val="003C1413"/>
    <w:rsid w:val="003C549F"/>
    <w:rsid w:val="003D4616"/>
    <w:rsid w:val="003D5A16"/>
    <w:rsid w:val="003E32D5"/>
    <w:rsid w:val="003E7DB3"/>
    <w:rsid w:val="003F496B"/>
    <w:rsid w:val="003F607E"/>
    <w:rsid w:val="003F7EC9"/>
    <w:rsid w:val="004012A0"/>
    <w:rsid w:val="00431175"/>
    <w:rsid w:val="00434857"/>
    <w:rsid w:val="00446EFD"/>
    <w:rsid w:val="00485153"/>
    <w:rsid w:val="004A7801"/>
    <w:rsid w:val="004B6E37"/>
    <w:rsid w:val="004C32BA"/>
    <w:rsid w:val="004C68A7"/>
    <w:rsid w:val="00502867"/>
    <w:rsid w:val="00502871"/>
    <w:rsid w:val="00544B97"/>
    <w:rsid w:val="00575922"/>
    <w:rsid w:val="005A6750"/>
    <w:rsid w:val="005A6C90"/>
    <w:rsid w:val="005E0910"/>
    <w:rsid w:val="005E3FB0"/>
    <w:rsid w:val="005F4B66"/>
    <w:rsid w:val="005F5208"/>
    <w:rsid w:val="00614BF2"/>
    <w:rsid w:val="00623287"/>
    <w:rsid w:val="00641318"/>
    <w:rsid w:val="0064405D"/>
    <w:rsid w:val="00645EEB"/>
    <w:rsid w:val="0065315E"/>
    <w:rsid w:val="006631BF"/>
    <w:rsid w:val="00685302"/>
    <w:rsid w:val="00695557"/>
    <w:rsid w:val="006A16B2"/>
    <w:rsid w:val="006D4431"/>
    <w:rsid w:val="006D48FC"/>
    <w:rsid w:val="006D4EA7"/>
    <w:rsid w:val="006F3522"/>
    <w:rsid w:val="0070012A"/>
    <w:rsid w:val="0070664B"/>
    <w:rsid w:val="007071B8"/>
    <w:rsid w:val="007414DE"/>
    <w:rsid w:val="0074209C"/>
    <w:rsid w:val="00752DD1"/>
    <w:rsid w:val="00764ED5"/>
    <w:rsid w:val="007905A9"/>
    <w:rsid w:val="007E5500"/>
    <w:rsid w:val="007E6C32"/>
    <w:rsid w:val="007F055B"/>
    <w:rsid w:val="007F17EB"/>
    <w:rsid w:val="007F33EE"/>
    <w:rsid w:val="0080644C"/>
    <w:rsid w:val="00811C2F"/>
    <w:rsid w:val="00833D46"/>
    <w:rsid w:val="00840A97"/>
    <w:rsid w:val="00842263"/>
    <w:rsid w:val="0086104D"/>
    <w:rsid w:val="0087108B"/>
    <w:rsid w:val="008C0149"/>
    <w:rsid w:val="008C689C"/>
    <w:rsid w:val="008D5DED"/>
    <w:rsid w:val="008D7321"/>
    <w:rsid w:val="008E25CA"/>
    <w:rsid w:val="008F34FC"/>
    <w:rsid w:val="00912747"/>
    <w:rsid w:val="0091796A"/>
    <w:rsid w:val="00920817"/>
    <w:rsid w:val="00935058"/>
    <w:rsid w:val="00943FE3"/>
    <w:rsid w:val="00944CD7"/>
    <w:rsid w:val="009831B2"/>
    <w:rsid w:val="009934E8"/>
    <w:rsid w:val="009A1ABE"/>
    <w:rsid w:val="009E21A4"/>
    <w:rsid w:val="009E5C8E"/>
    <w:rsid w:val="009F22C6"/>
    <w:rsid w:val="00A03A50"/>
    <w:rsid w:val="00A07E50"/>
    <w:rsid w:val="00A15397"/>
    <w:rsid w:val="00A35CE0"/>
    <w:rsid w:val="00A4462E"/>
    <w:rsid w:val="00A44AA4"/>
    <w:rsid w:val="00A45048"/>
    <w:rsid w:val="00A61623"/>
    <w:rsid w:val="00A71979"/>
    <w:rsid w:val="00A84687"/>
    <w:rsid w:val="00AA322A"/>
    <w:rsid w:val="00AB0A0E"/>
    <w:rsid w:val="00AB6163"/>
    <w:rsid w:val="00AD3B6E"/>
    <w:rsid w:val="00AF6666"/>
    <w:rsid w:val="00B1751F"/>
    <w:rsid w:val="00B56722"/>
    <w:rsid w:val="00B639CE"/>
    <w:rsid w:val="00B72FDF"/>
    <w:rsid w:val="00B74D39"/>
    <w:rsid w:val="00B91614"/>
    <w:rsid w:val="00B91DA4"/>
    <w:rsid w:val="00BA5263"/>
    <w:rsid w:val="00BC4661"/>
    <w:rsid w:val="00BF0211"/>
    <w:rsid w:val="00BF3C43"/>
    <w:rsid w:val="00C12630"/>
    <w:rsid w:val="00C34562"/>
    <w:rsid w:val="00C3774E"/>
    <w:rsid w:val="00C57456"/>
    <w:rsid w:val="00C65387"/>
    <w:rsid w:val="00C7107D"/>
    <w:rsid w:val="00C84350"/>
    <w:rsid w:val="00C87FAB"/>
    <w:rsid w:val="00C91FF7"/>
    <w:rsid w:val="00C94E53"/>
    <w:rsid w:val="00CB076D"/>
    <w:rsid w:val="00CC6AE4"/>
    <w:rsid w:val="00CC7302"/>
    <w:rsid w:val="00CD3C36"/>
    <w:rsid w:val="00CD3F6D"/>
    <w:rsid w:val="00D0048E"/>
    <w:rsid w:val="00D0426A"/>
    <w:rsid w:val="00D2207A"/>
    <w:rsid w:val="00D22E22"/>
    <w:rsid w:val="00D23E7A"/>
    <w:rsid w:val="00D61063"/>
    <w:rsid w:val="00DA2F3E"/>
    <w:rsid w:val="00DB35AF"/>
    <w:rsid w:val="00DD10D1"/>
    <w:rsid w:val="00DD72D7"/>
    <w:rsid w:val="00DE19B7"/>
    <w:rsid w:val="00DF27C4"/>
    <w:rsid w:val="00DF5B88"/>
    <w:rsid w:val="00E0589E"/>
    <w:rsid w:val="00E14427"/>
    <w:rsid w:val="00E241FA"/>
    <w:rsid w:val="00E2563E"/>
    <w:rsid w:val="00E2595E"/>
    <w:rsid w:val="00E32E0E"/>
    <w:rsid w:val="00E35374"/>
    <w:rsid w:val="00E50C19"/>
    <w:rsid w:val="00E64655"/>
    <w:rsid w:val="00E73081"/>
    <w:rsid w:val="00E856C9"/>
    <w:rsid w:val="00E8744D"/>
    <w:rsid w:val="00EB6A8B"/>
    <w:rsid w:val="00EC2005"/>
    <w:rsid w:val="00EF38C6"/>
    <w:rsid w:val="00F319FD"/>
    <w:rsid w:val="00F368D6"/>
    <w:rsid w:val="00F679C7"/>
    <w:rsid w:val="00F7711A"/>
    <w:rsid w:val="00F93E62"/>
    <w:rsid w:val="00FA0D58"/>
    <w:rsid w:val="00FA56F4"/>
    <w:rsid w:val="00FB4EDA"/>
    <w:rsid w:val="00FD3BD5"/>
    <w:rsid w:val="00FD7A56"/>
    <w:rsid w:val="00FE3DC8"/>
    <w:rsid w:val="00FF509A"/>
    <w:rsid w:val="00FF65D9"/>
    <w:rsid w:val="04073F84"/>
    <w:rsid w:val="069F15A1"/>
    <w:rsid w:val="09301607"/>
    <w:rsid w:val="0B60750A"/>
    <w:rsid w:val="10686488"/>
    <w:rsid w:val="10DF728A"/>
    <w:rsid w:val="1264200E"/>
    <w:rsid w:val="141C5B77"/>
    <w:rsid w:val="18D8339D"/>
    <w:rsid w:val="1A21388F"/>
    <w:rsid w:val="1A570D2F"/>
    <w:rsid w:val="1CC7442D"/>
    <w:rsid w:val="28FB0B8D"/>
    <w:rsid w:val="2A9870FC"/>
    <w:rsid w:val="2D2B7942"/>
    <w:rsid w:val="2D46481D"/>
    <w:rsid w:val="2E733B28"/>
    <w:rsid w:val="31852B5A"/>
    <w:rsid w:val="3286681E"/>
    <w:rsid w:val="32D01238"/>
    <w:rsid w:val="36F43515"/>
    <w:rsid w:val="3A5560F7"/>
    <w:rsid w:val="3C6B7F8C"/>
    <w:rsid w:val="3D183BC1"/>
    <w:rsid w:val="3DFC59A8"/>
    <w:rsid w:val="3ECF245E"/>
    <w:rsid w:val="3FB96314"/>
    <w:rsid w:val="4F7D7862"/>
    <w:rsid w:val="53A44FAF"/>
    <w:rsid w:val="594329EC"/>
    <w:rsid w:val="5B286866"/>
    <w:rsid w:val="5BEE1540"/>
    <w:rsid w:val="5DE61A5D"/>
    <w:rsid w:val="63C04243"/>
    <w:rsid w:val="649C01C7"/>
    <w:rsid w:val="65D60C77"/>
    <w:rsid w:val="699A3F60"/>
    <w:rsid w:val="70AB1FE1"/>
    <w:rsid w:val="72902E62"/>
    <w:rsid w:val="73C61104"/>
    <w:rsid w:val="776452EA"/>
    <w:rsid w:val="789123F2"/>
    <w:rsid w:val="7DC663B9"/>
    <w:rsid w:val="7FD21032"/>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1"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after="160" w:line="480" w:lineRule="auto"/>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9"/>
    <w:pPr>
      <w:keepNext/>
      <w:keepLines/>
      <w:spacing w:before="340" w:after="330" w:line="578" w:lineRule="auto"/>
      <w:outlineLvl w:val="0"/>
    </w:pPr>
    <w:rPr>
      <w:b/>
      <w:bCs/>
      <w:kern w:val="44"/>
      <w:sz w:val="44"/>
      <w:szCs w:val="44"/>
    </w:rPr>
  </w:style>
  <w:style w:type="paragraph" w:styleId="3">
    <w:name w:val="heading 2"/>
    <w:basedOn w:val="1"/>
    <w:next w:val="1"/>
    <w:link w:val="28"/>
    <w:unhideWhenUsed/>
    <w:qFormat/>
    <w:uiPriority w:val="9"/>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29"/>
    <w:unhideWhenUsed/>
    <w:qFormat/>
    <w:uiPriority w:val="9"/>
    <w:pPr>
      <w:keepNext/>
      <w:keepLines/>
      <w:spacing w:before="260" w:after="260" w:line="416" w:lineRule="auto"/>
      <w:outlineLvl w:val="2"/>
    </w:pPr>
    <w:rPr>
      <w:b/>
      <w:bCs/>
      <w:sz w:val="32"/>
      <w:szCs w:val="32"/>
    </w:rPr>
  </w:style>
  <w:style w:type="paragraph" w:styleId="5">
    <w:name w:val="heading 4"/>
    <w:basedOn w:val="1"/>
    <w:next w:val="1"/>
    <w:link w:val="30"/>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14">
    <w:name w:val="Default Paragraph Font"/>
    <w:semiHidden/>
    <w:unhideWhenUsed/>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styleId="6">
    <w:name w:val="Date"/>
    <w:basedOn w:val="1"/>
    <w:next w:val="1"/>
    <w:link w:val="31"/>
    <w:unhideWhenUsed/>
    <w:qFormat/>
    <w:uiPriority w:val="99"/>
    <w:pPr>
      <w:ind w:left="100" w:leftChars="2500"/>
    </w:pPr>
  </w:style>
  <w:style w:type="paragraph" w:styleId="7">
    <w:name w:val="Balloon Text"/>
    <w:basedOn w:val="1"/>
    <w:link w:val="19"/>
    <w:unhideWhenUsed/>
    <w:qFormat/>
    <w:uiPriority w:val="99"/>
    <w:rPr>
      <w:sz w:val="18"/>
      <w:szCs w:val="18"/>
    </w:rPr>
  </w:style>
  <w:style w:type="paragraph" w:styleId="8">
    <w:name w:val="footer"/>
    <w:basedOn w:val="1"/>
    <w:link w:val="16"/>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9">
    <w:name w:val="header"/>
    <w:basedOn w:val="1"/>
    <w:link w:val="15"/>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0">
    <w:name w:val="Subtitle"/>
    <w:basedOn w:val="1"/>
    <w:next w:val="1"/>
    <w:link w:val="21"/>
    <w:qFormat/>
    <w:uiPriority w:val="11"/>
    <w:pPr>
      <w:widowControl/>
      <w:spacing w:after="200" w:line="276" w:lineRule="auto"/>
      <w:jc w:val="left"/>
    </w:pPr>
    <w:rPr>
      <w:rFonts w:asciiTheme="majorHAnsi" w:hAnsiTheme="majorHAnsi" w:eastAsiaTheme="majorEastAsia" w:cstheme="majorBidi"/>
      <w:i/>
      <w:iCs/>
      <w:color w:val="F0A22E" w:themeColor="accent1"/>
      <w:spacing w:val="15"/>
      <w:kern w:val="0"/>
      <w:sz w:val="24"/>
    </w:rPr>
  </w:style>
  <w:style w:type="paragraph" w:styleId="11">
    <w:name w:val="Title"/>
    <w:basedOn w:val="1"/>
    <w:next w:val="1"/>
    <w:link w:val="20"/>
    <w:qFormat/>
    <w:uiPriority w:val="10"/>
    <w:pPr>
      <w:widowControl/>
      <w:pBdr>
        <w:bottom w:val="single" w:color="F0A22E" w:themeColor="accent1" w:sz="8" w:space="4"/>
      </w:pBdr>
      <w:spacing w:after="300"/>
      <w:contextualSpacing/>
      <w:jc w:val="left"/>
    </w:pPr>
    <w:rPr>
      <w:rFonts w:asciiTheme="majorHAnsi" w:hAnsiTheme="majorHAnsi" w:eastAsiaTheme="majorEastAsia" w:cstheme="majorBidi"/>
      <w:color w:val="3A2C23" w:themeColor="text2" w:themeShade="BF"/>
      <w:spacing w:val="5"/>
      <w:kern w:val="28"/>
      <w:sz w:val="52"/>
      <w:szCs w:val="52"/>
    </w:rPr>
  </w:style>
  <w:style w:type="table" w:styleId="13">
    <w:name w:val="Table Grid"/>
    <w:basedOn w:val="12"/>
    <w:qFormat/>
    <w:uiPriority w:val="1"/>
    <w:rPr>
      <w:sz w:val="22"/>
    </w:rPr>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customStyle="1" w:styleId="15">
    <w:name w:val="页眉 Char"/>
    <w:basedOn w:val="14"/>
    <w:link w:val="9"/>
    <w:qFormat/>
    <w:uiPriority w:val="99"/>
    <w:rPr>
      <w:sz w:val="18"/>
      <w:szCs w:val="18"/>
    </w:rPr>
  </w:style>
  <w:style w:type="character" w:customStyle="1" w:styleId="16">
    <w:name w:val="页脚 Char"/>
    <w:basedOn w:val="14"/>
    <w:link w:val="8"/>
    <w:qFormat/>
    <w:uiPriority w:val="99"/>
    <w:rPr>
      <w:sz w:val="18"/>
      <w:szCs w:val="18"/>
    </w:rPr>
  </w:style>
  <w:style w:type="paragraph" w:customStyle="1" w:styleId="17">
    <w:name w:val="无间隔1"/>
    <w:link w:val="18"/>
    <w:qFormat/>
    <w:uiPriority w:val="1"/>
    <w:pPr>
      <w:spacing w:after="160" w:line="480" w:lineRule="auto"/>
    </w:pPr>
    <w:rPr>
      <w:rFonts w:asciiTheme="minorHAnsi" w:hAnsiTheme="minorHAnsi" w:eastAsiaTheme="minorEastAsia" w:cstheme="minorBidi"/>
      <w:sz w:val="22"/>
      <w:szCs w:val="22"/>
      <w:lang w:val="en-US" w:eastAsia="zh-CN" w:bidi="ar-SA"/>
    </w:rPr>
  </w:style>
  <w:style w:type="character" w:customStyle="1" w:styleId="18">
    <w:name w:val="无间隔 Char"/>
    <w:basedOn w:val="14"/>
    <w:link w:val="17"/>
    <w:qFormat/>
    <w:uiPriority w:val="1"/>
    <w:rPr>
      <w:kern w:val="0"/>
      <w:sz w:val="22"/>
    </w:rPr>
  </w:style>
  <w:style w:type="character" w:customStyle="1" w:styleId="19">
    <w:name w:val="批注框文本 Char"/>
    <w:basedOn w:val="14"/>
    <w:link w:val="7"/>
    <w:semiHidden/>
    <w:qFormat/>
    <w:uiPriority w:val="99"/>
    <w:rPr>
      <w:rFonts w:ascii="Times New Roman" w:hAnsi="Times New Roman" w:eastAsia="宋体" w:cs="Times New Roman"/>
      <w:sz w:val="18"/>
      <w:szCs w:val="18"/>
    </w:rPr>
  </w:style>
  <w:style w:type="character" w:customStyle="1" w:styleId="20">
    <w:name w:val="标题 Char"/>
    <w:basedOn w:val="14"/>
    <w:link w:val="11"/>
    <w:qFormat/>
    <w:uiPriority w:val="10"/>
    <w:rPr>
      <w:rFonts w:asciiTheme="majorHAnsi" w:hAnsiTheme="majorHAnsi" w:eastAsiaTheme="majorEastAsia" w:cstheme="majorBidi"/>
      <w:color w:val="3A2C23" w:themeColor="text2" w:themeShade="BF"/>
      <w:spacing w:val="5"/>
      <w:kern w:val="28"/>
      <w:sz w:val="52"/>
      <w:szCs w:val="52"/>
    </w:rPr>
  </w:style>
  <w:style w:type="character" w:customStyle="1" w:styleId="21">
    <w:name w:val="副标题 Char"/>
    <w:basedOn w:val="14"/>
    <w:link w:val="10"/>
    <w:qFormat/>
    <w:uiPriority w:val="11"/>
    <w:rPr>
      <w:rFonts w:asciiTheme="majorHAnsi" w:hAnsiTheme="majorHAnsi" w:eastAsiaTheme="majorEastAsia" w:cstheme="majorBidi"/>
      <w:i/>
      <w:iCs/>
      <w:color w:val="F0A22E" w:themeColor="accent1"/>
      <w:spacing w:val="15"/>
      <w:kern w:val="0"/>
      <w:sz w:val="24"/>
      <w:szCs w:val="24"/>
    </w:rPr>
  </w:style>
  <w:style w:type="character" w:customStyle="1" w:styleId="22">
    <w:name w:val="Style1"/>
    <w:basedOn w:val="14"/>
    <w:qFormat/>
    <w:uiPriority w:val="1"/>
    <w:rPr>
      <w:rFonts w:asciiTheme="minorHAnsi" w:hAnsiTheme="minorEastAsia" w:eastAsiaTheme="minorEastAsia" w:cstheme="minorBidi"/>
      <w:sz w:val="22"/>
      <w:szCs w:val="22"/>
      <w:lang w:eastAsia="zh-CN"/>
    </w:rPr>
  </w:style>
  <w:style w:type="character" w:customStyle="1" w:styleId="23">
    <w:name w:val="Style2"/>
    <w:basedOn w:val="14"/>
    <w:qFormat/>
    <w:uiPriority w:val="1"/>
    <w:rPr>
      <w:rFonts w:asciiTheme="minorHAnsi" w:hAnsiTheme="minorEastAsia" w:eastAsiaTheme="minorEastAsia" w:cstheme="minorBidi"/>
      <w:sz w:val="22"/>
      <w:szCs w:val="22"/>
      <w:lang w:eastAsia="zh-CN"/>
    </w:rPr>
  </w:style>
  <w:style w:type="character" w:customStyle="1" w:styleId="24">
    <w:name w:val="Style3"/>
    <w:basedOn w:val="14"/>
    <w:qFormat/>
    <w:uiPriority w:val="1"/>
    <w:rPr>
      <w:rFonts w:asciiTheme="minorHAnsi" w:hAnsiTheme="minorEastAsia" w:eastAsiaTheme="minorEastAsia" w:cstheme="minorBidi"/>
      <w:szCs w:val="22"/>
      <w:lang w:eastAsia="zh-CN"/>
    </w:rPr>
  </w:style>
  <w:style w:type="character" w:customStyle="1" w:styleId="25">
    <w:name w:val="Style4"/>
    <w:basedOn w:val="14"/>
    <w:qFormat/>
    <w:uiPriority w:val="1"/>
    <w:rPr>
      <w:rFonts w:asciiTheme="minorHAnsi" w:hAnsiTheme="minorEastAsia" w:eastAsiaTheme="minorEastAsia" w:cstheme="minorBidi"/>
      <w:szCs w:val="22"/>
      <w:lang w:eastAsia="zh-CN"/>
    </w:rPr>
  </w:style>
  <w:style w:type="character" w:customStyle="1" w:styleId="26">
    <w:name w:val="Style5"/>
    <w:basedOn w:val="14"/>
    <w:qFormat/>
    <w:uiPriority w:val="1"/>
    <w:rPr>
      <w:rFonts w:asciiTheme="minorHAnsi" w:hAnsiTheme="minorEastAsia" w:eastAsiaTheme="minorEastAsia" w:cstheme="minorBidi"/>
      <w:sz w:val="22"/>
      <w:szCs w:val="22"/>
      <w:lang w:eastAsia="zh-CN"/>
    </w:rPr>
  </w:style>
  <w:style w:type="character" w:customStyle="1" w:styleId="27">
    <w:name w:val="标题 1 Char"/>
    <w:basedOn w:val="14"/>
    <w:link w:val="2"/>
    <w:qFormat/>
    <w:uiPriority w:val="9"/>
    <w:rPr>
      <w:rFonts w:ascii="Times New Roman" w:hAnsi="Times New Roman" w:eastAsia="宋体" w:cs="Times New Roman"/>
      <w:b/>
      <w:bCs/>
      <w:kern w:val="44"/>
      <w:sz w:val="44"/>
      <w:szCs w:val="44"/>
    </w:rPr>
  </w:style>
  <w:style w:type="character" w:customStyle="1" w:styleId="28">
    <w:name w:val="标题 2 Char"/>
    <w:basedOn w:val="14"/>
    <w:link w:val="3"/>
    <w:qFormat/>
    <w:uiPriority w:val="9"/>
    <w:rPr>
      <w:rFonts w:asciiTheme="majorHAnsi" w:hAnsiTheme="majorHAnsi" w:eastAsiaTheme="majorEastAsia" w:cstheme="majorBidi"/>
      <w:b/>
      <w:bCs/>
      <w:sz w:val="32"/>
      <w:szCs w:val="32"/>
    </w:rPr>
  </w:style>
  <w:style w:type="character" w:customStyle="1" w:styleId="29">
    <w:name w:val="标题 3 Char"/>
    <w:basedOn w:val="14"/>
    <w:link w:val="4"/>
    <w:qFormat/>
    <w:uiPriority w:val="9"/>
    <w:rPr>
      <w:rFonts w:ascii="Times New Roman" w:hAnsi="Times New Roman" w:eastAsia="宋体" w:cs="Times New Roman"/>
      <w:b/>
      <w:bCs/>
      <w:sz w:val="32"/>
      <w:szCs w:val="32"/>
    </w:rPr>
  </w:style>
  <w:style w:type="character" w:customStyle="1" w:styleId="30">
    <w:name w:val="标题 4 Char"/>
    <w:basedOn w:val="14"/>
    <w:link w:val="5"/>
    <w:qFormat/>
    <w:uiPriority w:val="9"/>
    <w:rPr>
      <w:rFonts w:asciiTheme="majorHAnsi" w:hAnsiTheme="majorHAnsi" w:eastAsiaTheme="majorEastAsia" w:cstheme="majorBidi"/>
      <w:b/>
      <w:bCs/>
      <w:sz w:val="28"/>
      <w:szCs w:val="28"/>
    </w:rPr>
  </w:style>
  <w:style w:type="character" w:customStyle="1" w:styleId="31">
    <w:name w:val="日期 Char"/>
    <w:basedOn w:val="14"/>
    <w:link w:val="6"/>
    <w:semiHidden/>
    <w:qFormat/>
    <w:uiPriority w:val="99"/>
    <w:rPr>
      <w:rFonts w:ascii="Times New Roman" w:hAnsi="Times New Roman" w:eastAsia="宋体" w:cs="Times New Roman"/>
      <w:szCs w:val="24"/>
    </w:rPr>
  </w:style>
  <w:style w:type="paragraph" w:customStyle="1" w:styleId="32">
    <w:name w:val="列出段落1"/>
    <w:basedOn w:val="1"/>
    <w:unhideWhenUsed/>
    <w:qFormat/>
    <w:uiPriority w:val="99"/>
    <w:pPr>
      <w:ind w:firstLine="420" w:firstLineChars="200"/>
    </w:pPr>
  </w:style>
  <w:style w:type="paragraph" w:customStyle="1" w:styleId="33">
    <w:name w:val="默认段落字体 Para Char Char Char Char Char Char Char"/>
    <w:basedOn w:val="1"/>
    <w:uiPriority w:val="0"/>
    <w:pPr>
      <w:spacing w:after="0" w:line="240" w:lineRule="auto"/>
    </w:pPr>
  </w:style>
</w:styles>
</file>

<file path=word/_rels/document.xml.rels><?xml version="1.0" encoding="UTF-8" standalone="yes"?>
<Relationships xmlns="http://schemas.openxmlformats.org/package/2006/relationships"><Relationship Id="rId9" Type="http://schemas.openxmlformats.org/officeDocument/2006/relationships/chart" Target="charts/chart4.xml"/><Relationship Id="rId8" Type="http://schemas.openxmlformats.org/officeDocument/2006/relationships/chart" Target="charts/chart3.xml"/><Relationship Id="rId7" Type="http://schemas.openxmlformats.org/officeDocument/2006/relationships/chart" Target="charts/chart2.xml"/><Relationship Id="rId6" Type="http://schemas.openxmlformats.org/officeDocument/2006/relationships/chart" Target="charts/chart1.xml"/><Relationship Id="rId5" Type="http://schemas.openxmlformats.org/officeDocument/2006/relationships/image" Target="media/image2.jpeg"/><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6" Type="http://schemas.openxmlformats.org/officeDocument/2006/relationships/fontTable" Target="fontTable.xml"/><Relationship Id="rId15" Type="http://schemas.openxmlformats.org/officeDocument/2006/relationships/customXml" Target="../customXml/item3.xml"/><Relationship Id="rId14" Type="http://schemas.openxmlformats.org/officeDocument/2006/relationships/customXml" Target="../customXml/item2.xml"/><Relationship Id="rId13" Type="http://schemas.openxmlformats.org/officeDocument/2006/relationships/numbering" Target="numbering.xml"/><Relationship Id="rId12" Type="http://schemas.openxmlformats.org/officeDocument/2006/relationships/customXml" Target="../customXml/item1.xml"/><Relationship Id="rId11" Type="http://schemas.openxmlformats.org/officeDocument/2006/relationships/image" Target="media/image3.jpeg"/><Relationship Id="rId10" Type="http://schemas.openxmlformats.org/officeDocument/2006/relationships/chart" Target="charts/chart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1" Type="http://schemas.openxmlformats.org/officeDocument/2006/relationships/font" Target="fonts/font11.odttf"/><Relationship Id="rId10" Type="http://schemas.openxmlformats.org/officeDocument/2006/relationships/font" Target="fonts/font10.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1" Type="http://schemas.openxmlformats.org/officeDocument/2006/relationships/oleObject" Target="file:///G:\&#37096;&#38376;&#20915;&#31639;&#20844;&#24320;&#21046;&#22270;&#27169;&#26495;&#65288;&#20462;&#25913;&#29256;&#65289;(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G:\&#37096;&#38376;&#20915;&#31639;&#20844;&#24320;&#21046;&#22270;&#27169;&#26495;&#65288;&#20462;&#25913;&#29256;&#65289;(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Administrator\Desktop\&#37096;&#38376;&#20915;&#31639;&#20844;&#24320;&#21046;&#22270;&#27169;&#26495;.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G:\&#37096;&#38376;&#20915;&#31639;&#20844;&#24320;&#21046;&#22270;&#27169;&#26495;&#65288;&#20462;&#25913;&#29256;&#65289;(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1</a:t>
            </a:r>
            <a:r>
              <a:rPr lang="zh-CN" altLang="zh-CN" sz="1200" b="0">
                <a:latin typeface="仿宋_GB2312" panose="02010609030101010101" pitchFamily="3" charset="-122"/>
                <a:ea typeface="仿宋_GB2312" panose="02010609030101010101" pitchFamily="3" charset="-122"/>
              </a:rPr>
              <a:t>：收入构成情况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38351296109681"/>
          <c:y val="0.906965174129353"/>
        </c:manualLayout>
      </c:layout>
      <c:overlay val="0"/>
    </c:title>
    <c:autoTitleDeleted val="0"/>
    <c:plotArea>
      <c:layout>
        <c:manualLayout>
          <c:layoutTarget val="inner"/>
          <c:xMode val="edge"/>
          <c:yMode val="edge"/>
          <c:x val="0.0943148809218805"/>
          <c:y val="0.057524581815333"/>
          <c:w val="0.811370238156239"/>
          <c:h val="0.765547851294712"/>
        </c:manualLayout>
      </c:layout>
      <c:pieChart>
        <c:varyColors val="1"/>
        <c:ser>
          <c:idx val="0"/>
          <c:order val="0"/>
          <c:explosion val="0"/>
          <c:dPt>
            <c:idx val="0"/>
            <c:bubble3D val="0"/>
            <c:explosion val="17"/>
          </c:dPt>
          <c:dPt>
            <c:idx val="1"/>
            <c:bubble3D val="0"/>
          </c:dPt>
          <c:dPt>
            <c:idx val="2"/>
            <c:bubble3D val="0"/>
          </c:dPt>
          <c:dPt>
            <c:idx val="3"/>
            <c:bubble3D val="0"/>
          </c:dPt>
          <c:dLbls>
            <c:dLbl>
              <c:idx val="1"/>
              <c:delete val="1"/>
            </c:dLbl>
            <c:dLbl>
              <c:idx val="2"/>
              <c:delete val="1"/>
            </c:dLbl>
            <c:dLbl>
              <c:idx val="3"/>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收入情况说明!$C$9:$C$12</c:f>
              <c:strCache>
                <c:ptCount val="4"/>
                <c:pt idx="0">
                  <c:v>财政拨款收入</c:v>
                </c:pt>
                <c:pt idx="1">
                  <c:v>事业收入</c:v>
                </c:pt>
                <c:pt idx="2">
                  <c:v>经营收入</c:v>
                </c:pt>
                <c:pt idx="3">
                  <c:v>其他收入</c:v>
                </c:pt>
              </c:strCache>
            </c:strRef>
          </c:cat>
          <c:val>
            <c:numRef>
              <c:f>收入情况说明!$D$9:$D$12</c:f>
              <c:numCache>
                <c:formatCode>General</c:formatCode>
                <c:ptCount val="4"/>
                <c:pt idx="0">
                  <c:v>1176.27</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2</a:t>
            </a:r>
            <a:r>
              <a:rPr lang="zh-CN" altLang="zh-CN" sz="1200" b="0">
                <a:latin typeface="仿宋_GB2312" panose="02010609030101010101" pitchFamily="3" charset="-122"/>
                <a:ea typeface="仿宋_GB2312" panose="02010609030101010101" pitchFamily="3" charset="-122"/>
              </a:rPr>
              <a:t>：支出构成情况</a:t>
            </a:r>
            <a:endParaRPr lang="zh-CN" altLang="zh-CN" sz="1200" b="1">
              <a:latin typeface="仿宋_GB2312" panose="02010609030101010101" pitchFamily="3" charset="-122"/>
              <a:ea typeface="仿宋_GB2312" panose="02010609030101010101" pitchFamily="3" charset="-122"/>
            </a:endParaRPr>
          </a:p>
        </c:rich>
      </c:tx>
      <c:layout>
        <c:manualLayout>
          <c:xMode val="edge"/>
          <c:yMode val="edge"/>
          <c:x val="0.364138331467032"/>
          <c:y val="0.82323232323232"/>
        </c:manualLayout>
      </c:layout>
      <c:overlay val="0"/>
    </c:title>
    <c:autoTitleDeleted val="0"/>
    <c:plotArea>
      <c:layout>
        <c:manualLayout>
          <c:layoutTarget val="inner"/>
          <c:xMode val="edge"/>
          <c:yMode val="edge"/>
          <c:x val="0.101627059597234"/>
          <c:y val="0.103243458204088"/>
          <c:w val="0.808785007968816"/>
          <c:h val="0.655154696572024"/>
        </c:manualLayout>
      </c:layout>
      <c:pieChart>
        <c:varyColors val="1"/>
        <c:ser>
          <c:idx val="0"/>
          <c:order val="0"/>
          <c:explosion val="0"/>
          <c:dPt>
            <c:idx val="0"/>
            <c:bubble3D val="0"/>
          </c:dPt>
          <c:dPt>
            <c:idx val="1"/>
            <c:bubble3D val="0"/>
          </c:dPt>
          <c:dPt>
            <c:idx val="2"/>
            <c:bubble3D val="0"/>
          </c:dPt>
          <c:dLbls>
            <c:dLbl>
              <c:idx val="0"/>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t>基本支出</a:t>
                    </a:r>
                  </a:p>
                  <a:p>
                    <a:pPr>
                      <a:defRPr lang="zh-CN" sz="1000" b="0" i="0" u="none" strike="noStrike" kern="1200" baseline="0">
                        <a:solidFill>
                          <a:schemeClr val="tx1"/>
                        </a:solidFill>
                        <a:latin typeface="+mn-lt"/>
                        <a:ea typeface="+mn-ea"/>
                        <a:cs typeface="+mn-cs"/>
                      </a:defRPr>
                    </a:pPr>
                    <a:r>
                      <a:t>81.</a:t>
                    </a:r>
                    <a:r>
                      <a:rPr lang="en-US" altLang="zh-CN"/>
                      <a:t>97</a:t>
                    </a:r>
                    <a:r>
                      <a:t>%</a:t>
                    </a:r>
                  </a:p>
                </c:rich>
              </c:tx>
              <c:dLblPos val="bestFit"/>
              <c:showLegendKey val="0"/>
              <c:showVal val="0"/>
              <c:showCatName val="1"/>
              <c:showSerName val="0"/>
              <c:showPercent val="1"/>
              <c:showBubbleSize val="0"/>
              <c:extLst>
                <c:ext xmlns:c15="http://schemas.microsoft.com/office/drawing/2012/chart" uri="{CE6537A1-D6FC-4f65-9D91-7224C49458BB}"/>
              </c:extLst>
            </c:dLbl>
            <c:dLbl>
              <c:idx val="1"/>
              <c:layout/>
              <c:tx>
                <c:rich>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r>
                      <a:t>项目支出</a:t>
                    </a:r>
                  </a:p>
                  <a:p>
                    <a:pPr>
                      <a:defRPr lang="zh-CN" sz="1000" b="0" i="0" u="none" strike="noStrike" kern="1200" baseline="0">
                        <a:solidFill>
                          <a:schemeClr val="tx1"/>
                        </a:solidFill>
                        <a:latin typeface="+mn-lt"/>
                        <a:ea typeface="+mn-ea"/>
                        <a:cs typeface="+mn-cs"/>
                      </a:defRPr>
                    </a:pPr>
                    <a:r>
                      <a:t>18.</a:t>
                    </a:r>
                    <a:r>
                      <a:rPr lang="en-US" altLang="zh-CN"/>
                      <a:t>03</a:t>
                    </a:r>
                    <a:r>
                      <a:t>%</a:t>
                    </a:r>
                  </a:p>
                </c:rich>
              </c:tx>
              <c:dLblPos val="bestFit"/>
              <c:showLegendKey val="0"/>
              <c:showVal val="0"/>
              <c:showCatName val="1"/>
              <c:showSerName val="0"/>
              <c:showPercent val="1"/>
              <c:showBubbleSize val="0"/>
              <c:extLst>
                <c:ext xmlns:c15="http://schemas.microsoft.com/office/drawing/2012/chart" uri="{CE6537A1-D6FC-4f65-9D91-7224C49458BB}"/>
              </c:extLst>
            </c:dLbl>
            <c:dLbl>
              <c:idx val="2"/>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支出情况说明!$A$5:$A$7</c:f>
              <c:strCache>
                <c:ptCount val="3"/>
                <c:pt idx="0">
                  <c:v>基本支出</c:v>
                </c:pt>
                <c:pt idx="1">
                  <c:v>项目支出</c:v>
                </c:pt>
                <c:pt idx="2">
                  <c:v>经营支出</c:v>
                </c:pt>
              </c:strCache>
            </c:strRef>
          </c:cat>
          <c:val>
            <c:numRef>
              <c:f>支出情况说明!$B$5:$B$7</c:f>
              <c:numCache>
                <c:formatCode>General</c:formatCode>
                <c:ptCount val="3"/>
                <c:pt idx="0">
                  <c:v>939.71</c:v>
                </c:pt>
                <c:pt idx="1">
                  <c:v>211.33</c:v>
                </c:pt>
              </c:numCache>
            </c:numRef>
          </c:val>
        </c:ser>
        <c:dLbls>
          <c:showLegendKey val="0"/>
          <c:showVal val="0"/>
          <c:showCatName val="1"/>
          <c:showSerName val="0"/>
          <c:showPercent val="1"/>
          <c:showBubbleSize val="0"/>
          <c:showLeaderLines val="1"/>
        </c:dLbls>
        <c:firstSliceAng val="15"/>
      </c:pieChart>
      <c:spPr>
        <a:noFill/>
        <a:ln>
          <a:noFill/>
        </a:ln>
        <a:effectLst/>
      </c:spPr>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a:latin typeface="仿宋_GB2312" panose="02010609030101010101" pitchFamily="3" charset="-122"/>
                <a:ea typeface="仿宋_GB2312" panose="02010609030101010101" pitchFamily="3" charset="-122"/>
              </a:rPr>
              <a:t>图</a:t>
            </a:r>
            <a:r>
              <a:rPr lang="en-US" altLang="zh-CN" sz="1200" b="0">
                <a:latin typeface="仿宋_GB2312" panose="02010609030101010101" pitchFamily="3" charset="-122"/>
                <a:ea typeface="仿宋_GB2312" panose="02010609030101010101" pitchFamily="3" charset="-122"/>
              </a:rPr>
              <a:t>3</a:t>
            </a:r>
            <a:r>
              <a:rPr lang="zh-CN" altLang="zh-CN" sz="1200" b="0">
                <a:latin typeface="仿宋_GB2312" panose="02010609030101010101" pitchFamily="3" charset="-122"/>
                <a:ea typeface="仿宋_GB2312" panose="02010609030101010101" pitchFamily="3" charset="-122"/>
              </a:rPr>
              <a:t>：</a:t>
            </a:r>
            <a:r>
              <a:rPr lang="en-US" altLang="zh-CN" sz="1200" b="0">
                <a:latin typeface="仿宋_GB2312" panose="02010609030101010101" pitchFamily="3" charset="-122"/>
                <a:ea typeface="仿宋_GB2312" panose="02010609030101010101" pitchFamily="3" charset="-122"/>
              </a:rPr>
              <a:t>2017-2018</a:t>
            </a:r>
            <a:r>
              <a:rPr lang="zh-CN" altLang="zh-CN" sz="1200" b="0">
                <a:latin typeface="仿宋_GB2312" panose="02010609030101010101" pitchFamily="3" charset="-122"/>
                <a:ea typeface="仿宋_GB2312" panose="02010609030101010101" pitchFamily="3" charset="-122"/>
              </a:rPr>
              <a:t>年财政拨款收支对比情况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22222222222222"/>
          <c:y val="0.86474973375932"/>
        </c:manualLayout>
      </c:layout>
      <c:overlay val="0"/>
    </c:title>
    <c:autoTitleDeleted val="0"/>
    <c:plotArea>
      <c:layout>
        <c:manualLayout>
          <c:layoutTarget val="inner"/>
          <c:xMode val="edge"/>
          <c:yMode val="edge"/>
          <c:x val="0.100155074365704"/>
          <c:y val="0.0702982734186981"/>
          <c:w val="0.869289370078741"/>
          <c:h val="0.601993408970844"/>
        </c:manualLayout>
      </c:layout>
      <c:barChart>
        <c:barDir val="col"/>
        <c:grouping val="clustered"/>
        <c:varyColors val="0"/>
        <c:ser>
          <c:idx val="0"/>
          <c:order val="0"/>
          <c:tx>
            <c:strRef>
              <c:f>收支与决算对比!$A$5</c:f>
              <c:strCache>
                <c:ptCount val="1"/>
                <c:pt idx="0">
                  <c:v>2018</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收支与决算对比!$B$5:$C$5</c:f>
              <c:numCache>
                <c:formatCode>General</c:formatCode>
                <c:ptCount val="2"/>
                <c:pt idx="0">
                  <c:v>1176.27</c:v>
                </c:pt>
                <c:pt idx="1">
                  <c:v>1172.27</c:v>
                </c:pt>
              </c:numCache>
            </c:numRef>
          </c:val>
        </c:ser>
        <c:ser>
          <c:idx val="1"/>
          <c:order val="1"/>
          <c:tx>
            <c:strRef>
              <c:f>收支与决算对比!$A$6</c:f>
              <c:strCache>
                <c:ptCount val="1"/>
                <c:pt idx="0">
                  <c:v>2017</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收支与决算对比!$B$4:$C$4</c:f>
              <c:strCache>
                <c:ptCount val="2"/>
                <c:pt idx="0">
                  <c:v>财政拨款收入</c:v>
                </c:pt>
                <c:pt idx="1">
                  <c:v>财政拨款支出</c:v>
                </c:pt>
              </c:strCache>
            </c:strRef>
          </c:cat>
          <c:val>
            <c:numRef>
              <c:f>收支与决算对比!$B$6:$C$6</c:f>
              <c:numCache>
                <c:formatCode>General</c:formatCode>
                <c:ptCount val="2"/>
                <c:pt idx="0">
                  <c:v>1108.07</c:v>
                </c:pt>
                <c:pt idx="1">
                  <c:v>1047.7</c:v>
                </c:pt>
              </c:numCache>
            </c:numRef>
          </c:val>
        </c:ser>
        <c:dLbls>
          <c:showLegendKey val="0"/>
          <c:showVal val="1"/>
          <c:showCatName val="0"/>
          <c:showSerName val="0"/>
          <c:showPercent val="0"/>
          <c:showBubbleSize val="0"/>
        </c:dLbls>
        <c:gapWidth val="75"/>
        <c:axId val="185507840"/>
        <c:axId val="185509376"/>
      </c:barChart>
      <c:catAx>
        <c:axId val="185507840"/>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5509376"/>
        <c:crosses val="autoZero"/>
        <c:auto val="1"/>
        <c:lblAlgn val="ctr"/>
        <c:lblOffset val="100"/>
        <c:noMultiLvlLbl val="0"/>
      </c:catAx>
      <c:valAx>
        <c:axId val="185509376"/>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185507840"/>
        <c:crosses val="autoZero"/>
        <c:crossBetween val="between"/>
      </c:valAx>
    </c:plotArea>
    <c:legend>
      <c:legendPos val="b"/>
      <c:layout>
        <c:manualLayout>
          <c:xMode val="edge"/>
          <c:yMode val="edge"/>
          <c:x val="0.426340551181102"/>
          <c:y val="0.756835299740889"/>
          <c:w val="0.208429790026247"/>
          <c:h val="0.0770305149555989"/>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800" b="1" i="0" u="none" strike="noStrike" kern="1200" baseline="0">
                <a:solidFill>
                  <a:schemeClr val="tx1"/>
                </a:solidFill>
                <a:latin typeface="+mn-lt"/>
                <a:ea typeface="+mn-ea"/>
                <a:cs typeface="+mn-cs"/>
              </a:defRPr>
            </a:pPr>
            <a:r>
              <a:rPr lang="zh-CN" altLang="zh-CN" sz="1200" b="0" i="0" u="none" strike="noStrike" baseline="0">
                <a:latin typeface="仿宋_GB2312" panose="02010609030101010101" pitchFamily="3" charset="-122"/>
                <a:ea typeface="仿宋_GB2312" panose="02010609030101010101" pitchFamily="3" charset="-122"/>
              </a:rPr>
              <a:t>图</a:t>
            </a:r>
            <a:r>
              <a:rPr lang="en-US" altLang="zh-CN" sz="1200" b="0" i="0" u="none" strike="noStrike" baseline="0">
                <a:latin typeface="仿宋_GB2312" panose="02010609030101010101" pitchFamily="3" charset="-122"/>
                <a:ea typeface="仿宋_GB2312" panose="02010609030101010101" pitchFamily="3" charset="-122"/>
              </a:rPr>
              <a:t>4</a:t>
            </a:r>
            <a:r>
              <a:rPr lang="zh-CN" altLang="zh-CN" sz="1200" b="0" i="0" u="none" strike="noStrike" baseline="0">
                <a:latin typeface="仿宋_GB2312" panose="02010609030101010101" pitchFamily="3" charset="-122"/>
                <a:ea typeface="仿宋_GB2312" panose="02010609030101010101" pitchFamily="3" charset="-122"/>
              </a:rPr>
              <a:t>：财政拨款收支预决算对比情况</a:t>
            </a:r>
            <a:endParaRPr lang="zh-CN" altLang="zh-CN" sz="1200" b="0">
              <a:latin typeface="仿宋_GB2312" panose="02010609030101010101" pitchFamily="3" charset="-122"/>
              <a:ea typeface="仿宋_GB2312" panose="02010609030101010101" pitchFamily="3" charset="-122"/>
            </a:endParaRPr>
          </a:p>
        </c:rich>
      </c:tx>
      <c:layout>
        <c:manualLayout>
          <c:xMode val="edge"/>
          <c:yMode val="edge"/>
          <c:x val="0.219444444444445"/>
          <c:y val="0.921675774134793"/>
        </c:manualLayout>
      </c:layout>
      <c:overlay val="0"/>
    </c:title>
    <c:autoTitleDeleted val="0"/>
    <c:plotArea>
      <c:layout>
        <c:manualLayout>
          <c:layoutTarget val="inner"/>
          <c:xMode val="edge"/>
          <c:yMode val="edge"/>
          <c:x val="0.100155074365704"/>
          <c:y val="0.0231156048675734"/>
          <c:w val="0.869289370078741"/>
          <c:h val="0.768818002863281"/>
        </c:manualLayout>
      </c:layout>
      <c:barChart>
        <c:barDir val="col"/>
        <c:grouping val="clustered"/>
        <c:varyColors val="0"/>
        <c:ser>
          <c:idx val="0"/>
          <c:order val="0"/>
          <c:tx>
            <c:strRef>
              <c:f>收支与预算对比!$A$5</c:f>
              <c:strCache>
                <c:ptCount val="1"/>
                <c:pt idx="0">
                  <c:v>年初预算数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收支与预算对比!$B$5:$C$5</c:f>
              <c:numCache>
                <c:formatCode>General</c:formatCode>
                <c:ptCount val="2"/>
                <c:pt idx="0">
                  <c:v>1049.36</c:v>
                </c:pt>
                <c:pt idx="1">
                  <c:v>1049.36</c:v>
                </c:pt>
              </c:numCache>
            </c:numRef>
          </c:val>
        </c:ser>
        <c:ser>
          <c:idx val="1"/>
          <c:order val="1"/>
          <c:tx>
            <c:strRef>
              <c:f>收支与预算对比!$A$6</c:f>
              <c:strCache>
                <c:ptCount val="1"/>
                <c:pt idx="0">
                  <c:v>决算数</c:v>
                </c:pt>
              </c:strCache>
            </c:strRef>
          </c:tx>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ext>
            </c:extLst>
          </c:dLbls>
          <c:cat>
            <c:strRef>
              <c:f>收支与预算对比!$B$4:$C$4</c:f>
              <c:strCache>
                <c:ptCount val="2"/>
                <c:pt idx="0">
                  <c:v>财政拨款收入</c:v>
                </c:pt>
                <c:pt idx="1">
                  <c:v>财政拨款支出</c:v>
                </c:pt>
              </c:strCache>
            </c:strRef>
          </c:cat>
          <c:val>
            <c:numRef>
              <c:f>收支与预算对比!$B$6:$C$6</c:f>
              <c:numCache>
                <c:formatCode>General</c:formatCode>
                <c:ptCount val="2"/>
                <c:pt idx="0">
                  <c:v>1176.27</c:v>
                </c:pt>
                <c:pt idx="1">
                  <c:v>1172.27</c:v>
                </c:pt>
              </c:numCache>
            </c:numRef>
          </c:val>
        </c:ser>
        <c:dLbls>
          <c:showLegendKey val="0"/>
          <c:showVal val="1"/>
          <c:showCatName val="0"/>
          <c:showSerName val="0"/>
          <c:showPercent val="0"/>
          <c:showBubbleSize val="0"/>
        </c:dLbls>
        <c:gapWidth val="75"/>
        <c:axId val="222382336"/>
        <c:axId val="222711808"/>
      </c:barChart>
      <c:catAx>
        <c:axId val="222382336"/>
        <c:scaling>
          <c:orientation val="minMax"/>
        </c:scaling>
        <c:delete val="0"/>
        <c:axPos val="b"/>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2711808"/>
        <c:crosses val="autoZero"/>
        <c:auto val="1"/>
        <c:lblAlgn val="ctr"/>
        <c:lblOffset val="100"/>
        <c:noMultiLvlLbl val="0"/>
      </c:catAx>
      <c:valAx>
        <c:axId val="222711808"/>
        <c:scaling>
          <c:orientation val="minMax"/>
        </c:scaling>
        <c:delete val="0"/>
        <c:axPos val="l"/>
        <c:numFmt formatCode="General" sourceLinked="1"/>
        <c:majorTickMark val="none"/>
        <c:minorTickMark val="none"/>
        <c:tickLblPos val="nextTo"/>
        <c:txPr>
          <a:bodyPr rot="-6000000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crossAx val="222382336"/>
        <c:crosses val="autoZero"/>
        <c:crossBetween val="between"/>
      </c:valAx>
    </c:plotArea>
    <c:legend>
      <c:legendPos val="b"/>
      <c:layout>
        <c:manualLayout>
          <c:xMode val="edge"/>
          <c:yMode val="edge"/>
          <c:x val="0.34671828521435"/>
          <c:y val="0.848750340633651"/>
          <c:w val="0.339896544181978"/>
          <c:h val="0.0658758228991868"/>
        </c:manualLayout>
      </c:layout>
      <c:overlay val="0"/>
      <c:txPr>
        <a:bodyPr rot="0" spcFirstLastPara="0" vertOverflow="ellipsis" vert="horz" wrap="square" anchor="ctr" anchorCtr="1"/>
        <a:lstStyle/>
        <a:p>
          <a:pPr>
            <a:defRPr lang="zh-CN" sz="1000" b="0" i="0" u="none" strike="noStrike" kern="1200" baseline="0">
              <a:solidFill>
                <a:schemeClr val="tx1"/>
              </a:solidFill>
              <a:latin typeface="+mn-lt"/>
              <a:ea typeface="+mn-ea"/>
              <a:cs typeface="+mn-cs"/>
            </a:defRPr>
          </a:pPr>
        </a:p>
      </c:txPr>
    </c:legend>
    <c:plotVisOnly val="1"/>
    <c:dispBlanksAs val="gap"/>
    <c:showDLblsOverMax val="0"/>
  </c:chart>
  <c:spPr>
    <a:ln w="12700" cap="flat" cmpd="sng" algn="ctr">
      <a:solidFill>
        <a:sysClr val="window" lastClr="FFFFFF">
          <a:alpha val="0"/>
        </a:sysClr>
      </a:solidFill>
      <a:prstDash val="solid"/>
      <a:round/>
    </a:ln>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b" anchorCtr="0"/>
          <a:lstStyle/>
          <a:p>
            <a:pPr>
              <a:defRPr lang="zh-CN" sz="1800" b="1" i="0" u="none" strike="noStrike" kern="1200" baseline="0">
                <a:solidFill>
                  <a:schemeClr val="tx1"/>
                </a:solidFill>
                <a:latin typeface="+mn-lt"/>
                <a:ea typeface="+mn-ea"/>
                <a:cs typeface="+mn-cs"/>
              </a:defRPr>
            </a:pPr>
            <a:r>
              <a:rPr lang="zh-CN" altLang="zh-CN" sz="1400" b="0" i="0" u="none" strike="noStrike" baseline="0">
                <a:latin typeface="仿宋_GB2312" panose="02010609030101010101" pitchFamily="3" charset="-122"/>
                <a:ea typeface="仿宋_GB2312" panose="02010609030101010101" pitchFamily="3" charset="-122"/>
              </a:rPr>
              <a:t>图</a:t>
            </a:r>
            <a:r>
              <a:rPr lang="en-US" altLang="zh-CN" sz="1400" b="0" i="0" u="none" strike="noStrike" baseline="0">
                <a:latin typeface="仿宋_GB2312" panose="02010609030101010101" pitchFamily="3" charset="-122"/>
                <a:ea typeface="仿宋_GB2312" panose="02010609030101010101" pitchFamily="3" charset="-122"/>
              </a:rPr>
              <a:t>5</a:t>
            </a:r>
            <a:r>
              <a:rPr lang="zh-CN" altLang="zh-CN" sz="1400" b="0" i="0" u="none" strike="noStrike" baseline="0">
                <a:latin typeface="仿宋_GB2312" panose="02010609030101010101" pitchFamily="3" charset="-122"/>
                <a:ea typeface="仿宋_GB2312" panose="02010609030101010101" pitchFamily="3" charset="-122"/>
              </a:rPr>
              <a:t>：财政拨款支出决算结构（按功能分类）</a:t>
            </a:r>
            <a:endParaRPr lang="zh-CN" altLang="en-US" sz="1400" b="0">
              <a:latin typeface="仿宋_GB2312" panose="02010609030101010101" pitchFamily="3" charset="-122"/>
              <a:ea typeface="仿宋_GB2312" panose="02010609030101010101" pitchFamily="3" charset="-122"/>
            </a:endParaRPr>
          </a:p>
        </c:rich>
      </c:tx>
      <c:layout>
        <c:manualLayout>
          <c:xMode val="edge"/>
          <c:yMode val="edge"/>
          <c:x val="0.126388888888889"/>
          <c:y val="0.837120962443046"/>
        </c:manualLayout>
      </c:layout>
      <c:overlay val="0"/>
    </c:title>
    <c:autoTitleDeleted val="0"/>
    <c:plotArea>
      <c:layout>
        <c:manualLayout>
          <c:layoutTarget val="inner"/>
          <c:xMode val="edge"/>
          <c:yMode val="edge"/>
          <c:x val="0.242777777777778"/>
          <c:y val="0.0719696755041531"/>
          <c:w val="0.514444663167104"/>
          <c:h val="0.70151524054067"/>
        </c:manualLayout>
      </c:layout>
      <c:pieChart>
        <c:varyColors val="1"/>
        <c:ser>
          <c:idx val="0"/>
          <c:order val="0"/>
          <c:explosion val="0"/>
          <c:dPt>
            <c:idx val="0"/>
            <c:bubble3D val="0"/>
          </c:dPt>
          <c:dPt>
            <c:idx val="1"/>
            <c:bubble3D val="0"/>
          </c:dPt>
          <c:dPt>
            <c:idx val="2"/>
            <c:bubble3D val="0"/>
          </c:dPt>
          <c:dPt>
            <c:idx val="3"/>
            <c:bubble3D val="0"/>
          </c:dPt>
          <c:dPt>
            <c:idx val="4"/>
            <c:bubble3D val="0"/>
          </c:dPt>
          <c:dPt>
            <c:idx val="5"/>
            <c:bubble3D val="0"/>
          </c:dPt>
          <c:dPt>
            <c:idx val="6"/>
            <c:bubble3D val="0"/>
          </c:dPt>
          <c:dPt>
            <c:idx val="7"/>
            <c:bubble3D val="0"/>
          </c:dPt>
          <c:dPt>
            <c:idx val="8"/>
            <c:bubble3D val="0"/>
          </c:dPt>
          <c:dPt>
            <c:idx val="9"/>
            <c:bubble3D val="0"/>
          </c:dPt>
          <c:dPt>
            <c:idx val="10"/>
            <c:bubble3D val="0"/>
          </c:dPt>
          <c:dPt>
            <c:idx val="11"/>
            <c:bubble3D val="0"/>
          </c:dPt>
          <c:dPt>
            <c:idx val="12"/>
            <c:bubble3D val="0"/>
          </c:dPt>
          <c:dPt>
            <c:idx val="13"/>
            <c:bubble3D val="0"/>
          </c:dPt>
          <c:dPt>
            <c:idx val="14"/>
            <c:bubble3D val="0"/>
          </c:dPt>
          <c:dPt>
            <c:idx val="15"/>
            <c:bubble3D val="0"/>
          </c:dPt>
          <c:dPt>
            <c:idx val="16"/>
            <c:bubble3D val="0"/>
          </c:dPt>
          <c:dPt>
            <c:idx val="17"/>
            <c:bubble3D val="0"/>
          </c:dPt>
          <c:dPt>
            <c:idx val="18"/>
            <c:bubble3D val="0"/>
          </c:dPt>
          <c:dLbls>
            <c:dLbl>
              <c:idx val="1"/>
              <c:delete val="1"/>
            </c:dLbl>
            <c:dLbl>
              <c:idx val="2"/>
              <c:delete val="1"/>
            </c:dLbl>
            <c:dLbl>
              <c:idx val="3"/>
              <c:delete val="1"/>
            </c:dLbl>
            <c:dLbl>
              <c:idx val="4"/>
              <c:delete val="1"/>
            </c:dLbl>
            <c:dLbl>
              <c:idx val="5"/>
              <c:layout>
                <c:manualLayout>
                  <c:x val="0.14005271216098"/>
                  <c:y val="0.335299797830646"/>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6"/>
              <c:delete val="1"/>
            </c:dLbl>
            <c:dLbl>
              <c:idx val="7"/>
              <c:delete val="1"/>
            </c:dLbl>
            <c:dLbl>
              <c:idx val="8"/>
              <c:delete val="1"/>
            </c:dLbl>
            <c:dLbl>
              <c:idx val="9"/>
              <c:layout>
                <c:manualLayout>
                  <c:x val="0.0744376640419951"/>
                  <c:y val="0.150442431284718"/>
                </c:manualLayout>
              </c:layout>
              <c:dLblPos val="bestFit"/>
              <c:showLegendKey val="0"/>
              <c:showVal val="0"/>
              <c:showCatName val="1"/>
              <c:showSerName val="0"/>
              <c:showPercent val="1"/>
              <c:showBubbleSize val="0"/>
              <c:separator>
</c:separator>
              <c:extLst>
                <c:ext xmlns:c15="http://schemas.microsoft.com/office/drawing/2012/chart" uri="{CE6537A1-D6FC-4f65-9D91-7224C49458BB}">
                  <c15:layout/>
                </c:ext>
              </c:extLst>
            </c:dLbl>
            <c:dLbl>
              <c:idx val="10"/>
              <c:delete val="1"/>
            </c:dLbl>
            <c:dLbl>
              <c:idx val="11"/>
              <c:delete val="1"/>
            </c:dLbl>
            <c:dLbl>
              <c:idx val="12"/>
              <c:delete val="1"/>
            </c:dLbl>
            <c:dLbl>
              <c:idx val="13"/>
              <c:delete val="1"/>
            </c:dLbl>
            <c:dLbl>
              <c:idx val="14"/>
              <c:delete val="1"/>
            </c:dLbl>
            <c:dLbl>
              <c:idx val="15"/>
              <c:delete val="1"/>
            </c:dLbl>
            <c:dLbl>
              <c:idx val="16"/>
              <c:delete val="1"/>
            </c:dLbl>
            <c:dLbl>
              <c:idx val="17"/>
              <c:delete val="1"/>
            </c:dLbl>
            <c:dLbl>
              <c:idx val="18"/>
              <c:delete val="1"/>
            </c:dLbl>
            <c:numFmt formatCode="0.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solidFill>
                    <a:latin typeface="+mn-lt"/>
                    <a:ea typeface="+mn-ea"/>
                    <a:cs typeface="+mn-cs"/>
                  </a:defRPr>
                </a:pPr>
              </a:p>
            </c:txPr>
            <c:dLblPos val="bestFit"/>
            <c:showLegendKey val="0"/>
            <c:showVal val="0"/>
            <c:showCatName val="1"/>
            <c:showSerName val="0"/>
            <c:showPercent val="1"/>
            <c:showBubbleSize val="0"/>
            <c:showLeaderLines val="1"/>
            <c:extLst>
              <c:ext xmlns:c15="http://schemas.microsoft.com/office/drawing/2012/chart" uri="{CE6537A1-D6FC-4f65-9D91-7224C49458BB}">
                <c15:layout/>
                <c15:showLeaderLines val="1"/>
                <c15:leaderLines/>
              </c:ext>
            </c:extLst>
          </c:dLbls>
          <c:cat>
            <c:strRef>
              <c:f>支出决算结构!$A$5:$A$23</c:f>
              <c:strCache>
                <c:ptCount val="19"/>
                <c:pt idx="0">
                  <c:v>一般公共服务支出</c:v>
                </c:pt>
                <c:pt idx="1">
                  <c:v>公共安全支出</c:v>
                </c:pt>
                <c:pt idx="2">
                  <c:v>教育支出</c:v>
                </c:pt>
                <c:pt idx="3">
                  <c:v>科学技术支出</c:v>
                </c:pt>
                <c:pt idx="4">
                  <c:v>文化体育与传媒支出</c:v>
                </c:pt>
                <c:pt idx="5">
                  <c:v>社会保障和就业支出</c:v>
                </c:pt>
                <c:pt idx="6">
                  <c:v>医疗卫生与计划生育支出</c:v>
                </c:pt>
                <c:pt idx="7">
                  <c:v>节能环保支出</c:v>
                </c:pt>
                <c:pt idx="8">
                  <c:v>城乡社区支出</c:v>
                </c:pt>
                <c:pt idx="9">
                  <c:v>农林水支出</c:v>
                </c:pt>
                <c:pt idx="10">
                  <c:v>交通运输支出</c:v>
                </c:pt>
                <c:pt idx="11">
                  <c:v>资源勘探信息等支出</c:v>
                </c:pt>
                <c:pt idx="12">
                  <c:v>商业服务业等支出</c:v>
                </c:pt>
                <c:pt idx="13">
                  <c:v>国土海洋气象等支出</c:v>
                </c:pt>
                <c:pt idx="14">
                  <c:v>住房保障支出</c:v>
                </c:pt>
                <c:pt idx="15">
                  <c:v>粮油物资储备支出</c:v>
                </c:pt>
                <c:pt idx="16">
                  <c:v>其他支出</c:v>
                </c:pt>
                <c:pt idx="17">
                  <c:v>债务还本支出</c:v>
                </c:pt>
                <c:pt idx="18">
                  <c:v>债务付息支出</c:v>
                </c:pt>
              </c:strCache>
            </c:strRef>
          </c:cat>
          <c:val>
            <c:numRef>
              <c:f>支出决算结构!$B$5:$B$23</c:f>
              <c:numCache>
                <c:formatCode>General</c:formatCode>
                <c:ptCount val="19"/>
                <c:pt idx="0">
                  <c:v>1151.04</c:v>
                </c:pt>
                <c:pt idx="5">
                  <c:v>17.23</c:v>
                </c:pt>
                <c:pt idx="9">
                  <c:v>4</c:v>
                </c:pt>
              </c:numCache>
            </c:numRef>
          </c:val>
        </c:ser>
        <c:dLbls>
          <c:showLegendKey val="0"/>
          <c:showVal val="0"/>
          <c:showCatName val="1"/>
          <c:showSerName val="0"/>
          <c:showPercent val="1"/>
          <c:showBubbleSize val="0"/>
          <c:showLeaderLines val="1"/>
        </c:dLbls>
        <c:firstSliceAng val="0"/>
      </c:pieChart>
    </c:plotArea>
    <c:plotVisOnly val="1"/>
    <c:dispBlanksAs val="zero"/>
    <c:showDLblsOverMax val="0"/>
  </c:chart>
  <c:spPr>
    <a:ln w="9525" cap="flat" cmpd="sng" algn="ctr">
      <a:solidFill>
        <a:sysClr val="window" lastClr="FFFFFF">
          <a:alpha val="0"/>
        </a:sysClr>
      </a:solidFill>
      <a:prstDash val="solid"/>
      <a:round/>
    </a:ln>
    <a:effectLst>
      <a:outerShdw blurRad="50800" dist="50800" dir="5400000" algn="ctr" rotWithShape="0">
        <a:schemeClr val="bg1"/>
      </a:outerShdw>
    </a:effectLst>
  </c:spPr>
  <c:txPr>
    <a:bodyPr/>
    <a:lstStyle/>
    <a:p>
      <a:pPr>
        <a:defRPr lang="zh-CN"/>
      </a:pPr>
    </a:p>
  </c:txPr>
  <c:externalData r:id="rId1">
    <c:autoUpdate val="0"/>
  </c:externalData>
</c:chartSpace>
</file>

<file path=word/theme/theme1.xml><?xml version="1.0" encoding="utf-8"?>
<a:theme xmlns:a="http://schemas.openxmlformats.org/drawingml/2006/main" name="Office 主题​​">
  <a:themeElements>
    <a:clrScheme name="跋涉">
      <a:dk1>
        <a:sysClr val="windowText" lastClr="000000"/>
      </a:dk1>
      <a:lt1>
        <a:sysClr val="window" lastClr="FFFFFF"/>
      </a:lt1>
      <a:dk2>
        <a:srgbClr val="4E3B30"/>
      </a:dk2>
      <a:lt2>
        <a:srgbClr val="FBEEC9"/>
      </a:lt2>
      <a:accent1>
        <a:srgbClr val="F0A22E"/>
      </a:accent1>
      <a:accent2>
        <a:srgbClr val="A5644E"/>
      </a:accent2>
      <a:accent3>
        <a:srgbClr val="B58B80"/>
      </a:accent3>
      <a:accent4>
        <a:srgbClr val="C3986D"/>
      </a:accent4>
      <a:accent5>
        <a:srgbClr val="A19574"/>
      </a:accent5>
      <a:accent6>
        <a:srgbClr val="C17529"/>
      </a:accent6>
      <a:hlink>
        <a:srgbClr val="AD1F1F"/>
      </a:hlink>
      <a:folHlink>
        <a:srgbClr val="FFC42F"/>
      </a:folHlink>
    </a:clrScheme>
    <a:fontScheme name="Office 2">
      <a:majorFont>
        <a:latin typeface="Calibri"/>
        <a:ea typeface=""/>
        <a:cs typeface=""/>
        <a:font script="Jpan" typeface="HGｺﾞｼｯｸM"/>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mbria"/>
        <a:ea typeface=""/>
        <a:cs typeface=""/>
        <a:font script="Jpan" typeface="HG明朝B"/>
        <a:font script="Hang" typeface="맑은 고딕"/>
        <a:font script="Hans" typeface="黑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凤舞九天">
      <a:fillStyleLst>
        <a:solidFill>
          <a:schemeClr val="phClr">
            <a:tint val="100000"/>
            <a:shade val="100000"/>
            <a:hueMod val="100000"/>
            <a:satMod val="100000"/>
          </a:schemeClr>
        </a:solidFill>
        <a:gradFill rotWithShape="1">
          <a:gsLst>
            <a:gs pos="0">
              <a:schemeClr val="phClr">
                <a:tint val="65000"/>
                <a:satMod val="180000"/>
              </a:schemeClr>
            </a:gs>
            <a:gs pos="50000">
              <a:schemeClr val="phClr">
                <a:tint val="40000"/>
                <a:satMod val="175000"/>
              </a:schemeClr>
            </a:gs>
            <a:gs pos="100000">
              <a:schemeClr val="phClr">
                <a:tint val="65000"/>
                <a:satMod val="180000"/>
              </a:schemeClr>
            </a:gs>
          </a:gsLst>
          <a:lin ang="0" scaled="1"/>
        </a:gradFill>
        <a:gradFill rotWithShape="1">
          <a:gsLst>
            <a:gs pos="0">
              <a:schemeClr val="phClr">
                <a:shade val="38000"/>
                <a:satMod val="150000"/>
              </a:schemeClr>
            </a:gs>
            <a:gs pos="50000">
              <a:schemeClr val="phClr">
                <a:shade val="100000"/>
                <a:satMod val="100000"/>
              </a:schemeClr>
            </a:gs>
            <a:gs pos="100000">
              <a:schemeClr val="phClr">
                <a:shade val="38000"/>
                <a:satMod val="150000"/>
              </a:schemeClr>
            </a:gs>
          </a:gsLst>
          <a:lin ang="0" scaled="1"/>
        </a:gradFill>
      </a:fillStyleLst>
      <a:lnStyleLst>
        <a:ln w="12700" cap="flat" cmpd="sng" algn="ctr">
          <a:solidFill>
            <a:schemeClr val="phClr"/>
          </a:solidFill>
          <a:prstDash val="solid"/>
        </a:ln>
        <a:ln w="25400" cap="flat" cmpd="sng" algn="ctr">
          <a:solidFill>
            <a:schemeClr val="phClr"/>
          </a:solidFill>
          <a:prstDash val="solid"/>
        </a:ln>
        <a:ln w="38100" cap="flat" cmpd="dbl" algn="ctr">
          <a:solidFill>
            <a:schemeClr val="phClr"/>
          </a:solidFill>
          <a:prstDash val="solid"/>
        </a:ln>
      </a:lnStyleLst>
      <a:effectStyleLst>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effectStyle>
        <a:effectStyle>
          <a:effectLst>
            <a:outerShdw blurRad="190500" dist="78600" dir="2700000" rotWithShape="0">
              <a:srgbClr val="000000">
                <a:alpha val="35500"/>
              </a:srgbClr>
            </a:outerShdw>
          </a:effectLst>
          <a:scene3d>
            <a:camera prst="orthographicFront" fov="0">
              <a:rot lat="0" lon="0" rev="0"/>
            </a:camera>
            <a:lightRig rig="soft" dir="tl">
              <a:rot lat="0" lon="0" rev="20100000"/>
            </a:lightRig>
          </a:scene3d>
          <a:sp3d>
            <a:bevelT w="50800" h="508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customShpInfo spid="_x0000_s1045"/>
    <customShpInfo spid="_x0000_s1044"/>
    <customShpInfo spid="_x0000_s1043"/>
    <customShpInfo spid="_x0000_s1027"/>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overPageProperties xmlns="http://schemas.microsoft.com/office/2006/coverPageProps">
  <PublishDate>2017</PublishDate>
  <Abstract/>
  <CompanyAddress/>
  <CompanyPhone/>
  <CompanyFax/>
  <CompanyEmail/>
</CoverPag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0252905-367E-4A57-B3FB-E4B72B0411D4}">
  <ds:schemaRefs/>
</ds:datastoreItem>
</file>

<file path=customXml/itemProps3.xml><?xml version="1.0" encoding="utf-8"?>
<ds:datastoreItem xmlns:ds="http://schemas.openxmlformats.org/officeDocument/2006/customXml" ds:itemID="{55AF091B-3C7A-41E3-B477-F2FDAA23CFD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35</Pages>
  <Words>1774</Words>
  <Characters>10112</Characters>
  <Lines>84</Lines>
  <Paragraphs>23</Paragraphs>
  <TotalTime>1249</TotalTime>
  <ScaleCrop>false</ScaleCrop>
  <LinksUpToDate>false</LinksUpToDate>
  <CharactersWithSpaces>11863</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2019-08-28T08:40:00Z</dcterms:created>
  <dc:creator>User</dc:creator>
  <cp:lastModifiedBy>Administrator</cp:lastModifiedBy>
  <cp:lastPrinted>2019-08-02T01:01:00Z</cp:lastPrinted>
  <dcterms:modified xsi:type="dcterms:W3CDTF">2024-01-03T07:19:34Z</dcterms:modified>
  <dc:subject>石家庄市xxx部门</dc:subject>
  <dc:title>2017年度部门决算</dc:title>
  <cp:revision>37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