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无极县发展和改革局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发展和改革局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40" w:firstLineChars="200"/>
        <w:rPr>
          <w:rFonts w:ascii="仿宋_GB2312" w:eastAsia="仿宋_GB2312"/>
          <w:sz w:val="32"/>
          <w:szCs w:val="32"/>
        </w:rPr>
      </w:pPr>
      <w:r>
        <w:rPr>
          <w:rFonts w:hint="eastAsia" w:ascii="仿宋_GB2312" w:eastAsia="仿宋_GB2312"/>
          <w:sz w:val="32"/>
          <w:szCs w:val="32"/>
        </w:rPr>
        <w:t>1.统筹协调，推进规划编制实施。坚持立足无极实际，突出规划引领，在抓好“十三五”规划纲要实施的同时，抓住京津冀协同发展机遇，加强与高等院校的合作，充分发挥专家、学者以及科研院所的智力优势，找准研究方向、研究重点，找出发展路径和解决难题的具体办法，集中体现以人为本、可持续发展理念，确保“十三五”规划目标任务顺利完成。</w:t>
      </w:r>
    </w:p>
    <w:p>
      <w:pPr>
        <w:ind w:firstLine="640" w:firstLineChars="200"/>
        <w:rPr>
          <w:rFonts w:ascii="仿宋_GB2312" w:eastAsia="仿宋_GB2312"/>
          <w:sz w:val="32"/>
          <w:szCs w:val="32"/>
        </w:rPr>
      </w:pPr>
      <w:r>
        <w:rPr>
          <w:rFonts w:hint="eastAsia" w:ascii="仿宋_GB2312" w:eastAsia="仿宋_GB2312"/>
          <w:sz w:val="32"/>
          <w:szCs w:val="32"/>
        </w:rPr>
        <w:t>2.超前谋划研究，当好参谋和助手。一是科学制定年度计划。做到计划目标积极主动又切实可行，并与“十三五”规划相衔接。二是强化经济运行监控。加强工作调研，立足经济发展新常态，认真分析研究宏观政策，增强对宏观发展环境的研判，及时发现苗头性、倾向性问题，提出保持经济平稳较快增长的对策建议。</w:t>
      </w:r>
    </w:p>
    <w:p>
      <w:pPr>
        <w:ind w:firstLine="640" w:firstLineChars="200"/>
        <w:rPr>
          <w:rFonts w:ascii="仿宋_GB2312" w:eastAsia="仿宋_GB2312"/>
          <w:sz w:val="32"/>
          <w:szCs w:val="32"/>
        </w:rPr>
      </w:pPr>
      <w:r>
        <w:rPr>
          <w:rFonts w:hint="eastAsia" w:ascii="仿宋_GB2312" w:eastAsia="仿宋_GB2312"/>
          <w:sz w:val="32"/>
          <w:szCs w:val="32"/>
        </w:rPr>
        <w:t>3.攻坚克难，强力推进项目建设。牢固树立“抓项目就是抓发展、抓项目就是抓转型升级”的理念，继续把项目工作作为重中之重来抓。做好协调和督导工作，加强重点建设协调管理，完成市下达的计划目标。</w:t>
      </w:r>
    </w:p>
    <w:p>
      <w:pPr>
        <w:ind w:firstLine="640" w:firstLineChars="200"/>
        <w:rPr>
          <w:rFonts w:ascii="仿宋_GB2312" w:eastAsia="仿宋_GB2312"/>
          <w:sz w:val="32"/>
          <w:szCs w:val="32"/>
        </w:rPr>
      </w:pPr>
      <w:r>
        <w:rPr>
          <w:rFonts w:hint="eastAsia" w:ascii="仿宋_GB2312" w:eastAsia="仿宋_GB2312"/>
          <w:sz w:val="32"/>
          <w:szCs w:val="32"/>
        </w:rPr>
        <w:t>4、节能降耗工作。强化节能监察，加强大气污染综合治理，完成市下达的节能降耗任务目标。</w:t>
      </w:r>
    </w:p>
    <w:p>
      <w:pPr>
        <w:ind w:firstLine="640" w:firstLineChars="200"/>
        <w:rPr>
          <w:rFonts w:ascii="仿宋_GB2312" w:eastAsia="仿宋_GB2312"/>
          <w:sz w:val="32"/>
          <w:szCs w:val="32"/>
        </w:rPr>
      </w:pPr>
      <w:r>
        <w:rPr>
          <w:rFonts w:hint="eastAsia" w:ascii="仿宋_GB2312" w:eastAsia="仿宋_GB2312"/>
          <w:sz w:val="32"/>
          <w:szCs w:val="32"/>
        </w:rPr>
        <w:t>5、服务业工作。加强服务业工作管理，加快服务业重点项目建设，大力发展生产性服务业、生活性服务业及新兴服务业，提高第三产业比重，完成市下达的任务目标。</w:t>
      </w:r>
    </w:p>
    <w:p>
      <w:pPr>
        <w:ind w:firstLine="640" w:firstLineChars="200"/>
        <w:rPr>
          <w:rFonts w:ascii="仿宋_GB2312" w:eastAsia="仿宋_GB2312"/>
          <w:sz w:val="32"/>
          <w:szCs w:val="32"/>
        </w:rPr>
      </w:pPr>
      <w:r>
        <w:rPr>
          <w:rFonts w:hint="eastAsia" w:ascii="仿宋_GB2312" w:eastAsia="仿宋_GB2312"/>
          <w:sz w:val="32"/>
          <w:szCs w:val="32"/>
        </w:rPr>
        <w:t>6、价格工作。贯彻执行国家的价格方针、政策和法规；监督有关部门实施国家和省、市制定的商品价格和收费标准及价格改革方案。对实行由县定价（含市委托代管）的工农业产品价格、房地产价格和收费标准实施直接管理；对放开商品的价格，通过监审、提价申报、规定限价和差率控制等措施进行间接管理；通过组织行业议价，制止抬价抢购和拒收压价，应限制市场调节的盲目性。研究重要商品（含由市场调节的关系国计民生比较重要的商品）价格管理体制和宏观调控机制；监测市场物价动态，分析市场物价趋势，适时提出对市场物价进行调控的意见和建议。建立价格监测体系，对市场物价进行监测、预测和预警，向县委、县政府反馈市场物价方面的重要情况，为领导决策提供依据。</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ind w:firstLine="280" w:firstLineChars="100"/>
              <w:rPr>
                <w:rFonts w:ascii="宋体" w:hAnsi="宋体" w:cs="宋体"/>
                <w:kern w:val="0"/>
                <w:sz w:val="28"/>
                <w:szCs w:val="28"/>
              </w:rPr>
            </w:pPr>
            <w:r>
              <w:rPr>
                <w:rFonts w:hint="eastAsia" w:ascii="仿宋_GB2312" w:eastAsia="仿宋_GB2312" w:cs="ArialUnicodeMS" w:hAnsiTheme="minorHAnsi"/>
                <w:kern w:val="0"/>
                <w:sz w:val="28"/>
                <w:szCs w:val="28"/>
              </w:rPr>
              <w:t>无极县发展和改革局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spacing w:after="0" w:line="560" w:lineRule="exact"/>
        <w:rPr>
          <w:rFonts w:ascii="仿宋_GB2312" w:eastAsia="仿宋_GB2312" w:cs="ArialUnicodeMS" w:hAnsiTheme="minorHAnsi"/>
          <w:kern w:val="0"/>
          <w:sz w:val="32"/>
          <w:szCs w:val="32"/>
        </w:rPr>
      </w:pPr>
    </w:p>
    <w:p>
      <w:pPr>
        <w:widowControl/>
        <w:spacing w:line="560" w:lineRule="exact"/>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4"/>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Cs w:val="21"/>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Cs w:val="21"/>
              </w:rPr>
            </w:pPr>
            <w:r>
              <w:rPr>
                <w:rFonts w:hint="eastAsia" w:ascii="宋体" w:hAnsi="宋体" w:cs="宋体"/>
                <w:color w:val="000000"/>
                <w:kern w:val="0"/>
                <w:szCs w:val="21"/>
              </w:rPr>
              <w:t>部门：无极县发展和改革局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585.82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433.21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70.23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585.82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523.54</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35.56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97.84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621.38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621.38</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00" w:type="dxa"/>
        <w:jc w:val="center"/>
        <w:tblLayout w:type="fixed"/>
        <w:tblCellMar>
          <w:top w:w="0" w:type="dxa"/>
          <w:left w:w="0" w:type="dxa"/>
          <w:bottom w:w="0" w:type="dxa"/>
          <w:right w:w="0" w:type="dxa"/>
        </w:tblCellMar>
      </w:tblPr>
      <w:tblGrid>
        <w:gridCol w:w="335"/>
        <w:gridCol w:w="520"/>
        <w:gridCol w:w="179"/>
        <w:gridCol w:w="1851"/>
        <w:gridCol w:w="260"/>
        <w:gridCol w:w="471"/>
        <w:gridCol w:w="50"/>
        <w:gridCol w:w="129"/>
        <w:gridCol w:w="131"/>
        <w:gridCol w:w="34"/>
        <w:gridCol w:w="686"/>
        <w:gridCol w:w="96"/>
        <w:gridCol w:w="34"/>
        <w:gridCol w:w="720"/>
        <w:gridCol w:w="61"/>
        <w:gridCol w:w="34"/>
        <w:gridCol w:w="756"/>
        <w:gridCol w:w="25"/>
        <w:gridCol w:w="34"/>
        <w:gridCol w:w="508"/>
        <w:gridCol w:w="577"/>
        <w:gridCol w:w="709"/>
        <w:gridCol w:w="566"/>
        <w:gridCol w:w="34"/>
      </w:tblGrid>
      <w:tr>
        <w:tblPrEx>
          <w:tblCellMar>
            <w:top w:w="0" w:type="dxa"/>
            <w:left w:w="0" w:type="dxa"/>
            <w:bottom w:w="0" w:type="dxa"/>
            <w:right w:w="0" w:type="dxa"/>
          </w:tblCellMar>
        </w:tblPrEx>
        <w:trPr>
          <w:trHeight w:val="679" w:hRule="atLeast"/>
          <w:jc w:val="center"/>
        </w:trPr>
        <w:tc>
          <w:tcPr>
            <w:tcW w:w="8800" w:type="dxa"/>
            <w:gridSpan w:val="24"/>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gridAfter w:val="1"/>
          <w:wAfter w:w="34" w:type="dxa"/>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761"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部门：无极县发展和改革局</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3795" w:type="dxa"/>
            <w:gridSpan w:val="8"/>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51"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50"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851"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567"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7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709"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600" w:type="dxa"/>
            <w:gridSpan w:val="2"/>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761" w:type="dxa"/>
            <w:gridSpan w:val="5"/>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51"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50"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51"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7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09"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00" w:type="dxa"/>
            <w:gridSpan w:val="2"/>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3795" w:type="dxa"/>
            <w:gridSpan w:val="8"/>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5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3795" w:type="dxa"/>
            <w:gridSpan w:val="8"/>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5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w:t>
            </w:r>
            <w:r>
              <w:rPr>
                <w:rFonts w:ascii="宋体" w:hAnsi="宋体" w:cs="宋体"/>
                <w:b/>
                <w:color w:val="000000"/>
                <w:sz w:val="18"/>
                <w:szCs w:val="18"/>
              </w:rPr>
              <w:t>85.82</w:t>
            </w:r>
          </w:p>
        </w:tc>
        <w:tc>
          <w:tcPr>
            <w:tcW w:w="8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w:t>
            </w:r>
            <w:r>
              <w:rPr>
                <w:rFonts w:ascii="宋体" w:hAnsi="宋体" w:cs="宋体"/>
                <w:b/>
                <w:color w:val="000000"/>
                <w:sz w:val="18"/>
                <w:szCs w:val="18"/>
              </w:rPr>
              <w:t>85.82</w:t>
            </w:r>
          </w:p>
        </w:tc>
        <w:tc>
          <w:tcPr>
            <w:tcW w:w="85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7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60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08.49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08.49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发展与改革事务</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08.49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08.49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2010401</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19.4</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19.4</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2010403</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2010404</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战略规划与实施</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5.97</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5.97</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2010408</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物价管理</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8.41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8.41</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2010409</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应对气候变化管理事务</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.51</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2010450</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.4</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.4</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2010499</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其他发展与改革事务支出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5.81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5.81</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0.23</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0.23</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21"/>
              </w:rPr>
              <w:t>机关事业单位基本养老保险缴费支出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21"/>
              </w:rPr>
              <w:t>支付破产或改制企业职工安置费</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资源勘探信息等支出</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21505</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工业和信息产业监管</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2150501</w:t>
            </w:r>
          </w:p>
        </w:tc>
        <w:tc>
          <w:tcPr>
            <w:tcW w:w="276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97" w:hRule="exact"/>
          <w:jc w:val="center"/>
        </w:trPr>
        <w:tc>
          <w:tcPr>
            <w:tcW w:w="8800" w:type="dxa"/>
            <w:gridSpan w:val="2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9048" w:type="dxa"/>
        <w:tblInd w:w="0" w:type="dxa"/>
        <w:tblLayout w:type="fixed"/>
        <w:tblCellMar>
          <w:top w:w="0" w:type="dxa"/>
          <w:left w:w="0" w:type="dxa"/>
          <w:bottom w:w="0" w:type="dxa"/>
          <w:right w:w="0" w:type="dxa"/>
        </w:tblCellMar>
      </w:tblPr>
      <w:tblGrid>
        <w:gridCol w:w="289"/>
        <w:gridCol w:w="569"/>
        <w:gridCol w:w="289"/>
        <w:gridCol w:w="1997"/>
        <w:gridCol w:w="1118"/>
        <w:gridCol w:w="50"/>
        <w:gridCol w:w="237"/>
        <w:gridCol w:w="833"/>
        <w:gridCol w:w="18"/>
        <w:gridCol w:w="30"/>
        <w:gridCol w:w="820"/>
        <w:gridCol w:w="250"/>
        <w:gridCol w:w="50"/>
        <w:gridCol w:w="267"/>
        <w:gridCol w:w="853"/>
        <w:gridCol w:w="567"/>
        <w:gridCol w:w="763"/>
        <w:gridCol w:w="48"/>
      </w:tblGrid>
      <w:tr>
        <w:tblPrEx>
          <w:tblCellMar>
            <w:top w:w="0" w:type="dxa"/>
            <w:left w:w="0" w:type="dxa"/>
            <w:bottom w:w="0" w:type="dxa"/>
            <w:right w:w="0" w:type="dxa"/>
          </w:tblCellMar>
        </w:tblPrEx>
        <w:trPr>
          <w:gridAfter w:val="1"/>
          <w:wAfter w:w="48" w:type="dxa"/>
          <w:trHeight w:val="663" w:hRule="atLeast"/>
        </w:trPr>
        <w:tc>
          <w:tcPr>
            <w:tcW w:w="90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6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40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48" w:type="dxa"/>
          <w:trHeight w:val="380" w:hRule="atLeast"/>
        </w:trPr>
        <w:tc>
          <w:tcPr>
            <w:tcW w:w="3144"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部门：无极县发展和改革局</w:t>
            </w:r>
          </w:p>
        </w:tc>
        <w:tc>
          <w:tcPr>
            <w:tcW w:w="11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500"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48" w:type="dxa"/>
          <w:trHeight w:val="335" w:hRule="atLeast"/>
        </w:trPr>
        <w:tc>
          <w:tcPr>
            <w:tcW w:w="454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5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85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567"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53"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567"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763"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gridAfter w:val="1"/>
          <w:wAfter w:w="48" w:type="dxa"/>
          <w:trHeight w:val="40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5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53"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63"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4549"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48" w:type="dxa"/>
          <w:trHeight w:val="340" w:hRule="exact"/>
        </w:trPr>
        <w:tc>
          <w:tcPr>
            <w:tcW w:w="4549"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w:t>
            </w:r>
            <w:r>
              <w:rPr>
                <w:rFonts w:ascii="宋体" w:hAnsi="宋体" w:cs="宋体"/>
                <w:b/>
                <w:color w:val="000000"/>
                <w:szCs w:val="21"/>
              </w:rPr>
              <w:t>23.54</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w:t>
            </w:r>
            <w:r>
              <w:rPr>
                <w:rFonts w:ascii="宋体" w:hAnsi="宋体" w:cs="宋体"/>
                <w:b/>
                <w:color w:val="000000"/>
                <w:szCs w:val="21"/>
              </w:rPr>
              <w:t>10.54</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w:t>
            </w:r>
            <w:r>
              <w:rPr>
                <w:rFonts w:ascii="宋体" w:hAnsi="宋体" w:cs="宋体"/>
                <w:b/>
                <w:color w:val="000000"/>
                <w:szCs w:val="21"/>
              </w:rPr>
              <w:t>3</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发展与改革事务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2010401</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84.11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84.11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2010403</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2010404</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战略规划与实施</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5.97</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5.97</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2010408</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物价管理</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8.41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8.41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2010409</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应对气候变化管理事务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2010450</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.4</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.4</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2010499</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其他发展与改革事务支出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5.81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5.81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0604</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技术研究与开发</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060402</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应用技术研究与开发</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0.23</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0.23</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21"/>
              </w:rPr>
              <w:t>机关事业单位基本养老保险缴费支出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21"/>
              </w:rPr>
              <w:t>支付破产或改制企业职工安置费</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资源勘探信息等支出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21505</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工业和信息产业监管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2150501</w:t>
            </w:r>
          </w:p>
        </w:tc>
        <w:tc>
          <w:tcPr>
            <w:tcW w:w="340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8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48" w:type="dxa"/>
          <w:trHeight w:val="340" w:hRule="exact"/>
        </w:trPr>
        <w:tc>
          <w:tcPr>
            <w:tcW w:w="90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Cs w:val="21"/>
              </w:rPr>
              <w:t>部门：无极县发展和改革局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w:t>
            </w:r>
            <w:r>
              <w:rPr>
                <w:rFonts w:ascii="宋体" w:hAnsi="宋体" w:cs="宋体"/>
                <w:color w:val="000000"/>
                <w:sz w:val="18"/>
                <w:szCs w:val="18"/>
              </w:rPr>
              <w:t>83.72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w:t>
            </w:r>
            <w:r>
              <w:rPr>
                <w:rFonts w:ascii="宋体" w:hAnsi="宋体" w:cs="宋体"/>
                <w:color w:val="000000"/>
                <w:sz w:val="18"/>
                <w:szCs w:val="18"/>
              </w:rPr>
              <w:t>33.21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w:t>
            </w:r>
            <w:r>
              <w:rPr>
                <w:rFonts w:ascii="宋体" w:hAnsi="宋体" w:cs="宋体"/>
                <w:color w:val="000000"/>
                <w:sz w:val="18"/>
                <w:szCs w:val="18"/>
              </w:rPr>
              <w:t>33.21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w:t>
            </w:r>
            <w:r>
              <w:rPr>
                <w:rFonts w:ascii="宋体" w:hAnsi="宋体" w:cs="宋体"/>
                <w:color w:val="00000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70.23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w:t>
            </w:r>
            <w:r>
              <w:rPr>
                <w:rFonts w:ascii="宋体" w:hAnsi="宋体" w:cs="宋体"/>
                <w:color w:val="000000"/>
                <w:sz w:val="18"/>
                <w:szCs w:val="18"/>
              </w:rPr>
              <w:t>0.23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w:t>
            </w:r>
            <w:r>
              <w:rPr>
                <w:rFonts w:ascii="宋体" w:hAnsi="宋体" w:cs="宋体"/>
                <w:color w:val="000000"/>
                <w:sz w:val="18"/>
                <w:szCs w:val="18"/>
              </w:rPr>
              <w:t>.1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w:t>
            </w:r>
            <w:r>
              <w:rPr>
                <w:rFonts w:ascii="宋体" w:hAnsi="宋体" w:cs="宋体"/>
                <w:color w:val="000000"/>
                <w:sz w:val="18"/>
                <w:szCs w:val="18"/>
              </w:rPr>
              <w:t>.1</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w:t>
            </w:r>
            <w:r>
              <w:rPr>
                <w:rFonts w:ascii="宋体" w:hAnsi="宋体" w:cs="宋体"/>
                <w:color w:val="000000"/>
                <w:sz w:val="18"/>
                <w:szCs w:val="18"/>
              </w:rPr>
              <w:t>85.82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w:t>
            </w:r>
            <w:r>
              <w:rPr>
                <w:rFonts w:ascii="宋体" w:hAnsi="宋体" w:cs="宋体"/>
                <w:color w:val="000000"/>
                <w:sz w:val="18"/>
                <w:szCs w:val="18"/>
              </w:rPr>
              <w:t>23</w:t>
            </w:r>
            <w:r>
              <w:rPr>
                <w:rFonts w:hint="eastAsia" w:ascii="宋体" w:hAnsi="宋体" w:cs="宋体"/>
                <w:color w:val="000000"/>
                <w:sz w:val="18"/>
                <w:szCs w:val="18"/>
              </w:rPr>
              <w:t>.</w:t>
            </w:r>
            <w:r>
              <w:rPr>
                <w:rFonts w:ascii="宋体" w:hAnsi="宋体" w:cs="宋体"/>
                <w:color w:val="00000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521.44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w:t>
            </w:r>
            <w:r>
              <w:rPr>
                <w:rFonts w:ascii="宋体" w:hAnsi="宋体" w:cs="宋体"/>
                <w:color w:val="000000"/>
                <w:sz w:val="18"/>
                <w:szCs w:val="18"/>
              </w:rPr>
              <w:t>.1</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5.56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w:t>
            </w:r>
            <w:r>
              <w:rPr>
                <w:rFonts w:ascii="宋体" w:hAnsi="宋体" w:cs="宋体"/>
                <w:color w:val="000000"/>
                <w:sz w:val="18"/>
                <w:szCs w:val="18"/>
              </w:rPr>
              <w:t>7.84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ascii="宋体" w:hAnsi="宋体" w:cs="宋体"/>
                <w:color w:val="000000"/>
                <w:sz w:val="18"/>
                <w:szCs w:val="18"/>
              </w:rPr>
              <w:t>97.84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5.56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w:t>
            </w:r>
            <w:r>
              <w:rPr>
                <w:rFonts w:ascii="宋体" w:hAnsi="宋体" w:cs="宋体"/>
                <w:color w:val="000000"/>
                <w:sz w:val="18"/>
                <w:szCs w:val="18"/>
              </w:rPr>
              <w:t>21.38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w:t>
            </w:r>
            <w:r>
              <w:rPr>
                <w:rFonts w:ascii="宋体" w:hAnsi="宋体" w:cs="宋体"/>
                <w:color w:val="000000"/>
                <w:sz w:val="18"/>
                <w:szCs w:val="18"/>
              </w:rPr>
              <w:t>21.38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w:t>
            </w:r>
            <w:r>
              <w:rPr>
                <w:rFonts w:ascii="宋体" w:hAnsi="宋体" w:cs="宋体"/>
                <w:color w:val="000000"/>
                <w:sz w:val="18"/>
                <w:szCs w:val="18"/>
              </w:rPr>
              <w:t>19.28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w:t>
            </w:r>
            <w:r>
              <w:rPr>
                <w:rFonts w:ascii="宋体" w:hAnsi="宋体" w:cs="宋体"/>
                <w:color w:val="000000"/>
                <w:sz w:val="18"/>
                <w:szCs w:val="18"/>
              </w:rPr>
              <w:t>.1</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905" w:type="dxa"/>
        <w:tblInd w:w="0" w:type="dxa"/>
        <w:tblLayout w:type="fixed"/>
        <w:tblCellMar>
          <w:top w:w="0" w:type="dxa"/>
          <w:left w:w="0" w:type="dxa"/>
          <w:bottom w:w="0" w:type="dxa"/>
          <w:right w:w="0" w:type="dxa"/>
        </w:tblCellMar>
      </w:tblPr>
      <w:tblGrid>
        <w:gridCol w:w="993"/>
        <w:gridCol w:w="2853"/>
        <w:gridCol w:w="50"/>
        <w:gridCol w:w="937"/>
        <w:gridCol w:w="903"/>
        <w:gridCol w:w="50"/>
        <w:gridCol w:w="180"/>
        <w:gridCol w:w="1416"/>
        <w:gridCol w:w="1473"/>
        <w:gridCol w:w="50"/>
      </w:tblGrid>
      <w:tr>
        <w:tblPrEx>
          <w:tblCellMar>
            <w:top w:w="0" w:type="dxa"/>
            <w:left w:w="0" w:type="dxa"/>
            <w:bottom w:w="0" w:type="dxa"/>
            <w:right w:w="0" w:type="dxa"/>
          </w:tblCellMar>
        </w:tblPrEx>
        <w:trPr>
          <w:gridAfter w:val="1"/>
          <w:wAfter w:w="50" w:type="dxa"/>
          <w:trHeight w:val="600" w:hRule="atLeast"/>
        </w:trPr>
        <w:tc>
          <w:tcPr>
            <w:tcW w:w="8855"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84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19"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gridAfter w:val="1"/>
          <w:wAfter w:w="50" w:type="dxa"/>
          <w:trHeight w:val="334" w:hRule="atLeast"/>
        </w:trPr>
        <w:tc>
          <w:tcPr>
            <w:tcW w:w="384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部门：无极县发展和改革局</w:t>
            </w:r>
          </w:p>
        </w:tc>
        <w:tc>
          <w:tcPr>
            <w:tcW w:w="189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19"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50" w:type="dxa"/>
          <w:trHeight w:val="351" w:hRule="atLeast"/>
        </w:trPr>
        <w:tc>
          <w:tcPr>
            <w:tcW w:w="483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4022"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gridAfter w:val="1"/>
          <w:wAfter w:w="50" w:type="dxa"/>
          <w:trHeight w:val="334" w:hRule="atLeast"/>
        </w:trPr>
        <w:tc>
          <w:tcPr>
            <w:tcW w:w="99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840"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33"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4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4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gridAfter w:val="1"/>
          <w:wAfter w:w="50" w:type="dxa"/>
          <w:trHeight w:val="334" w:hRule="atLeast"/>
        </w:trPr>
        <w:tc>
          <w:tcPr>
            <w:tcW w:w="99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84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3"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12" w:hRule="atLeast"/>
        </w:trPr>
        <w:tc>
          <w:tcPr>
            <w:tcW w:w="99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84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3"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48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gridAfter w:val="1"/>
          <w:wAfter w:w="50" w:type="dxa"/>
          <w:trHeight w:val="368" w:hRule="atLeast"/>
        </w:trPr>
        <w:tc>
          <w:tcPr>
            <w:tcW w:w="48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w:t>
            </w:r>
            <w:r>
              <w:rPr>
                <w:rFonts w:ascii="宋体" w:hAnsi="宋体" w:cs="宋体"/>
                <w:b/>
                <w:color w:val="000000"/>
                <w:szCs w:val="21"/>
              </w:rPr>
              <w:t>21.44</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w:t>
            </w:r>
            <w:r>
              <w:rPr>
                <w:rFonts w:ascii="宋体" w:hAnsi="宋体" w:cs="宋体"/>
                <w:b/>
                <w:color w:val="000000"/>
                <w:szCs w:val="21"/>
              </w:rPr>
              <w:t>08.44</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w:t>
            </w:r>
            <w:r>
              <w:rPr>
                <w:rFonts w:ascii="宋体" w:hAnsi="宋体" w:cs="宋体"/>
                <w:b/>
                <w:color w:val="000000"/>
                <w:szCs w:val="21"/>
              </w:rPr>
              <w:t>3</w:t>
            </w: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发展与改革事务</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33.21</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2010401</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84.11</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84.11</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2010403</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2010404</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战略规划与实施</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5.97</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5.97</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2010408</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物价管理</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8.41</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8.41</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2010409</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应对气候变化管理事务</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.51</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.51</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2010450</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.4</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.4</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2010499</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其他发展与改革事务支出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5.81</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5.81</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0604</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技术研究与开发</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060402</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应用技术研究与开发</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w:t>
            </w: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0.23</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0.23</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21"/>
              </w:rPr>
              <w:t>机关事业单位基本养老保险缴费支出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.75</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6.39</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r>
              <w:rPr>
                <w:rFonts w:ascii="宋体" w:hAnsi="宋体" w:cs="宋体"/>
                <w:color w:val="000000"/>
                <w:szCs w:val="21"/>
              </w:rPr>
              <w:t>7.09</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资源勘探信息等支出</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21505</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工业和信息产业监管</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r>
      <w:tr>
        <w:tblPrEx>
          <w:tblCellMar>
            <w:top w:w="0" w:type="dxa"/>
            <w:left w:w="0" w:type="dxa"/>
            <w:bottom w:w="0" w:type="dxa"/>
            <w:right w:w="0" w:type="dxa"/>
          </w:tblCellMar>
        </w:tblPrEx>
        <w:trPr>
          <w:gridAfter w:val="1"/>
          <w:wAfter w:w="50" w:type="dxa"/>
          <w:trHeight w:val="368" w:hRule="atLeast"/>
        </w:trPr>
        <w:tc>
          <w:tcPr>
            <w:tcW w:w="99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2150501</w:t>
            </w:r>
          </w:p>
        </w:tc>
        <w:tc>
          <w:tcPr>
            <w:tcW w:w="384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13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14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p>
        </w:tc>
      </w:tr>
      <w:tr>
        <w:tblPrEx>
          <w:tblCellMar>
            <w:top w:w="0" w:type="dxa"/>
            <w:left w:w="0" w:type="dxa"/>
            <w:bottom w:w="0" w:type="dxa"/>
            <w:right w:w="0" w:type="dxa"/>
          </w:tblCellMar>
        </w:tblPrEx>
        <w:trPr>
          <w:gridAfter w:val="1"/>
          <w:wAfter w:w="50" w:type="dxa"/>
          <w:trHeight w:val="368" w:hRule="atLeast"/>
        </w:trPr>
        <w:tc>
          <w:tcPr>
            <w:tcW w:w="8855"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Cs w:val="21"/>
              </w:rPr>
              <w:t>无极县发展和改革局</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96.65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57.6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w:t>
            </w:r>
            <w:r>
              <w:rPr>
                <w:rFonts w:ascii="宋体" w:hAnsi="宋体" w:cs="宋体"/>
                <w:color w:val="000000"/>
                <w:sz w:val="16"/>
                <w:szCs w:val="16"/>
              </w:rPr>
              <w:t>6.28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0.62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w:t>
            </w:r>
            <w:r>
              <w:rPr>
                <w:rFonts w:ascii="宋体" w:hAnsi="宋体" w:cs="宋体"/>
                <w:color w:val="000000"/>
                <w:sz w:val="16"/>
                <w:szCs w:val="16"/>
              </w:rPr>
              <w:t>2.11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2.28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5.48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w:t>
            </w:r>
            <w:r>
              <w:rPr>
                <w:rFonts w:ascii="宋体" w:hAnsi="宋体" w:cs="宋体"/>
                <w:color w:val="000000"/>
                <w:sz w:val="20"/>
                <w:szCs w:val="20"/>
              </w:rPr>
              <w:t>0.64</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0.84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w:t>
            </w:r>
            <w:r>
              <w:rPr>
                <w:rFonts w:ascii="宋体" w:hAnsi="宋体" w:cs="宋体"/>
                <w:color w:val="000000"/>
                <w:sz w:val="16"/>
                <w:szCs w:val="16"/>
              </w:rPr>
              <w:t>.49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w:t>
            </w:r>
            <w:r>
              <w:rPr>
                <w:rFonts w:ascii="宋体" w:hAnsi="宋体" w:cs="宋体"/>
                <w:color w:val="000000"/>
                <w:sz w:val="20"/>
                <w:szCs w:val="20"/>
              </w:rPr>
              <w:t>0.64</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w:t>
            </w:r>
            <w:r>
              <w:rPr>
                <w:rFonts w:ascii="宋体" w:hAnsi="宋体" w:cs="宋体"/>
                <w:color w:val="000000"/>
                <w:sz w:val="16"/>
                <w:szCs w:val="16"/>
              </w:rPr>
              <w:t>2.56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r>
              <w:rPr>
                <w:rFonts w:ascii="宋体" w:hAnsi="宋体" w:cs="宋体"/>
                <w:color w:val="000000"/>
                <w:sz w:val="16"/>
                <w:szCs w:val="16"/>
              </w:rPr>
              <w:t>.33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w:t>
            </w:r>
            <w:r>
              <w:rPr>
                <w:rFonts w:ascii="宋体" w:hAnsi="宋体" w:cs="宋体"/>
                <w:color w:val="000000"/>
                <w:sz w:val="16"/>
                <w:szCs w:val="16"/>
              </w:rPr>
              <w:t>.36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.55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.47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.47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r>
              <w:rPr>
                <w:rFonts w:ascii="宋体" w:hAnsi="宋体" w:cs="宋体"/>
                <w:color w:val="000000"/>
                <w:sz w:val="16"/>
                <w:szCs w:val="16"/>
              </w:rPr>
              <w:t>.37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1.09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8.17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w:t>
            </w:r>
            <w:r>
              <w:rPr>
                <w:rFonts w:ascii="宋体" w:hAnsi="宋体" w:cs="宋体"/>
                <w:color w:val="000000"/>
                <w:sz w:val="16"/>
                <w:szCs w:val="16"/>
              </w:rPr>
              <w:t>8.55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w:t>
            </w:r>
            <w:r>
              <w:rPr>
                <w:rFonts w:ascii="宋体" w:hAnsi="宋体" w:cs="宋体"/>
                <w:color w:val="000000"/>
                <w:sz w:val="16"/>
                <w:szCs w:val="16"/>
              </w:rPr>
              <w:t>.05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2.82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.26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6.39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r>
              <w:rPr>
                <w:rFonts w:ascii="宋体" w:hAnsi="宋体" w:cs="宋体"/>
                <w:color w:val="000000"/>
                <w:sz w:val="16"/>
                <w:szCs w:val="16"/>
              </w:rPr>
              <w:t>7.09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w:t>
            </w:r>
            <w:r>
              <w:rPr>
                <w:rFonts w:ascii="宋体" w:hAnsi="宋体" w:cs="宋体"/>
                <w:color w:val="000000"/>
                <w:sz w:val="16"/>
                <w:szCs w:val="16"/>
              </w:rPr>
              <w:t>8.27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.53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.35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w:t>
            </w:r>
            <w:r>
              <w:rPr>
                <w:rFonts w:ascii="宋体" w:hAnsi="宋体" w:cs="宋体"/>
                <w:color w:val="000000"/>
                <w:sz w:val="16"/>
                <w:szCs w:val="16"/>
              </w:rPr>
              <w:t>.85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75.21</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98.23</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Cs w:val="21"/>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Cs w:val="21"/>
              </w:rPr>
              <w:t>部门：无极县发展和改革局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60" w:type="dxa"/>
        <w:tblInd w:w="0" w:type="dxa"/>
        <w:tblLayout w:type="fixed"/>
        <w:tblCellMar>
          <w:top w:w="0" w:type="dxa"/>
          <w:left w:w="0" w:type="dxa"/>
          <w:bottom w:w="0" w:type="dxa"/>
          <w:right w:w="0" w:type="dxa"/>
        </w:tblCellMar>
      </w:tblPr>
      <w:tblGrid>
        <w:gridCol w:w="295"/>
        <w:gridCol w:w="670"/>
        <w:gridCol w:w="2530"/>
        <w:gridCol w:w="63"/>
        <w:gridCol w:w="787"/>
        <w:gridCol w:w="489"/>
        <w:gridCol w:w="220"/>
        <w:gridCol w:w="630"/>
        <w:gridCol w:w="362"/>
        <w:gridCol w:w="347"/>
        <w:gridCol w:w="220"/>
        <w:gridCol w:w="772"/>
        <w:gridCol w:w="135"/>
        <w:gridCol w:w="432"/>
        <w:gridCol w:w="836"/>
        <w:gridCol w:w="72"/>
      </w:tblGrid>
      <w:tr>
        <w:tblPrEx>
          <w:tblCellMar>
            <w:top w:w="0" w:type="dxa"/>
            <w:left w:w="0" w:type="dxa"/>
            <w:bottom w:w="0" w:type="dxa"/>
            <w:right w:w="0" w:type="dxa"/>
          </w:tblCellMar>
        </w:tblPrEx>
        <w:trPr>
          <w:trHeight w:val="707" w:hRule="atLeast"/>
        </w:trPr>
        <w:tc>
          <w:tcPr>
            <w:tcW w:w="8860" w:type="dxa"/>
            <w:gridSpan w:val="1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gridAfter w:val="1"/>
          <w:wAfter w:w="72" w:type="dxa"/>
          <w:trHeight w:val="315" w:hRule="atLeast"/>
        </w:trPr>
        <w:tc>
          <w:tcPr>
            <w:tcW w:w="295"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320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5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09"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9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67"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07"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gridSpan w:val="2"/>
            <w:tcBorders>
              <w:top w:val="nil"/>
              <w:left w:val="nil"/>
              <w:bottom w:val="nil"/>
              <w:right w:val="nil"/>
            </w:tcBorders>
            <w:shd w:val="clear" w:color="auto" w:fill="auto"/>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4834"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部门：无极县发展和改革局</w:t>
            </w:r>
          </w:p>
        </w:tc>
        <w:tc>
          <w:tcPr>
            <w:tcW w:w="85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09"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9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475" w:type="dxa"/>
            <w:gridSpan w:val="4"/>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355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276"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5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2268"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908"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5"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59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27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99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56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908"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5"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5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7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08"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5"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5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7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6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08"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355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9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355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w:t>
            </w:r>
            <w:r>
              <w:rPr>
                <w:rFonts w:ascii="宋体" w:hAnsi="宋体" w:cs="宋体"/>
                <w:b/>
                <w:color w:val="000000"/>
                <w:szCs w:val="21"/>
              </w:rPr>
              <w:t>.1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w:t>
            </w:r>
            <w:r>
              <w:rPr>
                <w:rFonts w:ascii="宋体" w:hAnsi="宋体" w:cs="宋体"/>
                <w:b/>
                <w:color w:val="00000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w:t>
            </w:r>
            <w:r>
              <w:rPr>
                <w:rFonts w:ascii="宋体" w:hAnsi="宋体" w:cs="宋体"/>
                <w:b/>
                <w:color w:val="000000"/>
                <w:szCs w:val="21"/>
              </w:rPr>
              <w:t>.1</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9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5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2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5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2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25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21"/>
              </w:rPr>
              <w:t>支付破产或改制企业职工安置费</w:t>
            </w:r>
          </w:p>
        </w:tc>
        <w:tc>
          <w:tcPr>
            <w:tcW w:w="12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Cs w:val="21"/>
              </w:rPr>
              <w:t>无极县发展和改革局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本部门本年度无相关支出情况，按要求空表列示</w:t>
            </w:r>
            <w:r>
              <w:rPr>
                <w:rFonts w:hint="eastAsia" w:ascii="宋体" w:hAnsi="宋体" w:cs="宋体"/>
                <w:color w:val="000000"/>
                <w:kern w:val="0"/>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编制单位：无极县发展和改革局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注：本表反映部门本年度纳入部门预算范围的政府采购预算及支出情况。本部门本年度无相关支出情况，按要求空表列示。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-1328420</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仿宋_GB2312" w:eastAsia="仿宋_GB2312" w:cs="仿宋_GB2312"/>
          <w:sz w:val="32"/>
          <w:szCs w:val="32"/>
        </w:rPr>
        <w:t>本部门2018年度收支总计（含结转和结余）621.38万元。与2017年度决算相比，收支各增加306.93万元，增长97.6%，主要原因是与物价所合并收支增加。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ascii="仿宋_GB2312" w:eastAsia="仿宋_GB2312" w:cs="DengXian-Regular"/>
          <w:sz w:val="32"/>
          <w:szCs w:val="32"/>
        </w:rPr>
        <w:t>585.82</w:t>
      </w:r>
      <w:r>
        <w:rPr>
          <w:rFonts w:hint="eastAsia" w:ascii="仿宋_GB2312" w:eastAsia="仿宋_GB2312" w:cs="DengXian-Regular"/>
          <w:sz w:val="32"/>
          <w:szCs w:val="32"/>
        </w:rPr>
        <w:t>万元，其中：财政拨款收入</w:t>
      </w:r>
      <w:r>
        <w:rPr>
          <w:rFonts w:ascii="仿宋_GB2312" w:eastAsia="仿宋_GB2312" w:cs="DengXian-Regular"/>
          <w:sz w:val="32"/>
          <w:szCs w:val="32"/>
        </w:rPr>
        <w:t>585.82</w:t>
      </w:r>
      <w:r>
        <w:rPr>
          <w:rFonts w:hint="eastAsia" w:ascii="仿宋_GB2312" w:eastAsia="仿宋_GB2312" w:cs="DengXian-Regular"/>
          <w:sz w:val="32"/>
          <w:szCs w:val="32"/>
        </w:rPr>
        <w:t>万元，占100%；事业收入0万元，占0%；经营收入0万元，占0%；其他收入0万元，占0%。如图所示：</w:t>
      </w:r>
    </w:p>
    <w:p>
      <w:pPr>
        <w:pStyle w:val="3"/>
        <w:spacing w:before="0" w:after="0" w:line="240" w:lineRule="auto"/>
        <w:ind w:firstLine="643" w:firstLineChars="200"/>
        <w:rPr>
          <w:rFonts w:ascii="黑体" w:eastAsia="黑体"/>
        </w:rPr>
      </w:pPr>
      <w:r>
        <w:drawing>
          <wp:inline distT="0" distB="0" distL="0" distR="0">
            <wp:extent cx="4391025" cy="2552700"/>
            <wp:effectExtent l="57150" t="0" r="47625" b="11430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本部门2018年度本年支出合计523.54万元，其中：基本支出510.54万元，占97.52%；项目支出13万元，占2.48%；经营支出0万元，占0%。如图所示：</w:t>
      </w:r>
    </w:p>
    <w:p>
      <w:pPr>
        <w:pStyle w:val="3"/>
        <w:spacing w:before="0" w:after="0" w:line="240" w:lineRule="auto"/>
        <w:rPr>
          <w:rFonts w:ascii="黑体" w:eastAsia="黑体"/>
        </w:rPr>
      </w:pPr>
      <w:r>
        <w:drawing>
          <wp:inline distT="0" distB="0" distL="0" distR="0">
            <wp:extent cx="4219575" cy="2514600"/>
            <wp:effectExtent l="57150" t="0" r="47625" b="7620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本部门2018年度财政拨款本年收入585.82万元,比2017年度增加275.6万元，增长88.9%，主要是和物价所合并收入增加；本年支出523.54万元，增加244.66万元，增长87.7%，主要是和物价所合并支出增加。</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其中：一般公共预算财政拨款本年收入583.72万元，比上年增加273.5万元；主要是和物价所合并收入增加；本年支出521.44万元，比上年增加242.56万元，增长87%，主要是和物价所合并支出增加。政府性基金预算财政拨款本年收入2.1万元，比上年增加2.1万元，增长100%，主要原因是破产企业退休职工独生子女奖；本年支出2.1万元，比上年增加2.1万元，增长100%，主要是破产企业退休职工独生子女奖。</w:t>
      </w: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0" distR="0">
            <wp:extent cx="4572000" cy="2981325"/>
            <wp:effectExtent l="57150" t="0" r="57150" b="10477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本部门2018年度财政拨款本年收入585.82万元，完成年初预算的193.8%,比年初预算增加283.51万元，决算数大于预算数主要原因是</w:t>
      </w:r>
      <w:bookmarkStart w:id="0" w:name="_Hlk19090339"/>
      <w:r>
        <w:rPr>
          <w:rFonts w:hint="eastAsia" w:ascii="仿宋_GB2312" w:hAnsi="仿宋_GB2312" w:eastAsia="仿宋_GB2312" w:cs="仿宋_GB2312"/>
          <w:sz w:val="32"/>
          <w:szCs w:val="32"/>
        </w:rPr>
        <w:t>和物价所合并收出增加</w:t>
      </w:r>
      <w:bookmarkEnd w:id="0"/>
      <w:r>
        <w:rPr>
          <w:rFonts w:hint="eastAsia" w:ascii="仿宋_GB2312" w:hAnsi="仿宋_GB2312" w:eastAsia="仿宋_GB2312" w:cs="仿宋_GB2312"/>
          <w:sz w:val="32"/>
          <w:szCs w:val="32"/>
        </w:rPr>
        <w:t>；本年支出523.54万元，完成年初预算的173.2%,比年初预算增加221.23万元，决算数大于预算数主要原因是主要是和物价所合并支出增加。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仿宋_GB2312" w:eastAsia="仿宋_GB2312" w:cs="仿宋_GB2312"/>
          <w:sz w:val="32"/>
          <w:szCs w:val="32"/>
        </w:rPr>
        <w:t>其中，一般公共预算财政拨款本年收入583.72万元，完成年初预算193.1%，比年初预算增加281.41万元，主要是和物价所合并收出增加；支出521.44万元，完成年初预算172.5%，比年初预算增加219.13万元，主要是和物价所合并支出增加。政府性基金预算财政拨款本年收入2.1万元，完成年初预算100%，比年初预算增加2.1万元，主要是破产企业退休职工独生子女奖；支出2.1万元，完成年初预算100%，比年初预算增加2.1</w:t>
      </w:r>
      <w:r>
        <w:rPr>
          <w:rFonts w:hint="eastAsia" w:ascii="仿宋_GB2312" w:eastAsia="仿宋_GB2312" w:cs="DengXian-Regular"/>
          <w:sz w:val="32"/>
          <w:szCs w:val="32"/>
        </w:rPr>
        <w:t>万元，主要是</w:t>
      </w:r>
      <w:r>
        <w:rPr>
          <w:rFonts w:hint="eastAsia" w:ascii="微软雅黑" w:hAnsi="微软雅黑" w:eastAsia="微软雅黑" w:cs="微软雅黑"/>
          <w:sz w:val="32"/>
          <w:szCs w:val="32"/>
        </w:rPr>
        <w:t>破产企业</w:t>
      </w:r>
      <w:r>
        <w:rPr>
          <w:rFonts w:hint="eastAsia" w:ascii="仿宋_GB2312" w:eastAsia="仿宋_GB2312" w:cs="DengXian-Regular"/>
          <w:sz w:val="32"/>
          <w:szCs w:val="32"/>
        </w:rPr>
        <w:t>退休职工独生子女奖。</w:t>
      </w:r>
    </w:p>
    <w:p>
      <w:pPr>
        <w:adjustRightInd w:val="0"/>
        <w:snapToGrid w:val="0"/>
        <w:spacing w:after="0" w:line="240" w:lineRule="auto"/>
        <w:ind w:firstLine="420" w:firstLineChars="200"/>
        <w:rPr>
          <w:rFonts w:ascii="仿宋_GB2312" w:eastAsia="仿宋_GB2312" w:cs="DengXian-Regular"/>
          <w:sz w:val="32"/>
          <w:szCs w:val="32"/>
          <w:highlight w:val="yellow"/>
        </w:rPr>
      </w:pPr>
      <w:r>
        <w:drawing>
          <wp:inline distT="0" distB="0" distL="0" distR="0">
            <wp:extent cx="4572000" cy="3486150"/>
            <wp:effectExtent l="57150" t="0" r="57150" b="11430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2018 年度财政拨款支出523.54万元，主要用于以下方面一般公共服务（类）支出433.21万元，占82.7%；科学技术（类）支出10万元，占 1.91%；社会保障和就业（类）支出 70.23万元，占13.41%；城乡社区（类）支出2.1万元，占 0.4%;资源勘探信息（类）支出8万元，占1.53%。</w:t>
      </w:r>
    </w:p>
    <w:p>
      <w:pPr>
        <w:adjustRightInd w:val="0"/>
        <w:snapToGrid w:val="0"/>
        <w:spacing w:after="0" w:line="240" w:lineRule="auto"/>
        <w:jc w:val="center"/>
        <w:rPr>
          <w:rFonts w:ascii="楷体_GB2312" w:eastAsia="楷体_GB2312" w:cs="DengXian-Bold"/>
          <w:b/>
          <w:bCs/>
          <w:sz w:val="32"/>
          <w:szCs w:val="32"/>
        </w:rPr>
      </w:pPr>
      <w:r>
        <w:drawing>
          <wp:inline distT="0" distB="0" distL="0" distR="0">
            <wp:extent cx="4572000" cy="3228975"/>
            <wp:effectExtent l="57150" t="0" r="57150" b="66675"/>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ascii="仿宋_GB2312" w:eastAsia="仿宋_GB2312" w:cs="DengXian-Regular"/>
          <w:sz w:val="32"/>
          <w:szCs w:val="32"/>
        </w:rPr>
        <w:t>473.44</w:t>
      </w:r>
      <w:r>
        <w:rPr>
          <w:rFonts w:hint="eastAsia" w:ascii="仿宋_GB2312" w:eastAsia="仿宋_GB2312" w:cs="DengXian-Regular"/>
          <w:sz w:val="32"/>
          <w:szCs w:val="32"/>
        </w:rPr>
        <w:t xml:space="preserve">万元，其中：人员经费 </w:t>
      </w:r>
      <w:r>
        <w:rPr>
          <w:rFonts w:ascii="仿宋_GB2312" w:eastAsia="仿宋_GB2312" w:cs="DengXian-Regular"/>
          <w:sz w:val="32"/>
          <w:szCs w:val="32"/>
        </w:rPr>
        <w:t>275.21</w:t>
      </w:r>
      <w:r>
        <w:rPr>
          <w:rFonts w:hint="eastAsia" w:ascii="仿宋_GB2312" w:eastAsia="仿宋_GB2312" w:cs="DengXian-Regular"/>
          <w:sz w:val="32"/>
          <w:szCs w:val="32"/>
        </w:rPr>
        <w:t>万元，主要包括基本工资、津贴补贴、奖金、绩效工资、机关事业单位基本养老保险缴费、职业年金缴费、职工基本医疗保险缴费、住房公积金、离休费、退休费、抚恤金、生活补助；公用经费</w:t>
      </w:r>
      <w:r>
        <w:rPr>
          <w:rFonts w:hint="eastAsia" w:ascii="仿宋_GB2312" w:hAnsi="仿宋_GB2312" w:eastAsia="仿宋_GB2312" w:cs="仿宋_GB2312"/>
          <w:sz w:val="32"/>
          <w:szCs w:val="32"/>
        </w:rPr>
        <w:t>198.23万元，</w:t>
      </w:r>
      <w:r>
        <w:rPr>
          <w:rFonts w:hint="eastAsia" w:ascii="仿宋_GB2312" w:eastAsia="仿宋_GB2312" w:cs="DengXian-Regular"/>
          <w:sz w:val="32"/>
          <w:szCs w:val="32"/>
        </w:rPr>
        <w:t>主要包括办公费、印刷费、水费、电费、邮电费、差旅费、维修（护）费、会议费、劳务费、工会经费、公务用车运行维护费、其他交通费用、其他商品和服务支出、办公设备购置。</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ascii="仿宋_GB2312" w:eastAsia="仿宋_GB2312" w:cs="DengXian-Regular"/>
          <w:sz w:val="32"/>
          <w:szCs w:val="32"/>
        </w:rPr>
        <w:t>3</w:t>
      </w:r>
      <w:r>
        <w:rPr>
          <w:rFonts w:hint="eastAsia" w:ascii="仿宋_GB2312" w:eastAsia="仿宋_GB2312" w:cs="DengXian-Regular"/>
          <w:sz w:val="32"/>
          <w:szCs w:val="32"/>
        </w:rPr>
        <w:t>万元</w:t>
      </w:r>
      <w:bookmarkStart w:id="1" w:name="_Hlk27578812"/>
      <w:r>
        <w:rPr>
          <w:rFonts w:hint="eastAsia" w:ascii="仿宋_GB2312" w:eastAsia="仿宋_GB2312" w:cs="DengXian-Regular"/>
          <w:sz w:val="32"/>
          <w:szCs w:val="32"/>
        </w:rPr>
        <w:t>。</w:t>
      </w:r>
      <w:bookmarkEnd w:id="1"/>
      <w:r>
        <w:rPr>
          <w:rFonts w:hint="eastAsia" w:ascii="仿宋_GB2312" w:eastAsia="仿宋_GB2312" w:cs="DengXian-Regular"/>
          <w:sz w:val="32"/>
          <w:szCs w:val="32"/>
        </w:rPr>
        <w:t>较年初预算增加0万元，增长0%，主要是认真贯彻落实中央</w:t>
      </w:r>
      <w:bookmarkStart w:id="4" w:name="_GoBack"/>
      <w:bookmarkEnd w:id="4"/>
      <w:r>
        <w:rPr>
          <w:rFonts w:hint="eastAsia" w:ascii="仿宋_GB2312" w:eastAsia="仿宋_GB2312" w:cs="DengXian-Regular"/>
          <w:sz w:val="32"/>
          <w:szCs w:val="32"/>
        </w:rPr>
        <w:t>八项规定精神和厉行节约要求，从严控制“三公”经费开支，具体情况如下：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ascii="Calibri" w:hAnsi="Calibri" w:eastAsia="楷体_GB2312" w:cs="Calibri"/>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hint="eastAsia" w:ascii="Calibri" w:hAnsi="Calibri" w:eastAsia="仿宋_GB2312" w:cs="Calibri"/>
          <w:sz w:val="32"/>
          <w:szCs w:val="32"/>
        </w:rPr>
        <w:t>/</w:t>
      </w:r>
      <w:r>
        <w:rPr>
          <w:rFonts w:hint="eastAsia" w:ascii="仿宋_GB2312" w:eastAsia="仿宋_GB2312" w:cs="DengXian-Regular"/>
          <w:sz w:val="32"/>
          <w:szCs w:val="32"/>
        </w:rPr>
        <w:t>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hint="eastAsia" w:ascii="Calibri" w:hAnsi="Calibri" w:eastAsia="仿宋_GB2312" w:cs="Calibri"/>
          <w:sz w:val="32"/>
          <w:szCs w:val="32"/>
        </w:rPr>
        <w:t>/</w:t>
      </w:r>
      <w:r>
        <w:rPr>
          <w:rFonts w:hint="eastAsia" w:ascii="仿宋_GB2312" w:eastAsia="仿宋_GB2312" w:cs="DengXian-Regular"/>
          <w:sz w:val="32"/>
          <w:szCs w:val="32"/>
        </w:rPr>
        <w:t>无本单位组织的出国（境）团组。因公出国（境）费支出较年初预算增,</w:t>
      </w:r>
      <w:r>
        <w:rPr>
          <w:rFonts w:ascii="仿宋_GB2312" w:eastAsia="仿宋_GB2312" w:cs="DengXian-Regular"/>
          <w:sz w:val="32"/>
          <w:szCs w:val="32"/>
        </w:rPr>
        <w:t>0</w:t>
      </w:r>
      <w:r>
        <w:rPr>
          <w:rFonts w:hint="eastAsia" w:ascii="仿宋_GB2312" w:eastAsia="仿宋_GB2312" w:cs="DengXian-Regular"/>
          <w:sz w:val="32"/>
          <w:szCs w:val="32"/>
        </w:rPr>
        <w:t>万元，增长0%。与年初预算持平。</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Calibri" w:hAnsi="Calibri" w:eastAsia="楷体_GB2312" w:cs="Calibri"/>
          <w:b/>
          <w:bCs/>
          <w:sz w:val="32"/>
          <w:szCs w:val="32"/>
        </w:rPr>
        <w:t>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ascii="仿宋_GB2312" w:eastAsia="仿宋_GB2312" w:cs="DengXian-Regular"/>
          <w:sz w:val="32"/>
          <w:szCs w:val="32"/>
        </w:rPr>
        <w:t>0</w:t>
      </w:r>
      <w:r>
        <w:rPr>
          <w:rFonts w:hint="eastAsia" w:ascii="仿宋_GB2312" w:eastAsia="仿宋_GB2312" w:cs="DengXian-Regular"/>
          <w:sz w:val="32"/>
          <w:szCs w:val="32"/>
        </w:rPr>
        <w:t>万元，降低</w:t>
      </w:r>
      <w:r>
        <w:rPr>
          <w:rFonts w:ascii="仿宋_GB2312" w:eastAsia="仿宋_GB2312" w:cs="DengXian-Regular"/>
          <w:sz w:val="32"/>
          <w:szCs w:val="32"/>
        </w:rPr>
        <w:t>0</w:t>
      </w:r>
      <w:r>
        <w:rPr>
          <w:rFonts w:hint="eastAsia" w:ascii="仿宋_GB2312" w:eastAsia="仿宋_GB2312" w:cs="DengXian-Regular"/>
          <w:sz w:val="32"/>
          <w:szCs w:val="32"/>
        </w:rPr>
        <w:t>%,无增减变化</w:t>
      </w:r>
      <w:r>
        <w:rPr>
          <w:rFonts w:hint="eastAsia" w:ascii="仿宋_GB2312" w:eastAsia="仿宋_GB2312" w:cs="DengXian-Bold"/>
          <w:b/>
          <w:bCs/>
          <w:sz w:val="32"/>
          <w:szCs w:val="32"/>
        </w:rPr>
        <w:t>。</w:t>
      </w:r>
      <w:r>
        <w:rPr>
          <w:rFonts w:hint="eastAsia" w:ascii="仿宋_GB2312" w:eastAsia="仿宋_GB2312" w:cs="DengXian-Bold"/>
          <w:sz w:val="32"/>
          <w:szCs w:val="32"/>
        </w:rPr>
        <w:t>其中：</w:t>
      </w:r>
    </w:p>
    <w:p>
      <w:pPr>
        <w:adjustRightInd w:val="0"/>
        <w:snapToGrid w:val="0"/>
        <w:spacing w:after="0" w:line="580" w:lineRule="exact"/>
        <w:ind w:firstLine="643" w:firstLineChars="200"/>
        <w:rPr>
          <w:rFonts w:ascii="仿宋_GB2312" w:hAnsi="仿宋_GB2312" w:eastAsia="仿宋_GB2312" w:cs="仿宋_GB2312"/>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万元。公务用车购置费支出较年初预算增加0万元，增长0%,</w:t>
      </w:r>
      <w:bookmarkStart w:id="2" w:name="_Hlk19169759"/>
      <w:r>
        <w:rPr>
          <w:rFonts w:hint="eastAsia" w:ascii="仿宋_GB2312" w:eastAsia="仿宋_GB2312" w:cs="DengXian-Regular"/>
          <w:sz w:val="32"/>
          <w:szCs w:val="32"/>
        </w:rPr>
        <w:t>本部门金额为0</w:t>
      </w:r>
      <w:bookmarkEnd w:id="2"/>
      <w:r>
        <w:rPr>
          <w:rFonts w:hint="eastAsia" w:ascii="仿宋_GB2312" w:eastAsia="仿宋_GB2312" w:cs="DengXian-Regular"/>
          <w:sz w:val="32"/>
          <w:szCs w:val="32"/>
        </w:rPr>
        <w:t>，</w:t>
      </w:r>
      <w:r>
        <w:rPr>
          <w:rFonts w:hint="eastAsia" w:ascii="仿宋_GB2312" w:eastAsia="仿宋_GB2312" w:cs="DengXian-Regular"/>
          <w:color w:val="000000" w:themeColor="text1"/>
          <w:sz w:val="32"/>
          <w:szCs w:val="32"/>
        </w:rPr>
        <w:t>未发生‘公务用车购置’经费支出</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辆。公车运行维护费支出3万元，较年初预算增加0万元，增长0%,</w:t>
      </w:r>
      <w:r>
        <w:rPr>
          <w:rFonts w:hint="eastAsia" w:ascii="仿宋_GB2312" w:eastAsia="仿宋_GB2312" w:cs="DengXian-Regular"/>
          <w:color w:val="000000" w:themeColor="text1"/>
          <w:sz w:val="32"/>
          <w:szCs w:val="32"/>
        </w:rPr>
        <w:t>与年初预算持平</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Calibri" w:hAnsi="Calibri" w:eastAsia="楷体_GB2312" w:cs="Calibri"/>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人次。公务接待费支出较年初预算增加0万元，增长0%,未发生‘公务接待费’经费支出。</w:t>
      </w:r>
    </w:p>
    <w:p>
      <w:pPr>
        <w:pStyle w:val="3"/>
        <w:spacing w:before="0" w:after="0" w:line="580" w:lineRule="exact"/>
        <w:ind w:firstLine="640" w:firstLineChars="200"/>
        <w:rPr>
          <w:rFonts w:ascii="黑体" w:eastAsia="黑体" w:cs="Times New Roman"/>
          <w:b w:val="0"/>
          <w:bCs w:val="0"/>
        </w:rPr>
      </w:pPr>
      <w:r>
        <w:rPr>
          <w:rFonts w:hint="eastAsia" w:ascii="黑体" w:eastAsia="黑体"/>
          <w:b w:val="0"/>
          <w:bCs w:val="0"/>
          <w:szCs w:val="40"/>
        </w:rPr>
        <w:t>六、</w:t>
      </w:r>
      <w:r>
        <w:rPr>
          <w:rFonts w:hint="eastAsia" w:ascii="黑体" w:eastAsia="黑体" w:cs="Times New Roman"/>
          <w:b w:val="0"/>
          <w:bCs w:val="0"/>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hAnsi="仿宋_GB2312" w:eastAsia="仿宋_GB2312" w:cs="仿宋_GB2312"/>
          <w:sz w:val="32"/>
          <w:szCs w:val="32"/>
        </w:rPr>
        <w:t>（一）绩效管理工作开展情况：根据</w:t>
      </w:r>
      <w:r>
        <w:rPr>
          <w:rFonts w:hint="eastAsia" w:ascii="仿宋_GB2312" w:eastAsia="仿宋_GB2312" w:cs="DengXian-Regular"/>
          <w:sz w:val="32"/>
          <w:szCs w:val="32"/>
        </w:rPr>
        <w:t>《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秀。</w:t>
      </w:r>
    </w:p>
    <w:p>
      <w:pPr>
        <w:spacing w:line="500" w:lineRule="exact"/>
        <w:ind w:firstLine="640" w:firstLineChars="200"/>
        <w:rPr>
          <w:rFonts w:ascii="仿宋_GB2312" w:hAnsi="黑体" w:eastAsia="仿宋_GB2312"/>
          <w:sz w:val="32"/>
          <w:szCs w:val="32"/>
        </w:rPr>
      </w:pPr>
      <w:r>
        <w:rPr>
          <w:rFonts w:hint="eastAsia" w:ascii="仿宋_GB2312" w:eastAsia="仿宋_GB2312" w:cs="DengXian-Regular"/>
          <w:sz w:val="32"/>
          <w:szCs w:val="32"/>
        </w:rPr>
        <w:t>（二）预算项目绩效评价开展情况：</w:t>
      </w:r>
      <w:bookmarkStart w:id="3" w:name="_Hlk19170098"/>
      <w:r>
        <w:rPr>
          <w:rFonts w:hint="eastAsia" w:ascii="仿宋_GB2312" w:hAnsi="黑体" w:eastAsia="仿宋_GB2312" w:cs="仿宋_GB2312"/>
          <w:sz w:val="32"/>
          <w:szCs w:val="32"/>
        </w:rPr>
        <w:t>依据《预算法》《河北省预算管理规定》《河北省人民政府关于深化预算管理制度改革的意见》等有关政策要求，做好部门预算管理工作。</w:t>
      </w:r>
    </w:p>
    <w:p>
      <w:pPr>
        <w:spacing w:line="500" w:lineRule="exact"/>
        <w:ind w:firstLine="640" w:firstLineChars="200"/>
        <w:rPr>
          <w:rFonts w:ascii="仿宋_GB2312" w:hAnsi="黑体" w:eastAsia="仿宋_GB2312"/>
          <w:sz w:val="32"/>
          <w:szCs w:val="32"/>
        </w:rPr>
      </w:pPr>
      <w:r>
        <w:rPr>
          <w:rFonts w:hint="eastAsia" w:ascii="仿宋_GB2312" w:hAnsi="黑体" w:eastAsia="仿宋_GB2312" w:cs="仿宋_GB2312"/>
          <w:sz w:val="32"/>
          <w:szCs w:val="32"/>
        </w:rPr>
        <w:t>一是突出重点。紧紧围绕县委县政府的决策部署，调整优化支出结构，加强资金整合统筹，突出支持协同发展、脱贫攻坚、民生保障、更好地发挥对文化事业和文化产业的保障作用。</w:t>
      </w:r>
    </w:p>
    <w:p>
      <w:pPr>
        <w:spacing w:line="500" w:lineRule="exact"/>
        <w:ind w:firstLine="640" w:firstLineChars="200"/>
        <w:rPr>
          <w:rFonts w:ascii="仿宋_GB2312" w:hAnsi="黑体" w:eastAsia="仿宋_GB2312"/>
          <w:sz w:val="32"/>
          <w:szCs w:val="32"/>
        </w:rPr>
      </w:pPr>
      <w:r>
        <w:rPr>
          <w:rFonts w:hint="eastAsia" w:ascii="仿宋_GB2312" w:hAnsi="黑体" w:eastAsia="仿宋_GB2312" w:cs="仿宋_GB2312"/>
          <w:sz w:val="32"/>
          <w:szCs w:val="32"/>
        </w:rPr>
        <w:t>二是绩效导向。部门根据绩效高低，区分轻重缓急，合理安排顺序，健全预算绩效和预算安排挂钩机制，提高资金使用效益。</w:t>
      </w:r>
    </w:p>
    <w:p>
      <w:pPr>
        <w:spacing w:line="500" w:lineRule="exact"/>
        <w:ind w:firstLine="640" w:firstLineChars="200"/>
        <w:rPr>
          <w:rFonts w:ascii="仿宋_GB2312" w:hAnsi="黑体" w:eastAsia="仿宋_GB2312"/>
          <w:sz w:val="32"/>
          <w:szCs w:val="32"/>
        </w:rPr>
      </w:pPr>
      <w:r>
        <w:rPr>
          <w:rFonts w:hint="eastAsia" w:ascii="仿宋_GB2312" w:hAnsi="黑体" w:eastAsia="仿宋_GB2312" w:cs="仿宋_GB2312"/>
          <w:sz w:val="32"/>
          <w:szCs w:val="32"/>
        </w:rPr>
        <w:t>三是依法理财。全面落实《预算法》等各项规定，改进预算和控制方法，加强财政资金管理，硬化预算刚性约束，积极推进预算公开。</w:t>
      </w:r>
    </w:p>
    <w:bookmarkEnd w:id="3"/>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根据预算绩效管理要求，本单位组织对2018年度一般公共预算项目支出全面开展绩效自评，涉及应用技术研究与开发、工业和信息产业监督2个项目，涉及资金13万元。从评价情况看，评价结果为优秀的项目有2个。</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预算项目绩效自评选例本单位研究与开发项目绩效自评：根据年初设定的绩效目标，研究与开发项目绩效自评结果为优秀。项目全年预算数为10万元，执行数为10万元，完成预算的100%。主要产出和效果是提高了企业研发的进度，加快了科研开发。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ascii="仿宋_GB2312" w:eastAsia="仿宋_GB2312" w:cs="DengXian-Regular"/>
          <w:sz w:val="32"/>
          <w:szCs w:val="32"/>
        </w:rPr>
        <w:t>1</w:t>
      </w:r>
      <w:r>
        <w:rPr>
          <w:rFonts w:ascii="Calibri" w:hAnsi="Calibri" w:eastAsia="仿宋_GB2312" w:cs="Calibri"/>
          <w:sz w:val="32"/>
          <w:szCs w:val="32"/>
        </w:rPr>
        <w:t>98.23</w:t>
      </w:r>
      <w:r>
        <w:rPr>
          <w:rFonts w:hint="eastAsia" w:ascii="仿宋_GB2312" w:eastAsia="仿宋_GB2312" w:cs="DengXian-Regular"/>
          <w:sz w:val="32"/>
          <w:szCs w:val="32"/>
        </w:rPr>
        <w:t>万元，比年初预算数增加</w:t>
      </w:r>
      <w:r>
        <w:rPr>
          <w:rFonts w:ascii="仿宋_GB2312" w:eastAsia="仿宋_GB2312" w:cs="DengXian-Regular"/>
          <w:sz w:val="32"/>
          <w:szCs w:val="32"/>
        </w:rPr>
        <w:t>175.6</w:t>
      </w:r>
      <w:r>
        <w:rPr>
          <w:rFonts w:ascii="Calibri" w:hAnsi="Calibri" w:eastAsia="仿宋_GB2312" w:cs="Calibri"/>
          <w:sz w:val="32"/>
          <w:szCs w:val="32"/>
        </w:rPr>
        <w:t>9</w:t>
      </w:r>
      <w:r>
        <w:rPr>
          <w:rFonts w:hint="eastAsia" w:ascii="仿宋_GB2312" w:eastAsia="仿宋_GB2312" w:cs="DengXian-Regular"/>
          <w:sz w:val="32"/>
          <w:szCs w:val="32"/>
        </w:rPr>
        <w:t>万元，增长</w:t>
      </w:r>
      <w:r>
        <w:rPr>
          <w:rFonts w:ascii="仿宋_GB2312" w:eastAsia="仿宋_GB2312" w:cs="DengXian-Regular"/>
          <w:sz w:val="32"/>
          <w:szCs w:val="32"/>
        </w:rPr>
        <w:t>77</w:t>
      </w:r>
      <w:r>
        <w:rPr>
          <w:rFonts w:ascii="Calibri" w:hAnsi="Calibri" w:eastAsia="仿宋_GB2312" w:cs="Calibri"/>
          <w:sz w:val="32"/>
          <w:szCs w:val="32"/>
        </w:rPr>
        <w:t>9</w:t>
      </w:r>
      <w:r>
        <w:rPr>
          <w:rFonts w:hint="eastAsia" w:ascii="仿宋_GB2312" w:eastAsia="仿宋_GB2312" w:cs="DengXian-Regular"/>
          <w:sz w:val="32"/>
          <w:szCs w:val="32"/>
        </w:rPr>
        <w:t>%。主要原因是和物价所合并支出增加。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政府采购货物支出0 万元、政府采购工程支出0万元、政府采购服务支出 0万元。授予中小企业合同金0万元，占政府采购支出总额的0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其中授予小微企业合同金额0万元，占政府采购支出总额的0%。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ascii="仿宋_GB2312" w:eastAsia="仿宋_GB2312" w:cs="DengXian-Regular"/>
          <w:sz w:val="32"/>
          <w:szCs w:val="32"/>
        </w:rPr>
        <w:t>2</w:t>
      </w:r>
      <w:r>
        <w:rPr>
          <w:rFonts w:hint="eastAsia" w:ascii="仿宋_GB2312" w:eastAsia="仿宋_GB2312" w:cs="DengXian-Regular"/>
          <w:sz w:val="32"/>
          <w:szCs w:val="32"/>
        </w:rPr>
        <w:t>辆，比上年增加0辆</w:t>
      </w:r>
      <w:r>
        <w:rPr>
          <w:rFonts w:hint="eastAsia" w:ascii="仿宋_GB2312" w:hAnsi="仿宋_GB2312" w:eastAsia="仿宋_GB2312" w:cs="仿宋_GB2312"/>
          <w:sz w:val="32"/>
          <w:szCs w:val="32"/>
        </w:rPr>
        <w:t>，没有增减变化。其</w:t>
      </w:r>
      <w:r>
        <w:rPr>
          <w:rFonts w:hint="eastAsia" w:ascii="仿宋_GB2312" w:eastAsia="仿宋_GB2312" w:cs="DengXian-Regular"/>
          <w:sz w:val="32"/>
          <w:szCs w:val="32"/>
        </w:rPr>
        <w:t>中，副部（省）级及以上领导用车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1</w:t>
      </w:r>
      <w:r>
        <w:rPr>
          <w:rFonts w:hint="eastAsia" w:ascii="仿宋_GB2312" w:eastAsia="仿宋_GB2312" w:cs="DengXian-Regular"/>
          <w:sz w:val="32"/>
          <w:szCs w:val="32"/>
        </w:rPr>
        <w:t>辆，机要通信用车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0</w:t>
      </w:r>
      <w:r>
        <w:rPr>
          <w:rFonts w:hint="eastAsia" w:ascii="仿宋_GB2312" w:eastAsia="仿宋_GB2312" w:cs="DengXian-Regular"/>
          <w:sz w:val="32"/>
          <w:szCs w:val="32"/>
        </w:rPr>
        <w:t>辆，执法执勤用车</w:t>
      </w:r>
      <w:r>
        <w:rPr>
          <w:rFonts w:ascii="仿宋_GB2312" w:eastAsia="仿宋_GB2312" w:cs="DengXian-Regular"/>
          <w:sz w:val="32"/>
          <w:szCs w:val="32"/>
        </w:rPr>
        <w:t>1</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辆，离退休干部用车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台（套），比上年增加0套，无增减变化。单位价值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台（套）比上年增加0套，无增减变化。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1、本部门2018年度国有资本经营预算财政拨款支出决算表、政府采购情况表无收支及结转结余情况，故国有资本经营预算财政拨款支出决算表、政府采购情况表以空表列示。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-1318895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E2AD5EF-0922-4C68-B9E0-C9AEC11566C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346639F2-CB01-4C81-8BCB-0946DE2B4C9D}"/>
  </w:font>
  <w:font w:name="Cambria">
    <w:panose1 w:val="02040503050406030204"/>
    <w:charset w:val="00"/>
    <w:family w:val="roman"/>
    <w:pitch w:val="default"/>
    <w:sig w:usb0="E00002FF" w:usb1="400004FF" w:usb2="00000000" w:usb3="00000000" w:csb0="2000019F" w:csb1="00000000"/>
    <w:embedRegular r:id="rId3" w:fontKey="{09E80D44-C7DF-42C1-A560-F22C30123F3A}"/>
  </w:font>
  <w:font w:name="楷体">
    <w:panose1 w:val="02010609060101010101"/>
    <w:charset w:val="86"/>
    <w:family w:val="modern"/>
    <w:pitch w:val="default"/>
    <w:sig w:usb0="800002BF" w:usb1="38CF7CFA" w:usb2="00000016" w:usb3="00000000" w:csb0="00040001" w:csb1="00000000"/>
    <w:embedRegular r:id="rId4" w:fontKey="{D10F2B16-007E-457D-A07C-145BF39E6264}"/>
  </w:font>
  <w:font w:name="楷体_GB2312">
    <w:panose1 w:val="02010609030101010101"/>
    <w:charset w:val="86"/>
    <w:family w:val="modern"/>
    <w:pitch w:val="default"/>
    <w:sig w:usb0="00000001" w:usb1="080E0000" w:usb2="00000000" w:usb3="00000000" w:csb0="00040000" w:csb1="00000000"/>
    <w:embedRegular r:id="rId5" w:fontKey="{88A722EE-D0B8-484A-A754-90458F8A763F}"/>
  </w:font>
  <w:font w:name="仿宋_GB2312">
    <w:panose1 w:val="02010609030101010101"/>
    <w:charset w:val="86"/>
    <w:family w:val="modern"/>
    <w:pitch w:val="default"/>
    <w:sig w:usb0="00000001" w:usb1="080E0000" w:usb2="00000000" w:usb3="00000000" w:csb0="00040000" w:csb1="00000000"/>
    <w:embedRegular r:id="rId6" w:fontKey="{4DACDB6A-7DE2-4479-B9BC-445E19631757}"/>
  </w:font>
  <w:font w:name="ArialUnicodeMS">
    <w:altName w:val="Malgun Gothic"/>
    <w:panose1 w:val="00000000000000000000"/>
    <w:charset w:val="81"/>
    <w:family w:val="auto"/>
    <w:pitch w:val="default"/>
    <w:sig w:usb0="00000000" w:usb1="00000000" w:usb2="00000010" w:usb3="00000000" w:csb0="00080001" w:csb1="00000000"/>
    <w:embedRegular r:id="rId7" w:fontKey="{F569D40C-63ED-4D55-A420-18378E8C2670}"/>
  </w:font>
  <w:font w:name="MS-UIGothic,Bold">
    <w:altName w:val="Malgun Gothic"/>
    <w:panose1 w:val="00000000000000000000"/>
    <w:charset w:val="81"/>
    <w:family w:val="auto"/>
    <w:pitch w:val="default"/>
    <w:sig w:usb0="00000000" w:usb1="00000000" w:usb2="00000010" w:usb3="00000000" w:csb0="00080000" w:csb1="00000000"/>
    <w:embedRegular r:id="rId8" w:fontKey="{65487D7F-5840-4B54-A5B7-12B9DD6BACAB}"/>
  </w:font>
  <w:font w:name="Arial">
    <w:panose1 w:val="020B0604020202020204"/>
    <w:charset w:val="00"/>
    <w:family w:val="swiss"/>
    <w:pitch w:val="default"/>
    <w:sig w:usb0="E0002AFF" w:usb1="C0007843" w:usb2="00000009" w:usb3="00000000" w:csb0="400001FF" w:csb1="FFFF0000"/>
    <w:embedRegular r:id="rId9" w:fontKey="{AC585223-7FDC-4315-877D-FC5A7AEA6D72}"/>
  </w:font>
  <w:font w:name="DengXian-Regular">
    <w:altName w:val="宋体"/>
    <w:panose1 w:val="00000000000000000000"/>
    <w:charset w:val="86"/>
    <w:family w:val="auto"/>
    <w:pitch w:val="default"/>
    <w:sig w:usb0="00000000" w:usb1="00000000" w:usb2="00000010" w:usb3="00000000" w:csb0="00040001" w:csb1="00000000"/>
    <w:embedRegular r:id="rId10" w:fontKey="{E0605725-8AE1-4482-ABCF-2A483006085F}"/>
  </w:font>
  <w:font w:name="DengXian-Bold">
    <w:altName w:val="宋体"/>
    <w:panose1 w:val="00000000000000000000"/>
    <w:charset w:val="86"/>
    <w:family w:val="auto"/>
    <w:pitch w:val="default"/>
    <w:sig w:usb0="00000000" w:usb1="00000000" w:usb2="00000010" w:usb3="00000000" w:csb0="00040001" w:csb1="00000000"/>
    <w:embedRegular r:id="rId11" w:fontKey="{7C8123EB-5A37-4B0B-96DD-B95004E3D7B6}"/>
  </w:font>
  <w:font w:name="微软雅黑">
    <w:panose1 w:val="020B0503020204020204"/>
    <w:charset w:val="86"/>
    <w:family w:val="swiss"/>
    <w:pitch w:val="default"/>
    <w:sig w:usb0="80000287" w:usb1="280F3C52" w:usb2="00000016" w:usb3="00000000" w:csb0="0004001F" w:csb1="00000000"/>
    <w:embedRegular r:id="rId12" w:fontKey="{9859CD8E-7544-476A-AC0E-0868076F9913}"/>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159F4"/>
    <w:rsid w:val="00024E7F"/>
    <w:rsid w:val="000475A0"/>
    <w:rsid w:val="00051A4E"/>
    <w:rsid w:val="0007325B"/>
    <w:rsid w:val="000838C3"/>
    <w:rsid w:val="000B2446"/>
    <w:rsid w:val="000C7336"/>
    <w:rsid w:val="000D7C65"/>
    <w:rsid w:val="000E2F81"/>
    <w:rsid w:val="00117946"/>
    <w:rsid w:val="00117E2C"/>
    <w:rsid w:val="00121F56"/>
    <w:rsid w:val="0012758E"/>
    <w:rsid w:val="00146C47"/>
    <w:rsid w:val="00152FB8"/>
    <w:rsid w:val="00176658"/>
    <w:rsid w:val="0018239E"/>
    <w:rsid w:val="001B3410"/>
    <w:rsid w:val="001C030D"/>
    <w:rsid w:val="001C4A84"/>
    <w:rsid w:val="001E5902"/>
    <w:rsid w:val="001F704D"/>
    <w:rsid w:val="00221B5E"/>
    <w:rsid w:val="00223E3E"/>
    <w:rsid w:val="00224E91"/>
    <w:rsid w:val="00233705"/>
    <w:rsid w:val="00275CA2"/>
    <w:rsid w:val="00291E35"/>
    <w:rsid w:val="002A65A5"/>
    <w:rsid w:val="002A765E"/>
    <w:rsid w:val="002C04C4"/>
    <w:rsid w:val="002D08B0"/>
    <w:rsid w:val="002D1AE3"/>
    <w:rsid w:val="002F2ECE"/>
    <w:rsid w:val="00341C8F"/>
    <w:rsid w:val="003512BA"/>
    <w:rsid w:val="0035463A"/>
    <w:rsid w:val="00364EEA"/>
    <w:rsid w:val="00391D9D"/>
    <w:rsid w:val="00391E1D"/>
    <w:rsid w:val="003B6C51"/>
    <w:rsid w:val="003C1413"/>
    <w:rsid w:val="003C549F"/>
    <w:rsid w:val="003D5A16"/>
    <w:rsid w:val="003E2558"/>
    <w:rsid w:val="003E3DDA"/>
    <w:rsid w:val="003E7DB3"/>
    <w:rsid w:val="003F7EC9"/>
    <w:rsid w:val="00427576"/>
    <w:rsid w:val="00431175"/>
    <w:rsid w:val="00464EC9"/>
    <w:rsid w:val="00465D02"/>
    <w:rsid w:val="004908F4"/>
    <w:rsid w:val="004B6E37"/>
    <w:rsid w:val="004C32BA"/>
    <w:rsid w:val="004F6645"/>
    <w:rsid w:val="00502871"/>
    <w:rsid w:val="00573E8A"/>
    <w:rsid w:val="00575922"/>
    <w:rsid w:val="00587C06"/>
    <w:rsid w:val="005A6C90"/>
    <w:rsid w:val="005B188C"/>
    <w:rsid w:val="005E3FB0"/>
    <w:rsid w:val="005F4B66"/>
    <w:rsid w:val="005F5208"/>
    <w:rsid w:val="00641318"/>
    <w:rsid w:val="0064405D"/>
    <w:rsid w:val="00681DE0"/>
    <w:rsid w:val="00685302"/>
    <w:rsid w:val="00695557"/>
    <w:rsid w:val="006D4EA7"/>
    <w:rsid w:val="0070012A"/>
    <w:rsid w:val="0070664B"/>
    <w:rsid w:val="007071B8"/>
    <w:rsid w:val="00734762"/>
    <w:rsid w:val="0074142A"/>
    <w:rsid w:val="007414DE"/>
    <w:rsid w:val="0074209C"/>
    <w:rsid w:val="007905A9"/>
    <w:rsid w:val="007B45C8"/>
    <w:rsid w:val="007C100C"/>
    <w:rsid w:val="007E5500"/>
    <w:rsid w:val="007F055B"/>
    <w:rsid w:val="0080644C"/>
    <w:rsid w:val="00811C2F"/>
    <w:rsid w:val="00821BB2"/>
    <w:rsid w:val="00833D46"/>
    <w:rsid w:val="00840A97"/>
    <w:rsid w:val="00864B64"/>
    <w:rsid w:val="0089182E"/>
    <w:rsid w:val="008C0149"/>
    <w:rsid w:val="008C178F"/>
    <w:rsid w:val="008C2D44"/>
    <w:rsid w:val="008C689C"/>
    <w:rsid w:val="008D13ED"/>
    <w:rsid w:val="008D5DED"/>
    <w:rsid w:val="008D7EE1"/>
    <w:rsid w:val="008E25CA"/>
    <w:rsid w:val="008F34FC"/>
    <w:rsid w:val="00935058"/>
    <w:rsid w:val="00944CD7"/>
    <w:rsid w:val="00971EC8"/>
    <w:rsid w:val="009831B2"/>
    <w:rsid w:val="009912EC"/>
    <w:rsid w:val="00992CBE"/>
    <w:rsid w:val="009A1ABE"/>
    <w:rsid w:val="009E21A4"/>
    <w:rsid w:val="009E7438"/>
    <w:rsid w:val="009F22C6"/>
    <w:rsid w:val="00A07E50"/>
    <w:rsid w:val="00A10418"/>
    <w:rsid w:val="00A15397"/>
    <w:rsid w:val="00A35CE0"/>
    <w:rsid w:val="00A4462E"/>
    <w:rsid w:val="00A44AA4"/>
    <w:rsid w:val="00A44EBC"/>
    <w:rsid w:val="00A61623"/>
    <w:rsid w:val="00A84687"/>
    <w:rsid w:val="00A974B8"/>
    <w:rsid w:val="00AA79CF"/>
    <w:rsid w:val="00AB0A0E"/>
    <w:rsid w:val="00AB60E2"/>
    <w:rsid w:val="00AC03C3"/>
    <w:rsid w:val="00AD3B6E"/>
    <w:rsid w:val="00AF1B1B"/>
    <w:rsid w:val="00B060BE"/>
    <w:rsid w:val="00B1751F"/>
    <w:rsid w:val="00B56722"/>
    <w:rsid w:val="00B74D39"/>
    <w:rsid w:val="00B810F9"/>
    <w:rsid w:val="00B91DA4"/>
    <w:rsid w:val="00C12630"/>
    <w:rsid w:val="00C34562"/>
    <w:rsid w:val="00C3774E"/>
    <w:rsid w:val="00C41AAE"/>
    <w:rsid w:val="00C57456"/>
    <w:rsid w:val="00C65387"/>
    <w:rsid w:val="00C87FAB"/>
    <w:rsid w:val="00C91FF7"/>
    <w:rsid w:val="00C94E53"/>
    <w:rsid w:val="00CE7C6E"/>
    <w:rsid w:val="00CF6E18"/>
    <w:rsid w:val="00D0048E"/>
    <w:rsid w:val="00D02962"/>
    <w:rsid w:val="00D23E7A"/>
    <w:rsid w:val="00D521B1"/>
    <w:rsid w:val="00D56651"/>
    <w:rsid w:val="00D61063"/>
    <w:rsid w:val="00D6410A"/>
    <w:rsid w:val="00D72BA3"/>
    <w:rsid w:val="00DB35AF"/>
    <w:rsid w:val="00DB4D6D"/>
    <w:rsid w:val="00DD72D7"/>
    <w:rsid w:val="00DF5B88"/>
    <w:rsid w:val="00E0589E"/>
    <w:rsid w:val="00E241FA"/>
    <w:rsid w:val="00E2595E"/>
    <w:rsid w:val="00E35374"/>
    <w:rsid w:val="00E50C19"/>
    <w:rsid w:val="00E64655"/>
    <w:rsid w:val="00E73081"/>
    <w:rsid w:val="00E75C81"/>
    <w:rsid w:val="00E856C9"/>
    <w:rsid w:val="00E8744D"/>
    <w:rsid w:val="00EB5267"/>
    <w:rsid w:val="00EB6A8B"/>
    <w:rsid w:val="00EC022E"/>
    <w:rsid w:val="00EF38C6"/>
    <w:rsid w:val="00EF4D47"/>
    <w:rsid w:val="00F06947"/>
    <w:rsid w:val="00F123BD"/>
    <w:rsid w:val="00F3142E"/>
    <w:rsid w:val="00F679C7"/>
    <w:rsid w:val="00F7711A"/>
    <w:rsid w:val="00F8102A"/>
    <w:rsid w:val="00FA0D58"/>
    <w:rsid w:val="00FA56F4"/>
    <w:rsid w:val="00FB4EDA"/>
    <w:rsid w:val="00FC2731"/>
    <w:rsid w:val="00FD3BD5"/>
    <w:rsid w:val="00FD7CB7"/>
    <w:rsid w:val="00FE0965"/>
    <w:rsid w:val="00FE3DC8"/>
    <w:rsid w:val="0185255B"/>
    <w:rsid w:val="04073F84"/>
    <w:rsid w:val="09055912"/>
    <w:rsid w:val="0B60750A"/>
    <w:rsid w:val="10686488"/>
    <w:rsid w:val="10DF728A"/>
    <w:rsid w:val="1264200E"/>
    <w:rsid w:val="141C5B77"/>
    <w:rsid w:val="18D8339D"/>
    <w:rsid w:val="1A21388F"/>
    <w:rsid w:val="1A570D2F"/>
    <w:rsid w:val="1F7D1700"/>
    <w:rsid w:val="27364754"/>
    <w:rsid w:val="28E17111"/>
    <w:rsid w:val="28FB0B8D"/>
    <w:rsid w:val="2A9870FC"/>
    <w:rsid w:val="2D2B7942"/>
    <w:rsid w:val="2D46481D"/>
    <w:rsid w:val="2E733B28"/>
    <w:rsid w:val="31852B5A"/>
    <w:rsid w:val="32D01238"/>
    <w:rsid w:val="35D31135"/>
    <w:rsid w:val="374740FF"/>
    <w:rsid w:val="397A226B"/>
    <w:rsid w:val="3DFC59A8"/>
    <w:rsid w:val="3ECF245E"/>
    <w:rsid w:val="3FB96314"/>
    <w:rsid w:val="408136C9"/>
    <w:rsid w:val="46214878"/>
    <w:rsid w:val="53A44FAF"/>
    <w:rsid w:val="54F13232"/>
    <w:rsid w:val="58B52FE7"/>
    <w:rsid w:val="594329EC"/>
    <w:rsid w:val="5BEE1540"/>
    <w:rsid w:val="5DE61A5D"/>
    <w:rsid w:val="63C04243"/>
    <w:rsid w:val="649C01C7"/>
    <w:rsid w:val="699A3F60"/>
    <w:rsid w:val="6CC92151"/>
    <w:rsid w:val="6CDA546D"/>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2"/>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3"/>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link w:val="36"/>
    <w:unhideWhenUsed/>
    <w:qFormat/>
    <w:uiPriority w:val="99"/>
    <w:pPr>
      <w:jc w:val="left"/>
    </w:pPr>
  </w:style>
  <w:style w:type="paragraph" w:styleId="7">
    <w:name w:val="Date"/>
    <w:basedOn w:val="1"/>
    <w:next w:val="1"/>
    <w:link w:val="34"/>
    <w:unhideWhenUsed/>
    <w:qFormat/>
    <w:uiPriority w:val="99"/>
    <w:pPr>
      <w:ind w:left="100" w:leftChars="2500"/>
    </w:pPr>
  </w:style>
  <w:style w:type="paragraph" w:styleId="8">
    <w:name w:val="Balloon Text"/>
    <w:basedOn w:val="1"/>
    <w:link w:val="22"/>
    <w:unhideWhenUsed/>
    <w:qFormat/>
    <w:uiPriority w:val="99"/>
    <w:rPr>
      <w:sz w:val="18"/>
      <w:szCs w:val="18"/>
    </w:rPr>
  </w:style>
  <w:style w:type="paragraph" w:styleId="9">
    <w:name w:val="footer"/>
    <w:basedOn w:val="1"/>
    <w:link w:val="19"/>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8"/>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Subtitle"/>
    <w:basedOn w:val="1"/>
    <w:next w:val="1"/>
    <w:link w:val="24"/>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2">
    <w:name w:val="Title"/>
    <w:basedOn w:val="1"/>
    <w:next w:val="1"/>
    <w:link w:val="23"/>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paragraph" w:styleId="13">
    <w:name w:val="annotation subject"/>
    <w:basedOn w:val="6"/>
    <w:next w:val="6"/>
    <w:link w:val="37"/>
    <w:unhideWhenUsed/>
    <w:qFormat/>
    <w:uiPriority w:val="99"/>
    <w:rPr>
      <w:b/>
      <w:bCs/>
    </w:rPr>
  </w:style>
  <w:style w:type="table" w:styleId="15">
    <w:name w:val="Table Grid"/>
    <w:basedOn w:val="14"/>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7">
    <w:name w:val="annotation reference"/>
    <w:basedOn w:val="16"/>
    <w:unhideWhenUsed/>
    <w:qFormat/>
    <w:uiPriority w:val="99"/>
    <w:rPr>
      <w:sz w:val="21"/>
      <w:szCs w:val="21"/>
    </w:rPr>
  </w:style>
  <w:style w:type="character" w:customStyle="1" w:styleId="18">
    <w:name w:val="页眉 Char"/>
    <w:basedOn w:val="16"/>
    <w:link w:val="10"/>
    <w:qFormat/>
    <w:uiPriority w:val="99"/>
    <w:rPr>
      <w:sz w:val="18"/>
      <w:szCs w:val="18"/>
    </w:rPr>
  </w:style>
  <w:style w:type="character" w:customStyle="1" w:styleId="19">
    <w:name w:val="页脚 Char"/>
    <w:basedOn w:val="16"/>
    <w:link w:val="9"/>
    <w:qFormat/>
    <w:uiPriority w:val="99"/>
    <w:rPr>
      <w:sz w:val="18"/>
      <w:szCs w:val="18"/>
    </w:rPr>
  </w:style>
  <w:style w:type="paragraph" w:customStyle="1" w:styleId="20">
    <w:name w:val="无间隔1"/>
    <w:link w:val="21"/>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21">
    <w:name w:val="无间隔 字符"/>
    <w:basedOn w:val="16"/>
    <w:link w:val="20"/>
    <w:qFormat/>
    <w:uiPriority w:val="1"/>
    <w:rPr>
      <w:kern w:val="0"/>
      <w:sz w:val="22"/>
    </w:rPr>
  </w:style>
  <w:style w:type="character" w:customStyle="1" w:styleId="22">
    <w:name w:val="批注框文本 Char"/>
    <w:basedOn w:val="16"/>
    <w:link w:val="8"/>
    <w:semiHidden/>
    <w:qFormat/>
    <w:uiPriority w:val="99"/>
    <w:rPr>
      <w:rFonts w:ascii="Times New Roman" w:hAnsi="Times New Roman" w:eastAsia="宋体" w:cs="Times New Roman"/>
      <w:sz w:val="18"/>
      <w:szCs w:val="18"/>
    </w:rPr>
  </w:style>
  <w:style w:type="character" w:customStyle="1" w:styleId="23">
    <w:name w:val="标题 Char"/>
    <w:basedOn w:val="16"/>
    <w:link w:val="12"/>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4">
    <w:name w:val="副标题 Char"/>
    <w:basedOn w:val="16"/>
    <w:link w:val="11"/>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5">
    <w:name w:val="Style1"/>
    <w:basedOn w:val="16"/>
    <w:qFormat/>
    <w:uiPriority w:val="1"/>
    <w:rPr>
      <w:rFonts w:asciiTheme="minorHAnsi" w:hAnsiTheme="minorEastAsia" w:eastAsiaTheme="minorEastAsia" w:cstheme="minorBidi"/>
      <w:sz w:val="22"/>
      <w:szCs w:val="22"/>
      <w:lang w:eastAsia="zh-CN"/>
    </w:rPr>
  </w:style>
  <w:style w:type="character" w:customStyle="1" w:styleId="26">
    <w:name w:val="Style2"/>
    <w:basedOn w:val="16"/>
    <w:qFormat/>
    <w:uiPriority w:val="1"/>
    <w:rPr>
      <w:rFonts w:asciiTheme="minorHAnsi" w:hAnsiTheme="minorEastAsia" w:eastAsiaTheme="minorEastAsia" w:cstheme="minorBidi"/>
      <w:sz w:val="22"/>
      <w:szCs w:val="22"/>
      <w:lang w:eastAsia="zh-CN"/>
    </w:rPr>
  </w:style>
  <w:style w:type="character" w:customStyle="1" w:styleId="27">
    <w:name w:val="Style3"/>
    <w:basedOn w:val="16"/>
    <w:qFormat/>
    <w:uiPriority w:val="1"/>
    <w:rPr>
      <w:rFonts w:asciiTheme="minorHAnsi" w:hAnsiTheme="minorEastAsia" w:eastAsiaTheme="minorEastAsia" w:cstheme="minorBidi"/>
      <w:szCs w:val="22"/>
      <w:lang w:eastAsia="zh-CN"/>
    </w:rPr>
  </w:style>
  <w:style w:type="character" w:customStyle="1" w:styleId="28">
    <w:name w:val="Style4"/>
    <w:basedOn w:val="16"/>
    <w:qFormat/>
    <w:uiPriority w:val="1"/>
    <w:rPr>
      <w:rFonts w:asciiTheme="minorHAnsi" w:hAnsiTheme="minorEastAsia" w:eastAsiaTheme="minorEastAsia" w:cstheme="minorBidi"/>
      <w:szCs w:val="22"/>
      <w:lang w:eastAsia="zh-CN"/>
    </w:rPr>
  </w:style>
  <w:style w:type="character" w:customStyle="1" w:styleId="29">
    <w:name w:val="Style5"/>
    <w:basedOn w:val="16"/>
    <w:qFormat/>
    <w:uiPriority w:val="1"/>
    <w:rPr>
      <w:rFonts w:asciiTheme="minorHAnsi" w:hAnsiTheme="minorEastAsia" w:eastAsiaTheme="minorEastAsia" w:cstheme="minorBidi"/>
      <w:sz w:val="22"/>
      <w:szCs w:val="22"/>
      <w:lang w:eastAsia="zh-CN"/>
    </w:rPr>
  </w:style>
  <w:style w:type="character" w:customStyle="1" w:styleId="30">
    <w:name w:val="标题 1 Char"/>
    <w:basedOn w:val="16"/>
    <w:link w:val="2"/>
    <w:qFormat/>
    <w:uiPriority w:val="9"/>
    <w:rPr>
      <w:rFonts w:ascii="Times New Roman" w:hAnsi="Times New Roman" w:eastAsia="宋体" w:cs="Times New Roman"/>
      <w:b/>
      <w:bCs/>
      <w:kern w:val="44"/>
      <w:sz w:val="44"/>
      <w:szCs w:val="44"/>
    </w:rPr>
  </w:style>
  <w:style w:type="character" w:customStyle="1" w:styleId="31">
    <w:name w:val="标题 2 Char"/>
    <w:basedOn w:val="16"/>
    <w:link w:val="3"/>
    <w:qFormat/>
    <w:uiPriority w:val="9"/>
    <w:rPr>
      <w:rFonts w:asciiTheme="majorHAnsi" w:hAnsiTheme="majorHAnsi" w:eastAsiaTheme="majorEastAsia" w:cstheme="majorBidi"/>
      <w:b/>
      <w:bCs/>
      <w:sz w:val="32"/>
      <w:szCs w:val="32"/>
    </w:rPr>
  </w:style>
  <w:style w:type="character" w:customStyle="1" w:styleId="32">
    <w:name w:val="标题 3 Char"/>
    <w:basedOn w:val="16"/>
    <w:link w:val="4"/>
    <w:qFormat/>
    <w:uiPriority w:val="9"/>
    <w:rPr>
      <w:rFonts w:ascii="Times New Roman" w:hAnsi="Times New Roman" w:eastAsia="宋体" w:cs="Times New Roman"/>
      <w:b/>
      <w:bCs/>
      <w:sz w:val="32"/>
      <w:szCs w:val="32"/>
    </w:rPr>
  </w:style>
  <w:style w:type="character" w:customStyle="1" w:styleId="33">
    <w:name w:val="标题 4 Char"/>
    <w:basedOn w:val="16"/>
    <w:link w:val="5"/>
    <w:qFormat/>
    <w:uiPriority w:val="9"/>
    <w:rPr>
      <w:rFonts w:asciiTheme="majorHAnsi" w:hAnsiTheme="majorHAnsi" w:eastAsiaTheme="majorEastAsia" w:cstheme="majorBidi"/>
      <w:b/>
      <w:bCs/>
      <w:sz w:val="28"/>
      <w:szCs w:val="28"/>
    </w:rPr>
  </w:style>
  <w:style w:type="character" w:customStyle="1" w:styleId="34">
    <w:name w:val="日期 Char"/>
    <w:basedOn w:val="16"/>
    <w:link w:val="7"/>
    <w:semiHidden/>
    <w:qFormat/>
    <w:uiPriority w:val="99"/>
    <w:rPr>
      <w:rFonts w:ascii="Times New Roman" w:hAnsi="Times New Roman" w:eastAsia="宋体" w:cs="Times New Roman"/>
      <w:szCs w:val="24"/>
    </w:rPr>
  </w:style>
  <w:style w:type="paragraph" w:customStyle="1" w:styleId="35">
    <w:name w:val="列出段落1"/>
    <w:basedOn w:val="1"/>
    <w:unhideWhenUsed/>
    <w:qFormat/>
    <w:uiPriority w:val="99"/>
    <w:pPr>
      <w:ind w:firstLine="420" w:firstLineChars="200"/>
    </w:pPr>
  </w:style>
  <w:style w:type="character" w:customStyle="1" w:styleId="36">
    <w:name w:val="批注文字 Char"/>
    <w:basedOn w:val="16"/>
    <w:link w:val="6"/>
    <w:semiHidden/>
    <w:qFormat/>
    <w:uiPriority w:val="99"/>
    <w:rPr>
      <w:rFonts w:ascii="Times New Roman" w:hAnsi="Times New Roman" w:eastAsia="宋体" w:cs="Times New Roman"/>
      <w:kern w:val="2"/>
      <w:sz w:val="21"/>
      <w:szCs w:val="24"/>
    </w:rPr>
  </w:style>
  <w:style w:type="character" w:customStyle="1" w:styleId="37">
    <w:name w:val="批注主题 Char"/>
    <w:basedOn w:val="36"/>
    <w:link w:val="13"/>
    <w:semiHidden/>
    <w:qFormat/>
    <w:uiPriority w:val="99"/>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585.82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510.54</c:v>
                </c:pt>
                <c:pt idx="1">
                  <c:v>13</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585.82</c:v>
                </c:pt>
                <c:pt idx="1">
                  <c:v>523.54</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310.22</c:v>
                </c:pt>
                <c:pt idx="1">
                  <c:v>278.88</c:v>
                </c:pt>
              </c:numCache>
            </c:numRef>
          </c:val>
        </c:ser>
        <c:dLbls>
          <c:showLegendKey val="0"/>
          <c:showVal val="1"/>
          <c:showCatName val="0"/>
          <c:showSerName val="0"/>
          <c:showPercent val="0"/>
          <c:showBubbleSize val="0"/>
        </c:dLbls>
        <c:gapWidth val="75"/>
        <c:axId val="167303808"/>
        <c:axId val="167321984"/>
      </c:barChart>
      <c:catAx>
        <c:axId val="167303808"/>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7321984"/>
        <c:crosses val="autoZero"/>
        <c:auto val="1"/>
        <c:lblAlgn val="ctr"/>
        <c:lblOffset val="100"/>
        <c:noMultiLvlLbl val="0"/>
      </c:catAx>
      <c:valAx>
        <c:axId val="16732198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7303808"/>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1"/>
        </c:manualLayout>
      </c:layout>
      <c:overlay val="0"/>
    </c:title>
    <c:autoTitleDeleted val="0"/>
    <c:plotArea>
      <c:layout>
        <c:manualLayout>
          <c:layoutTarget val="inner"/>
          <c:xMode val="edge"/>
          <c:yMode val="edge"/>
          <c:x val="0.100155074365704"/>
          <c:y val="0.0231156048675734"/>
          <c:w val="0.869289370078741"/>
          <c:h val="0.768818002863279"/>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302.31</c:v>
                </c:pt>
                <c:pt idx="1">
                  <c:v>302.31</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585.82</c:v>
                </c:pt>
                <c:pt idx="1">
                  <c:v>523.54</c:v>
                </c:pt>
              </c:numCache>
            </c:numRef>
          </c:val>
        </c:ser>
        <c:dLbls>
          <c:showLegendKey val="0"/>
          <c:showVal val="1"/>
          <c:showCatName val="0"/>
          <c:showSerName val="0"/>
          <c:showPercent val="0"/>
          <c:showBubbleSize val="0"/>
        </c:dLbls>
        <c:gapWidth val="75"/>
        <c:axId val="191267584"/>
        <c:axId val="191269120"/>
      </c:barChart>
      <c:catAx>
        <c:axId val="191267584"/>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1269120"/>
        <c:crosses val="autoZero"/>
        <c:auto val="1"/>
        <c:lblAlgn val="ctr"/>
        <c:lblOffset val="100"/>
        <c:noMultiLvlLbl val="0"/>
      </c:catAx>
      <c:valAx>
        <c:axId val="19126912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1267584"/>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layout>
                <c:manualLayout>
                  <c:x val="-0.225706036745407"/>
                  <c:y val="-0.2032682197911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layout>
                <c:manualLayout>
                  <c:x val="-0.0681662292213473"/>
                  <c:y val="0.17417973195828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delete val="1"/>
            </c:dLbl>
            <c:dLbl>
              <c:idx val="5"/>
              <c:layout>
                <c:manualLayout>
                  <c:x val="-0.156106517935258"/>
                  <c:y val="0.10226155358898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delete val="1"/>
            </c:dLbl>
            <c:dLbl>
              <c:idx val="8"/>
              <c:layout>
                <c:manualLayout>
                  <c:x val="0.0935236220472441"/>
                  <c:y val="0.213372664700098"/>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9"/>
              <c:delete val="1"/>
            </c:dLbl>
            <c:dLbl>
              <c:idx val="10"/>
              <c:delete val="1"/>
            </c:dLbl>
            <c:dLbl>
              <c:idx val="11"/>
              <c:layout>
                <c:manualLayout>
                  <c:x val="0.362077427821522"/>
                  <c:y val="0.008849557522123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433.21</c:v>
                </c:pt>
                <c:pt idx="3">
                  <c:v>10</c:v>
                </c:pt>
                <c:pt idx="5">
                  <c:v>70.23</c:v>
                </c:pt>
                <c:pt idx="8">
                  <c:v>2.1</c:v>
                </c:pt>
                <c:pt idx="11">
                  <c:v>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F70EDF-39D8-4773-A28F-D920785D5F0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1919</Words>
  <Characters>10939</Characters>
  <Lines>91</Lines>
  <Paragraphs>25</Paragraphs>
  <TotalTime>26</TotalTime>
  <ScaleCrop>false</ScaleCrop>
  <LinksUpToDate>false</LinksUpToDate>
  <CharactersWithSpaces>12833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2024-01-03T02:07:16Z</dcterms:modified>
  <dc:subject>石家庄市xxx部门</dc:subject>
  <dc:title>2017年度部门决算</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