
<file path=[Content_Types].xml><?xml version="1.0" encoding="utf-8"?>
<Types xmlns="http://schemas.openxmlformats.org/package/2006/content-types">
  <Default Extension="xml" ContentType="application/xml"/>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sectPr>
          <w:headerReference r:id="rId5" w:type="first"/>
          <w:footerReference r:id="rId8" w:type="first"/>
          <w:headerReference r:id="rId3" w:type="default"/>
          <w:footerReference r:id="rId6" w:type="default"/>
          <w:headerReference r:id="rId4" w:type="even"/>
          <w:footerReference r:id="rId7" w:type="even"/>
          <w:pgSz w:w="11906" w:h="16838"/>
          <w:pgMar w:top="0" w:right="0" w:bottom="0" w:left="0" w:header="851" w:footer="992" w:gutter="0"/>
          <w:cols w:space="425" w:num="1"/>
          <w:titlePg/>
          <w:docGrid w:type="lines" w:linePitch="312" w:charSpace="0"/>
        </w:sectPr>
      </w:pPr>
      <w:r>
        <w:pict>
          <v:group id="_x0000_s1034" o:spid="_x0000_s1034" o:spt="203" style="position:absolute;left:0pt;margin-left:-3.75pt;margin-top:-69.75pt;height:308.5pt;width:600.25pt;z-index:-251658240;mso-width-relative:page;mso-height-relative:page;" coordorigin="13622,283" coordsize="12005,6170203" o:gfxdata="UEsDBAoAAAAAAIdO4kAAAAAAAAAAAAAAAAAEAAAAZHJzL1BLAwQUAAAACACHTuJANER919kAAAAI&#10;AQAADwAAAGRycy9kb3ducmV2LnhtbE2PQWvCQBCF74X+h2UKvelmrZE2zUSKtD1JoVoQb2N2TILZ&#10;3ZBdE/33XU/t5cHwhve+ly8vphUD975xFkFNExBsS6cbWyH8bD8mzyB8IKupdZYRruxhWdzf5ZRp&#10;N9pvHjahEjHE+owQ6hC6TEpf1mzIT13HNnpH1xsK8ewrqXsaY7hp5SxJFtJQY2NDTR2vai5Pm7NB&#10;+BxpfHtS78P6dFxd99v0a7dWjPj4oJJXEIEv4e8ZbvgRHYrIdHBnq71oESZpnBIQot5c9ZKmIA4I&#10;i/l8BrLI5f8BxS9QSwMEFAAAAAgAh07iQNenchStAgAALwYAAA4AAABkcnMvZTJvRG9jLnhtbL2U&#10;y24TMRSG90i8g+U9nUvSJB11UtGEdoOgUuEBHI/nInlsYzuZ6R4BS1askBDskHgDxOM0vAbHnsk0&#10;lLIpEllMfD2X7z/HxydtzdGGaVNJkeLoIMSICSqzShQpfvni7NEMI2OJyAiXgqX4ihl8Mn/44LhR&#10;CYtlKXnGNAIjwiSNSnFprUqCwNCS1cQcSMUEbOZS18TCVBdBpkkD1msexGE4CRqpM6UlZcbA6rLb&#10;xHNvP88Ztc/z3DCLeIohNuu/2n9X7hvMj0lSaKLKivZhkHtEUZNKgNPB1JJYgta6+sNUXVEtjczt&#10;AZV1IPO8osznANlE4a1szrVcK59LkTSFGjAB2luc7m2WPttcaFRlKR5jJEgNEv38/vr6/Ts0dmwa&#10;VSRw5FyrS3Wh+4Wim7l021zX7h8SQa2nejVQZa1FFBank3gUTQ8xorA3Do/CybTnTksQx92LRpM4&#10;xgj249mo04SWT/r7Eejc356Mx7HbDnaeAxfgEE+joIjMDSfzb5wuS6KYx28chJ7TZOD06ev1jy/o&#10;sOPkjwyQTGKA1x2E7sh0x2k/z6hDNORJEqWNPWeyRm6QYg2V7QuObJ4a2yHZHXFujeRVdlZx7ie6&#10;WC24RhsCXXC2PF1EUU/xt2NcoAa0iKchdAol0I05JxaGtYL6MKLAiPAC2pxa7X0L6TyA8y68JTFl&#10;58Ob7XSsKwsNzqs6xbPQ/XrPXICMTrAOlButZHYFkLXlC9m1KxG0lNCtzqHLsRfY1eV/UBoo9S2x&#10;/fB2+/Hb9vMbFPn4nXuoCCc3su2pdCXsAnTrfxN+GsdHvsQPw9gfJslO+VkIVe/bA3T3fXd/4QdN&#10;bsG17artI+w5N/Dqgayv1kQzvEfdV4x6vLagrq8sl1V3Z18C33rwKvlu7F9Q9+ztz/35m3d+/g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AfBQAA&#10;W0NvbnRlbnRfVHlwZXNdLnhtbFBLAQIUAAoAAAAAAIdO4kAAAAAAAAAAAAAAAAAGAAAAAAAAAAAA&#10;EAAAAAEEAABfcmVscy9QSwECFAAUAAAACACHTuJAihRmPNEAAACUAQAACwAAAAAAAAABACAAAAAl&#10;BAAAX3JlbHMvLnJlbHNQSwECFAAKAAAAAACHTuJAAAAAAAAAAAAAAAAABAAAAAAAAAAAABAAAAAA&#10;AAAAZHJzL1BLAQIUABQAAAAIAIdO4kA0RH3X2QAAAAgBAAAPAAAAAAAAAAEAIAAAACIAAABkcnMv&#10;ZG93bnJldi54bWxQSwECFAAUAAAACACHTuJA16dyFK0CAAAvBgAADgAAAAAAAAABACAAAAAoAQAA&#10;ZHJzL2Uyb0RvYy54bWxQSwUGAAAAAAYABgBZAQAARwYAAAAA&#10;">
            <o:lock v:ext="edit"/>
            <v:rect id="矩形 5" o:spid="_x0000_s1036" o:spt="1" style="position:absolute;left:13622;top:283;height:6170;width:12005;v-text-anchor:middle;" fillcolor="#FDBC11" filled="t" stroked="f" coordsize="21600,21600" o:gfxdata="UEsDBAoAAAAAAIdO4kAAAAAAAAAAAAAAAAAEAAAAZHJzL1BLAwQUAAAACACHTuJAVt/pWrwAAADa&#10;AAAADwAAAGRycy9kb3ducmV2LnhtbEWP3WoCMRSE7wXfIZyCd5ooKLo1CiqK0BbatQ9w3Bx3l25O&#10;1iT+9O2bguDlMDPfMPPl3TbiSj7UjjUMBwoEceFMzaWG78O2PwURIrLBxjFp+KUAy0W3M8fMuBt/&#10;0TWPpUgQDhlqqGJsMylDUZHFMHAtcfJOzluMSfpSGo+3BLeNHCk1kRZrTgsVtrSuqPjJL1aDH+c2&#10;qvPqY7atqVjt3t8+p5uj1r2XoXoFEeken+FHe280TOD/SroBcvEH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Fbf6Vq8AAAA&#10;2gAAAA8AAAAAAAAAAQAgAAAAIgAAAGRycy9kb3ducmV2LnhtbFBLAQIUABQAAAAIAIdO4kAzLwWe&#10;OwAAADkAAAAQAAAAAAAAAAEAIAAAAAsBAABkcnMvc2hhcGV4bWwueG1sUEsFBgAAAAAGAAYAWwEA&#10;ALUDAAAAAA==&#10;">
              <v:path/>
              <v:fill on="t" focussize="0,0"/>
              <v:stroke on="f" weight="1pt"/>
              <v:imagedata o:title=""/>
              <o:lock v:ext="edit"/>
            </v:rect>
            <v:shape id="_x0000_s1035" o:spid="_x0000_s1035" o:spt="202" type="#_x0000_t202" style="position:absolute;left:17229;top:5021;height:1392;width:8083;" filled="f" stroked="f" coordsize="21600,21600" o:gfxdata="UEsDBAoAAAAAAIdO4kAAAAAAAAAAAAAAAAAEAAAAZHJzL1BLAwQUAAAACACHTuJAuvyRrLkAAADb&#10;AAAADwAAAGRycy9kb3ducmV2LnhtbEVPTWvCQBC9F/oflil4q7sRWkp0FbEWPPRSjfchO82GZmdD&#10;dmriv3cLBW/zeJ+z2kyhUxcaUhvZQjE3oIjr6FpuLFSnj+c3UEmQHXaRycKVEmzWjw8rLF0c+Ysu&#10;R2lUDuFUogUv0pdap9pTwDSPPXHmvuMQUDIcGu0GHHN46PTCmFcdsOXc4LGnnaf65/gbLIi4bXGt&#10;9iEdztPn++hN/YKVtbOnwixBCU1yF/+7Dy7PL+Dvl3yAXt8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Lr8kay5AAAA2wAA&#10;AA8AAAAAAAAAAQAgAAAAIgAAAGRycy9kb3ducmV2LnhtbFBLAQIUABQAAAAIAIdO4kAzLwWeOwAA&#10;ADkAAAAQAAAAAAAAAAEAIAAAAAgBAABkcnMvc2hhcGV4bWwueG1sUEsFBgAAAAAGAAYAWwEAALID&#10;AAAAAA==&#10;">
              <v:path/>
              <v:fill on="f" focussize="0,0"/>
              <v:stroke on="f" joinstyle="miter"/>
              <v:imagedata o:title=""/>
              <o:lock v:ext="edit"/>
              <v:textbox style="mso-fit-shape-to-text:t;">
                <w:txbxContent>
                  <w:p>
                    <w:pPr>
                      <w:jc w:val="left"/>
                      <w:rPr>
                        <w:color w:val="000000" w:themeColor="text1"/>
                        <w:kern w:val="0"/>
                        <w:sz w:val="92"/>
                        <w:szCs w:val="92"/>
                      </w:rPr>
                    </w:pPr>
                    <w:r>
                      <w:rPr>
                        <w:rFonts w:hint="eastAsia" w:ascii="思源黑体 HW Bold" w:hAnsi="思源黑体 HW Bold" w:eastAsia="思源黑体 HW Bold"/>
                        <w:color w:val="000000" w:themeColor="text1"/>
                        <w:kern w:val="24"/>
                        <w:sz w:val="92"/>
                        <w:szCs w:val="92"/>
                      </w:rPr>
                      <w:t>部门决算公开文本</w:t>
                    </w:r>
                  </w:p>
                </w:txbxContent>
              </v:textbox>
            </v:shape>
          </v:group>
        </w:pict>
      </w:r>
      <w:r>
        <w:pict>
          <v:shape id="文本框 10" o:spid="_x0000_s1026" o:spt="202" type="#_x0000_t202" style="position:absolute;left:0pt;margin-left:106.25pt;margin-top:693.55pt;height:79.95pt;width:404.15pt;z-index:251656192;mso-width-relative:page;mso-height-relative:page;" filled="f" stroked="f" coordsize="21600,21600" o:gfxdata="UEsDBAoAAAAAAIdO4kAAAAAAAAAAAAAAAAAEAAAAZHJzL1BLAwQUAAAACACHTuJAovZZLNkAAAAO&#10;AQAADwAAAGRycy9kb3ducmV2LnhtbE2PzU7DMBCE70i8g7VI3KidQGgV4lSIH4kDF0q4b2MTR8Tr&#10;KHab9O3ZnuC2o/k0O1NtFz+Io51iH0hDtlIgLLXB9NRpaD5fbzYgYkIyOASyGk42wra+vKiwNGGm&#10;D3vcpU5wCMUSNbiUxlLK2DrrMa7CaIm97zB5TCynTpoJZw73g8yVupcee+IPDkf75Gz7szt4DSmZ&#10;x+zUvPj49rW8P89OtQU2Wl9fZeoBRLJL+oPhXJ+rQ82d9uFAJopBQ57lBaNs3G7WGYgzonLFc/Z8&#10;FXdrBbKu5P8Z9S9QSwMEFAAAAAgAh07iQOtgfkefAQAAEQMAAA4AAABkcnMvZTJvRG9jLnhtbK1S&#10;S27bMBDdF+gdCO5rSQ6cFILlIGmQboqkQNoD0BRpERA5LIe25AukN+iqm+57Lp8jQ9qxg2RXdDMk&#10;5/PmzRvOL0fbs40KaMA1vJqUnCknoTVu1fDv324/fOQMo3Ct6MGphm8V8svF+3fzwddqCh30rQqM&#10;QBzWg294F6OviwJlp6zACXjlKKghWBHpGVZFG8RA6LYvpmV5XgwQWh9AKkTy3uyDfJHxtVYy3muN&#10;KrK+4cQtZhuyXSZbLOaiXgXhOyMPNMQ/sLDCOGp6hLoRUbB1MG+grJEBEHScSLAFaG2kyjPQNFX5&#10;apqHTniVZyFx0B9lwv8HK+82XwMzLe2OMycsrWj36+fu99/dn0dWZX0GjzWlPXhKjOM1jCmXdEt+&#10;JGcae9TBppMGYhQnpbdHddUYmSTnrDqbXpQzziTFqrKanZ3PEk5xKvcB42cFlqVLwwOtL6sqNl8w&#10;7lOfU1I3B7em75P/xCXd4rgcDwSX0G6J90Abbjj+WIugOAux/wT5QyQU9FfrSEi5QSrf1xxQSfdM&#10;8fBH0mJfvnPW6Scvng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Ci9lks2QAAAA4BAAAPAAAAAAAA&#10;AAEAIAAAACIAAABkcnMvZG93bnJldi54bWxQSwECFAAUAAAACACHTuJA62B+R58BAAARAwAADgAA&#10;AAAAAAABACAAAAAoAQAAZHJzL2Uyb0RvYy54bWxQSwUGAAAAAAYABgBZAQAAOQUAAAAA&#10;">
            <v:path/>
            <v:fill on="f" focussize="0,0"/>
            <v:stroke on="f" joinstyle="miter"/>
            <v:imagedata o:title=""/>
            <o:lock v:ext="edit"/>
            <v:textbox style="mso-fit-shape-to-text:t;">
              <w:txbxContent>
                <w:p>
                  <w:pPr>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二〇二〇年八月</w:t>
                  </w:r>
                </w:p>
              </w:txbxContent>
            </v:textbox>
          </v:shape>
        </w:pict>
      </w:r>
      <w:r>
        <w:pict>
          <v:group id="_x0000_s1037" o:spid="_x0000_s1037" o:spt="203" style="position:absolute;left:0pt;margin-left:1.25pt;margin-top:821.7pt;height:21.45pt;width:595.25pt;z-index:251654144;mso-width-relative:page;mso-height-relative:page;" coordorigin="1483,16692" coordsize="11905,429203203"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BhmChPdwIAAJYGAAAOAAAAZHJzL2Uyb0RvYy54bWzV&#10;VctuEzEU3SPxD5b3dB4kM8mok0o0JBsElQof4Ho8D8kv2W4m2bNgyR8gseMbEJ9T8RtceyZTWrpA&#10;RV2QhWP72vdxzj2e07O94GjHjO2ULHFyEmPEJFVVJ5sSf3i/ebHAyDoiK8KVZCU+MIvPVs+fnfa6&#10;YKlqFa+YQeBE2qLXJW6d00UUWdoyQeyJ0kyCsVZGEAdL00SVIT14FzxK4ziLemUqbRRl1sLuejDi&#10;VfBf14y6d3VtmUO8xJCbC6MJ45Ufo9UpKRpDdNvRMQ3yiCwE6SQEnVytiSPo2nR/uBIdNcqq2p1Q&#10;JSJV1x1loQaoJonvVbM16lqHWpqib/QEE0B7D6dHu6VvdxcGdRVw9xIjSQRw9PP7x5vPnxBsADq9&#10;bgo4tDX6Ul+YcaMZVr7gfW2E/4dS0D7gephwZXuHKGzm8/kyy+cYUbCleTpL5gPwtAV2/LVktoDw&#10;YE2ybJkeja/H+0myjMfbs3TprdExcOTzm9LpNXSRvQXK/htQly3RLOBvPQYjUPmE05dvNz++oswn&#10;5CPDkQkjW1iA6wGAHqr0iFOSpFOZiztlkkIb67ZMCeQnJTbQ2aHhyO6NdQMixyM+qlW8qzYd52Fh&#10;mqtzbtCOgAo261fnSTJ6v3OMS9QDA2keg1IoATXWnDiYCg39YWWDEeENyJw6E2JL5SNA8CG9NbHt&#10;ECO49SFIIToHAuedKPEi9r8xMpfAokdtwMnPrlR1AIyN4+dqkCuRtFWgVh/Q1zjyO8D95ETD0zUK&#10;YiA69zn8NdFpFoODsaWDlEgxER3nC48xWGfpkzGdbNLl/CiX/5XpIHB4/ILmx4fav66/r0Nn3H5O&#10;Vr8A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01yfJdoAAAAMAQAADwAAAAAAAAABACAAAAAiAAAA&#10;ZHJzL2Rvd25yZXYueG1sUEsBAhQAFAAAAAgAh07iQGGYKE93AgAAlgYAAA4AAAAAAAAAAQAgAAAA&#10;KQEAAGRycy9lMm9Eb2MueG1sUEsFBgAAAAAGAAYAWQEAABIGAAAAAA==&#10;">
            <o:lock v:ext="edit"/>
            <v:rect id="矩形 6" o:spid="_x0000_s1039" o:spt="1" style="position:absolute;left:1483;top:16692;height:428;width:1125;v-text-anchor:middle;" fillcolor="#FDBC11" filled="t" stroked="f" coordsize="21600,21600" o:gfxdata="UEsDBAoAAAAAAIdO4kAAAAAAAAAAAAAAAAAEAAAAZHJzL1BLAwQUAAAACACHTuJAOZNMwb0AAADa&#10;AAAADwAAAGRycy9kb3ducmV2LnhtbEWP0WoCMRRE3wX/IVyhb26i0NauRkGLItSCbvsBt5vr7uLm&#10;Zk1StX/fCIU+DjNzhpktbrYVF/KhcaxhlCkQxKUzDVcaPj/WwwmIEJENto5Jww8FWMz7vRnmxl35&#10;QJciViJBOOSooY6xy6UMZU0WQ+Y64uQdnbcYk/SVNB6vCW5bOVbqSVpsOC3U2NGqpvJUfFsN/rGw&#10;UZ2X7y/rhsrlZve2n7x+af0wGKkpiEi3+B/+a2+Nhme4X0k3QM5/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5k0zBvQAA&#10;ANoAAAAPAAAAAAAAAAEAIAAAACIAAABkcnMvZG93bnJldi54bWxQSwECFAAUAAAACACHTuJAMy8F&#10;njsAAAA5AAAAEAAAAAAAAAABACAAAAAMAQAAZHJzL3NoYXBleG1sLnhtbFBLBQYAAAAABgAGAFsB&#10;AAC2AwAAAAA=&#10;">
              <v:path/>
              <v:fill on="t" focussize="0,0"/>
              <v:stroke on="f" weight="1pt"/>
              <v:imagedata o:title=""/>
              <o:lock v:ext="edit"/>
            </v:rect>
            <v:rect id="矩形 7" o:spid="_x0000_s1038" o:spt="1" style="position:absolute;left:2608;top:16693;height:428;width:10780;v-text-anchor:middle;" fillcolor="#1F2959" filled="t" stroked="f" coordsize="21600,21600" o:gfxdata="UEsDBAoAAAAAAIdO4kAAAAAAAAAAAAAAAAAEAAAAZHJzL1BLAwQUAAAACACHTuJAvRMRQrUAAADa&#10;AAAADwAAAGRycy9kb3ducmV2LnhtbEVPyQrCMBC9C/5DGMGbTRUUqUZBUfDgxQW8Ds100WRSmlj1&#10;781B8Ph4+3L9tkZ01PrasYJxkoIgzp2uuVRwvexHcxA+IGs0jknBhzysV/3eEjPtXnyi7hxKEUPY&#10;Z6igCqHJpPR5RRZ94hriyBWutRgibEupW3zFcGvkJE1n0mLNsaHChrYV5Y/z0yqYhPlzc69vH9OY&#10;e4fFtDg+dlKp4WCcLkAEeoe/+Oc+aAVxa7wSb4BcfQF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vRMRQrUAAADaAAAADwAA&#10;AAAAAAABACAAAAAiAAAAZHJzL2Rvd25yZXYueG1sUEsBAhQAFAAAAAgAh07iQDMvBZ47AAAAOQAA&#10;ABAAAAAAAAAAAQAgAAAABAEAAGRycy9zaGFwZXhtbC54bWxQSwUGAAAAAAYABgBbAQAArgMAAAAA&#10;">
              <v:path/>
              <v:fill on="t" focussize="0,0"/>
              <v:stroke on="f" weight="1pt"/>
              <v:imagedata o:title=""/>
              <o:lock v:ext="edit"/>
            </v:rect>
          </v:group>
        </w:pict>
      </w:r>
      <w:r>
        <w:pict>
          <v:rect id="矩形 11" o:spid="_x0000_s1033" o:spt="1" style="position:absolute;left:0pt;margin-left:184.75pt;margin-top:286.6pt;height:31.25pt;width:339.65pt;mso-wrap-style:none;z-index:251655168;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xTW+yYQBAADsAgAADgAAAGRycy9lMm9Eb2MueG1s&#10;rVJLTsMwEN0jcQfLe5qmpVCipgipgg0CJOAArmM3luKPPG6TngaJHYfgOIhrMHZDQbBDbMYznpnn&#10;eW88O+90QzbCg7KmpPlgSIkw3FbKrEr6+HB5NKUEAjMVa6wRJd0KoOfzw4NZ6woxsrVtKuEJghgo&#10;WlfSOgRXZBnwWmgGA+uEwaS0XrOAoV9llWctousmGw2HJ1lrfeW85QIAbxe7JJ0nfCkFD7dSggik&#10;KSnOFpL1yS6jzeYzVqw8c7Xi/RjsD1Nopgw+uodasMDI2qtfUFpxb8HKMOBWZ1ZKxUXigGzy4Q82&#10;9zVzInFBccDtZYL/g+U3mztPVIW7G1FimMYdvT+9vL0+kzyP6rQOCiy6d3e+jwDdSLWTXscTSZAu&#10;KbrdKyq6QDheHo/z8WQyoYRjbnx2Mj2dRNDsq9t5CFfCahKdknrcWBKSba4h7Eo/S7AvTrN7P3qh&#10;W3b9UEtbbZFIi5ssqcGvlkDAXayDvVQJKHbsynoglDSN0q8/7ux7nKq+Pun8A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PgDAABbQ29udGVudF9U&#10;eXBlc10ueG1sUEsBAhQACgAAAAAAh07iQAAAAAAAAAAAAAAAAAYAAAAAAAAAAAAQAAAA2gIAAF9y&#10;ZWxzL1BLAQIUABQAAAAIAIdO4kCKFGY80QAAAJQBAAALAAAAAAAAAAEAIAAAAP4CAABfcmVscy8u&#10;cmVsc1BLAQIUAAoAAAAAAIdO4kAAAAAAAAAAAAAAAAAEAAAAAAAAAAAAEAAAAAAAAABkcnMvUEsB&#10;AhQAFAAAAAgAh07iQJZkF9HbAAAADAEAAA8AAAAAAAAAAQAgAAAAIgAAAGRycy9kb3ducmV2Lnht&#10;bFBLAQIUABQAAAAIAIdO4kDFNb7JhAEAAOwCAAAOAAAAAAAAAAEAIAAAACoBAABkcnMvZTJvRG9j&#10;LnhtbFBLBQYAAAAABgAGAFkBAAAgBQAAAAA=&#10;">
            <v:path/>
            <v:fill on="f" focussize="0,0"/>
            <v:stroke on="f"/>
            <v:imagedata o:title=""/>
            <o:lock v:ext="edit"/>
            <v:textbox style="mso-fit-shape-to-text:t;">
              <w:txbxContent>
                <w:p/>
              </w:txbxContent>
            </v:textbox>
          </v:rect>
        </w:pict>
      </w:r>
    </w:p>
    <w:p/>
    <w:p>
      <w:pPr>
        <w:jc w:val="center"/>
        <w:rPr>
          <w:rFonts w:ascii="黑体" w:hAnsi="黑体" w:eastAsia="黑体" w:cs="黑体"/>
          <w:sz w:val="56"/>
          <w:szCs w:val="72"/>
        </w:rPr>
      </w:pPr>
    </w:p>
    <w:p>
      <w:pPr>
        <w:jc w:val="center"/>
        <w:rPr>
          <w:rFonts w:ascii="黑体" w:hAnsi="黑体" w:eastAsia="黑体" w:cs="黑体"/>
          <w:sz w:val="56"/>
          <w:szCs w:val="72"/>
        </w:rPr>
      </w:pPr>
    </w:p>
    <w:p>
      <w:pPr>
        <w:spacing w:line="360" w:lineRule="auto"/>
        <w:jc w:val="center"/>
        <w:rPr>
          <w:kern w:val="0"/>
          <w:sz w:val="28"/>
          <w:szCs w:val="28"/>
        </w:rPr>
      </w:pPr>
      <w:r>
        <w:pict>
          <v:rect id="_x0000_s1044" o:spid="_x0000_s1044" o:spt="1" style="position:absolute;left:0pt;margin-left:-30.6pt;margin-top:53.4pt;height:69.6pt;width:160.65pt;z-index:251662336;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pPr>
                    <w:spacing w:line="360" w:lineRule="auto"/>
                    <w:jc w:val="center"/>
                    <w:rPr>
                      <w:b/>
                      <w:bCs/>
                      <w:color w:val="FFFFFF" w:themeColor="background1"/>
                      <w:kern w:val="0"/>
                      <w:sz w:val="72"/>
                      <w:szCs w:val="72"/>
                    </w:rPr>
                  </w:pPr>
                  <w:r>
                    <w:rPr>
                      <w:rFonts w:hint="eastAsia"/>
                      <w:b/>
                      <w:bCs/>
                      <w:color w:val="FFFFFF" w:themeColor="background1"/>
                      <w:kern w:val="0"/>
                      <w:sz w:val="72"/>
                      <w:szCs w:val="72"/>
                    </w:rPr>
                    <w:t>2019</w:t>
                  </w:r>
                </w:p>
              </w:txbxContent>
            </v:textbox>
          </v:rect>
        </w:pict>
      </w:r>
      <w:r>
        <w:pict>
          <v:rect id="矩形 14" o:spid="_x0000_s1043" o:spt="1" style="position:absolute;left:0pt;margin-left:-33.9pt;margin-top:49.25pt;height:69.6pt;width:160.65pt;mso-wrap-distance-left:9pt;mso-wrap-distance-right:9pt;z-index:-251653120;mso-width-relative:page;mso-height-relative:page;" filled="f" stroked="f" coordsize="21600,21600" wrapcoords="21592 -2 0 0 0 21600 21592 21602 8 21602 21600 21600 21600 0 8 -2 21592 -2"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CCkepuwAQAARwMAAA4AAABkcnMvZTJvRG9jLnhtbK1S&#10;S27bMBDdF8gdCO5ryYrtuILloICRboo0QNID0BRpERA/maEt+TQBuushepyi1+hQUpMi3WTRDTUj&#10;Pj6+94ab69627KQAjXcVn89yzpSTvjbuUPGvDzfv15xhFK4WrXeq4meF/Hp78W7ThVIVvvFtrYAR&#10;icOyCxVvYgxllqFslBU480E52tQerIjUwiGrQXTEbtusyPNV1nmoA3ipEOnvbtzkEyO8hdBrbaTa&#10;eXm0ysWRFVQrIlnCxgTk20Gt1krGL1qjiqytODmNw0qXUL1Pa7bdiPIAIjRGThLEWyS88mSFcXTp&#10;M9VORMGOYP6hskaCR6/jTHqbjUaGRMjFPH+VzX0jghq8UNQYnkPH/0crb093wExNL2HJmROWJv7r&#10;6fvPH9/YfJHS6QKWBLoPdzB1SGWy2muw6UsmWF/xRbG6KijWc8Uvi1V+VSzHcFUfmaT9Il/kxZIu&#10;kYRYry8/EJgYsxeiABg/KW9ZKioONLwhU3H6jHGE/oHQuSRslJKq2O/7Sd/e12fy1NFQK46PRwEp&#10;Q0Hgj8fob8xAlc6MwImK8h3ETG8hDfDvfkC9vP/t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CIEAABbQ29udGVudF9UeXBlc10ueG1sUEsBAhQA&#10;CgAAAAAAh07iQAAAAAAAAAAAAAAAAAYAAAAAAAAAAAAQAAAABAMAAF9yZWxzL1BLAQIUABQAAAAI&#10;AIdO4kCKFGY80QAAAJQBAAALAAAAAAAAAAEAIAAAACgDAABfcmVscy8ucmVsc1BLAQIUAAoAAAAA&#10;AIdO4kAAAAAAAAAAAAAAAAAEAAAAAAAAAAAAEAAAAAAAAABkcnMvUEsBAhQAFAAAAAgAh07iQGpV&#10;qbnZAAAACgEAAA8AAAAAAAAAAQAgAAAAIgAAAGRycy9kb3ducmV2LnhtbFBLAQIUABQAAAAIAIdO&#10;4kAgpHqbsAEAAEcDAAAOAAAAAAAAAAEAIAAAACgBAABkcnMvZTJvRG9jLnhtbFBLBQYAAAAABgAG&#10;AFkBAABKBQAAAAA=&#10;">
            <v:path/>
            <v:fill on="f" focussize="0,0"/>
            <v:stroke on="f"/>
            <v:imagedata o:title=""/>
            <o:lock v:ext="edit"/>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rPr>
                    <w:t>2019</w:t>
                  </w:r>
                </w:p>
              </w:txbxContent>
            </v:textbox>
            <w10:wrap type="tight"/>
          </v:rect>
        </w:pict>
      </w:r>
      <w:r>
        <w:pict>
          <v:shape id="椭圆 9" o:spid="_x0000_s1040" o:spt="3" type="#_x0000_t3" style="position:absolute;left:0pt;margin-left:-4.55pt;margin-top:35.3pt;height:103.45pt;width:103.45pt;z-index:25165721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WAsTFeQ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I6fDu0R4PCN/r1/cfPb19JHc2ZrG+w587eukvmMYxK596puKMG&#10;Mrf0qqrrtwhxbuk6r8q63Cze8jkQhvViXayrYkMJw46HBCGzJyTrfHjPjSIxaCmXUlgf9UMDpw8+&#10;LN0PXfHYGym6g5AyJW443khHToBvXRzKepMUIMFfbVKTCevlVY63ZYAz10sIGCqLLng9UAJywGFm&#10;wSVubSIDkkMTuffgx4UjwS4qlQg4xlKollZ5/OIxMkuNW/RwcS1GYT7OWIzh0XRndN8FeWOW+QTN&#10;RoPjGbkjQuzCl09YlymNo/Vnnrqe/qXdb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DQKGC7YAAAA&#10;CwEAAA8AAAAAAAAAAQAgAAAAIgAAAGRycy9kb3ducmV2LnhtbFBLAQIUABQAAAAIAIdO4kBYCxMV&#10;5AEAAJMDAAAOAAAAAAAAAAEAIAAAACcBAABkcnMvZTJvRG9jLnhtbFBLBQYAAAAABgAGAFkBAAB9&#10;BQAAAAA=&#10;">
            <v:path/>
            <v:fill on="t" focussize="0,0"/>
            <v:stroke on="f" weight="1pt" joinstyle="miter"/>
            <v:imagedata o:title=""/>
            <o:lock v:ext="edit"/>
            <v:textbox>
              <w:txbxContent>
                <w:p>
                  <w:pPr>
                    <w:jc w:val="center"/>
                  </w:pPr>
                </w:p>
              </w:txbxContent>
            </v:textbox>
          </v:shape>
        </w:pict>
      </w:r>
      <w:r>
        <w:rPr>
          <w:rFonts w:hint="eastAsia" w:ascii="黑体" w:hAnsi="Times New Roman" w:eastAsia="黑体" w:cs="Times New Roman"/>
          <w:sz w:val="48"/>
          <w:szCs w:val="48"/>
        </w:rPr>
        <w:br w:type="page"/>
      </w:r>
      <w:r>
        <w:rPr>
          <w:rFonts w:hint="eastAsia" w:ascii="Yu Gothic UI Semibold" w:hAnsi="Yu Gothic UI Semibold" w:eastAsia="宋体"/>
          <w:color w:val="FFFFFF" w:themeColor="background1"/>
          <w:kern w:val="24"/>
          <w:sz w:val="72"/>
          <w:szCs w:val="72"/>
        </w:rPr>
        <w:t>2019</w:t>
      </w:r>
    </w:p>
    <w:p>
      <w:pPr>
        <w:rPr>
          <w:rFonts w:ascii="黑体" w:hAnsi="Times New Roman" w:eastAsia="黑体" w:cs="Times New Roman"/>
          <w:sz w:val="48"/>
          <w:szCs w:val="48"/>
        </w:rPr>
      </w:pPr>
    </w:p>
    <w:p>
      <w:pPr>
        <w:tabs>
          <w:tab w:val="left" w:pos="2728"/>
        </w:tabs>
        <w:rPr>
          <w:rFonts w:ascii="黑体" w:hAnsi="Times New Roman" w:eastAsia="黑体" w:cs="Times New Roman"/>
          <w:sz w:val="48"/>
          <w:szCs w:val="48"/>
        </w:rPr>
      </w:pPr>
      <w:r>
        <w:rPr>
          <w:rFonts w:hint="eastAsia" w:ascii="黑体" w:hAnsi="Times New Roman" w:eastAsia="黑体" w:cs="Times New Roman"/>
          <w:sz w:val="48"/>
          <w:szCs w:val="48"/>
        </w:rPr>
        <w:tab/>
      </w:r>
    </w:p>
    <w:p>
      <w:pPr>
        <w:rPr>
          <w:rFonts w:ascii="黑体" w:hAnsi="黑体" w:eastAsia="黑体" w:cs="黑体"/>
          <w:sz w:val="56"/>
          <w:szCs w:val="72"/>
        </w:rPr>
      </w:pPr>
    </w:p>
    <w:p>
      <w:pPr>
        <w:rPr>
          <w:rFonts w:ascii="黑体" w:hAnsi="黑体" w:eastAsia="黑体" w:cs="黑体"/>
          <w:b/>
          <w:bCs/>
          <w:sz w:val="72"/>
          <w:szCs w:val="96"/>
        </w:rPr>
      </w:pPr>
      <w:r>
        <w:rPr>
          <w:rFonts w:hint="eastAsia" w:ascii="黑体" w:hAnsi="黑体" w:eastAsia="黑体" w:cs="黑体"/>
          <w:b/>
          <w:bCs/>
          <w:sz w:val="72"/>
          <w:szCs w:val="96"/>
        </w:rPr>
        <w:t>2019年度部门决算公开文本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4"/>
          <w:szCs w:val="44"/>
        </w:rPr>
      </w:pPr>
      <w:r>
        <w:rPr>
          <w:rFonts w:hint="eastAsia" w:ascii="楷体_GB2312" w:hAnsi="楷体_GB2312" w:eastAsia="楷体_GB2312" w:cs="楷体_GB2312"/>
          <w:color w:val="000000" w:themeColor="text1"/>
          <w:kern w:val="0"/>
          <w:sz w:val="44"/>
          <w:szCs w:val="44"/>
        </w:rPr>
        <w:t>无极县人民法院</w:t>
      </w:r>
    </w:p>
    <w:p>
      <w:pPr>
        <w:widowControl/>
        <w:spacing w:line="600" w:lineRule="exact"/>
        <w:jc w:val="left"/>
        <w:rPr>
          <w:rFonts w:ascii="黑体" w:hAnsi="黑体" w:eastAsia="黑体" w:cs="黑体"/>
          <w:bCs/>
          <w:sz w:val="32"/>
          <w:szCs w:val="32"/>
          <w:highlight w:val="yellow"/>
        </w:rPr>
      </w:pPr>
    </w:p>
    <w:p>
      <w:pPr>
        <w:tabs>
          <w:tab w:val="left" w:pos="2728"/>
        </w:tabs>
        <w:jc w:val="center"/>
        <w:rPr>
          <w:rFonts w:ascii="黑体" w:hAnsi="Times New Roman" w:eastAsia="黑体" w:cs="Times New Roman"/>
          <w:sz w:val="48"/>
          <w:szCs w:val="48"/>
        </w:rPr>
      </w:pP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after="160" w:line="58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   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年部门决算情况说明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四、财政拨款收入支出决算总体情况说明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w:t>
      </w:r>
      <w:r>
        <w:rPr>
          <w:rFonts w:ascii="Times New Roman" w:hAnsi="Times New Roman" w:eastAsia="仿宋_GB2312" w:cs="Times New Roman"/>
          <w:sz w:val="32"/>
          <w:szCs w:val="32"/>
        </w:rPr>
        <w:t>“三公”经费支出决算情况说明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w:t>
      </w:r>
      <w:r>
        <w:rPr>
          <w:rFonts w:ascii="Times New Roman" w:hAnsi="Times New Roman" w:eastAsia="仿宋_GB2312" w:cs="Times New Roman"/>
          <w:sz w:val="32"/>
          <w:szCs w:val="32"/>
        </w:rPr>
        <w:t>、预算绩效情况说明</w:t>
      </w:r>
    </w:p>
    <w:p>
      <w:pPr>
        <w:widowControl/>
        <w:spacing w:after="160" w:line="580" w:lineRule="exact"/>
        <w:ind w:left="64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w:t>
      </w:r>
      <w:r>
        <w:rPr>
          <w:rFonts w:ascii="Times New Roman" w:hAnsi="Times New Roman" w:eastAsia="仿宋_GB2312" w:cs="Times New Roman"/>
          <w:sz w:val="32"/>
          <w:szCs w:val="32"/>
        </w:rPr>
        <w:t>、其他重要事项的说明</w:t>
      </w:r>
    </w:p>
    <w:p>
      <w:pPr>
        <w:widowControl/>
        <w:spacing w:after="160" w:line="58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第三部分名词解释</w:t>
      </w:r>
    </w:p>
    <w:p>
      <w:pPr>
        <w:widowControl/>
        <w:spacing w:after="160" w:line="58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部分201</w:t>
      </w:r>
      <w:r>
        <w:rPr>
          <w:rFonts w:hint="eastAsia" w:ascii="Times New Roman" w:hAnsi="Times New Roman" w:eastAsia="黑体" w:cs="Times New Roman"/>
          <w:sz w:val="32"/>
          <w:szCs w:val="32"/>
        </w:rPr>
        <w:t>9</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headerReference r:id="rId10" w:type="first"/>
          <w:footerReference r:id="rId12" w:type="first"/>
          <w:headerReference r:id="rId9" w:type="default"/>
          <w:footerReference r:id="rId11" w:type="default"/>
          <w:type w:val="continuous"/>
          <w:pgSz w:w="11906" w:h="16838"/>
          <w:pgMar w:top="2041" w:right="1531" w:bottom="2041" w:left="1531" w:header="851" w:footer="992" w:gutter="0"/>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w:pict>
          <v:shape id="_x0000_s1032" o:spid="_x0000_s1032" o:spt="202" type="#_x0000_t202" style="position:absolute;left:0pt;margin-left:-85.7pt;margin-top:80.7pt;height:263.1pt;width:613.65pt;z-index:251658240;v-text-anchor:middle;mso-width-relative:page;mso-height-relative:page;" fillcolor="#FFD966" filled="t" stroked="t" coordsize="21600,21600" o:gfxdata="UEsDBAoAAAAAAIdO4kAAAAAAAAAAAAAAAAAEAAAAZHJzL1BLAwQUAAAACACHTuJAZ9V629oAAAAN&#10;AQAADwAAAGRycy9kb3ducmV2LnhtbE2PsU7DMBCGdyTewTokttYOom4b4lQIiQGWisLC5sbXJCQ+&#10;R7aTFp4eZ4LtTv+n/74rdhfbswl9aB0pyJYCGFLlTEu1go/358UGWIiajO4doYJvDLArr68KnRt3&#10;pjecDrFmqYRCrhU0MQ4556Fq0OqwdANSyk7OWx3T6mtuvD6nctvzOyEkt7qldKHRAz41WHWH0SqY&#10;9qPf/7R4etnq7nPqHl+/ukEqdXuTiQdgES/xD4ZZP6lDmZyObiQTWK9gka2z+8SmRM7DjIjVagvs&#10;qEBu1hJ4WfD/X5S/UEsDBBQAAAAIAIdO4kBsigz3bQIAAN8EAAAOAAAAZHJzL2Uyb0RvYy54bWyt&#10;VM1uEzEQviPxDpbvdPPb0KibKiQKQqpopYI4O147u5LXNraT3fIA8AacuHDnufIcfHY2afnpBZGD&#10;M575dn6+mfHlVVsrshPOV0bntH/Wo0RobopKb3L6/t3qxUtKfGC6YMpokdN74enV7Pmzy8ZOxcCU&#10;RhXCETjRftrYnJYh2GmWeV6KmvkzY4WGURpXs4Cr22SFYw281yob9HrnWWNcYZ3hwntolwcjnSX/&#10;UgoebqT0IhCVU+QW0unSuY5nNrtk041jtqx4lwb7hyxqVmkEPblassDI1lV/uKor7ow3MpxxU2dG&#10;yoqLVAOq6fd+q+auZFakWkCOtyea/P9zy9/ubh2pCvRuNKREsxpN2n/9sv/2Y//9M4lKUNRYPwXy&#10;zgIb2lemBfyo91DGylvp6viPmgjsIPv+RLBoA+FQTiYXw+F4TAmHbTgc9YeT1ILs4XPrfHgtTE2i&#10;kFOHDiZi2e7aB6QC6BESo1kWwqpSqoNbHsYJLjcLldLybrOGSHYME7BaLS/Oz2PmcHOCrJ/ArvDr&#10;sB0kBu8CxuBKkwZMDCY9VMtrCxa93qT43qiqiIlF3NM5/AKLdS2ZLw+5JlMXXmlkHJtwIDtKoV23&#10;XWfWprhHY5w5TLe3fFXB1TXz4ZY5jDOyw4qGGxxSGaRsOomS0rhPf9NHPKYMVkoarAcq+7hlTlCi&#10;3mjM30V/NIr7lC6j8WSAi3tsWT+26G29MOC/j8fA8iRGfFBHUTpTf8Amz2NUmJjmiJ1THtzxsgiH&#10;tcVbwMV8nmDYIfTjWt9ZHp1HrrWZb4ORVZqVSNSBnY4/bFHqfbfxcU0f3xPq4V2a/QR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DgBAAAW0NvbnRl&#10;bnRfVHlwZXNdLnhtbFBLAQIUAAoAAAAAAIdO4kAAAAAAAAAAAAAAAAAGAAAAAAAAAAAAEAAAAMID&#10;AABfcmVscy9QSwECFAAUAAAACACHTuJAihRmPNEAAACUAQAACwAAAAAAAAABACAAAADmAwAAX3Jl&#10;bHMvLnJlbHNQSwECFAAKAAAAAACHTuJAAAAAAAAAAAAAAAAABAAAAAAAAAAAABAAAAAAAAAAZHJz&#10;L1BLAQIUABQAAAAIAIdO4kBn1Xrb2gAAAA0BAAAPAAAAAAAAAAEAIAAAACIAAABkcnMvZG93bnJl&#10;di54bWxQSwECFAAUAAAACACHTuJAbIoM920CAADfBAAADgAAAAAAAAABACAAAAApAQAAZHJzL2Uy&#10;b0RvYy54bWxQSwUGAAAAAAYABgBZAQAACAYAAAAA&#10;">
            <v:path/>
            <v:fill type="pattern" on="t" focussize="0,0"/>
            <v:stroke weight="1pt" color="#FFD966" joinstyle="round"/>
            <v:imagedata o:title=""/>
            <o:lock v:ext="edit"/>
            <v:textbox>
              <w:txbxContent>
                <w:p>
                  <w:pPr>
                    <w:widowControl/>
                    <w:jc w:val="center"/>
                    <w:rPr>
                      <w:rFonts w:ascii="黑体" w:hAnsi="黑体" w:eastAsia="黑体" w:cs="黑体"/>
                      <w:color w:val="000000" w:themeColor="text1"/>
                      <w:sz w:val="96"/>
                      <w:szCs w:val="96"/>
                    </w:rPr>
                  </w:pPr>
                  <w:r>
                    <w:rPr>
                      <w:rFonts w:hint="eastAsia" w:ascii="黑体" w:hAnsi="黑体" w:eastAsia="黑体" w:cs="黑体"/>
                      <w:color w:val="000000" w:themeColor="text1"/>
                      <w:sz w:val="96"/>
                      <w:szCs w:val="96"/>
                    </w:rPr>
                    <w:t>第一部分  部门概况</w:t>
                  </w:r>
                </w:p>
              </w:txbxContent>
            </v:textbox>
          </v:shape>
        </w:pic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pStyle w:val="13"/>
        <w:ind w:firstLine="848" w:firstLineChars="265"/>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审判刑事、民事案件和行政案件，并且通过审判活动，惩办一切犯罪分子，解决民事、行政纠纷，以保卫无产阶级专政制度，维护社会主义法制和社会秩序，保护社会主义全民所有的财产、劳动群众集体所有的财产，保护公民私人所有的合法财产，保护公民的人身权利、民主权利和其他权利，保障国家的社会主义革命和社会主义建设事业的顺利进行。</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UnicodeMS"/>
          <w:kern w:val="0"/>
          <w:sz w:val="32"/>
          <w:szCs w:val="32"/>
        </w:rPr>
      </w:pPr>
      <w:r>
        <w:rPr>
          <w:rFonts w:hint="eastAsia" w:ascii="仿宋_GB2312" w:hAnsi="Calibri" w:eastAsia="仿宋_GB2312" w:cs="ArialUnicodeMS"/>
          <w:kern w:val="0"/>
          <w:sz w:val="32"/>
          <w:szCs w:val="32"/>
        </w:rPr>
        <w:t>从决算编报单位构成看，纳入2019年度本部门决算汇编范围的独立核算单位（以下简称“单位”）共 1 个，具体情况如下：</w:t>
      </w:r>
    </w:p>
    <w:tbl>
      <w:tblPr>
        <w:tblStyle w:val="8"/>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485" w:type="dxa"/>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无极县人民法院</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3</w:t>
            </w:r>
          </w:p>
        </w:tc>
        <w:tc>
          <w:tcPr>
            <w:tcW w:w="3485" w:type="dxa"/>
          </w:tcPr>
          <w:p>
            <w:pPr>
              <w:spacing w:line="560" w:lineRule="exact"/>
              <w:rPr>
                <w:rFonts w:ascii="仿宋_GB2312" w:hAnsi="Calibri" w:eastAsia="仿宋_GB2312" w:cs="ArialUnicodeMS"/>
                <w:kern w:val="0"/>
                <w:sz w:val="28"/>
                <w:szCs w:val="28"/>
              </w:rPr>
            </w:pPr>
          </w:p>
        </w:tc>
        <w:tc>
          <w:tcPr>
            <w:tcW w:w="2445" w:type="dxa"/>
          </w:tcPr>
          <w:p>
            <w:pPr>
              <w:spacing w:line="560" w:lineRule="exact"/>
              <w:jc w:val="center"/>
              <w:rPr>
                <w:rFonts w:ascii="仿宋_GB2312" w:hAnsi="Calibri" w:eastAsia="仿宋_GB2312" w:cs="ArialUnicodeMS"/>
                <w:kern w:val="0"/>
                <w:sz w:val="28"/>
                <w:szCs w:val="28"/>
              </w:rPr>
            </w:pPr>
          </w:p>
        </w:tc>
        <w:tc>
          <w:tcPr>
            <w:tcW w:w="2665" w:type="dxa"/>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3485" w:type="dxa"/>
            <w:tcBorders>
              <w:bottom w:val="single" w:color="auto" w:sz="4" w:space="0"/>
            </w:tcBorders>
          </w:tcPr>
          <w:p>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w:t>
            </w:r>
          </w:p>
        </w:tc>
        <w:tc>
          <w:tcPr>
            <w:tcW w:w="244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c>
          <w:tcPr>
            <w:tcW w:w="2665" w:type="dxa"/>
            <w:tcBorders>
              <w:bottom w:val="single" w:color="auto" w:sz="4" w:space="0"/>
            </w:tcBorders>
          </w:tcPr>
          <w:p>
            <w:pPr>
              <w:spacing w:line="560" w:lineRule="exact"/>
              <w:jc w:val="center"/>
              <w:rPr>
                <w:rFonts w:ascii="仿宋_GB2312" w:hAnsi="Calibri" w:eastAsia="仿宋_GB2312" w:cs="ArialUnicodeMS"/>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line="560" w:lineRule="exact"/>
              <w:ind w:firstLine="560" w:firstLineChars="200"/>
              <w:jc w:val="left"/>
              <w:rPr>
                <w:rFonts w:ascii="仿宋_GB2312" w:hAnsi="Calibri" w:eastAsia="仿宋_GB2312" w:cs="ArialUnicodeMS"/>
                <w:kern w:val="0"/>
                <w:sz w:val="28"/>
                <w:szCs w:val="28"/>
              </w:rPr>
            </w:pP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sectPr>
          <w:footerReference r:id="rId15" w:type="first"/>
          <w:headerReference r:id="rId13" w:type="default"/>
          <w:footerReference r:id="rId14" w:type="default"/>
          <w:type w:val="continuous"/>
          <w:pgSz w:w="11906" w:h="16838"/>
          <w:pgMar w:top="2041" w:right="1531" w:bottom="2041" w:left="1531" w:header="851" w:footer="992" w:gutter="0"/>
          <w:pgNumType w:fmt="numberInDash"/>
          <w:cols w:space="0" w:num="1"/>
          <w:titlePg/>
          <w:docGrid w:type="lines" w:linePitch="312" w:charSpace="0"/>
        </w:sectPr>
      </w:pPr>
    </w:p>
    <w:p>
      <w:pPr>
        <w:widowControl/>
        <w:spacing w:after="160" w:line="580" w:lineRule="exact"/>
        <w:ind w:firstLine="1440" w:firstLineChars="200"/>
        <w:rPr>
          <w:rFonts w:ascii="Times New Roman" w:hAnsi="Times New Roman" w:eastAsia="黑体" w:cs="Times New Roman"/>
          <w:sz w:val="32"/>
          <w:szCs w:val="32"/>
        </w:rPr>
        <w:sectPr>
          <w:pgSz w:w="11906" w:h="16838"/>
          <w:pgMar w:top="2041" w:right="1531" w:bottom="2041" w:left="1531" w:header="851" w:footer="992" w:gutter="0"/>
          <w:pgNumType w:fmt="numberInDash"/>
          <w:cols w:space="0" w:num="1"/>
          <w:titlePg/>
          <w:docGrid w:type="lines" w:linePitch="312" w:charSpace="0"/>
        </w:sectPr>
      </w:pPr>
      <w:r>
        <w:rPr>
          <w:sz w:val="72"/>
        </w:rPr>
        <w:pict>
          <v:shape id="_x0000_s1031" o:spid="_x0000_s1031" o:spt="202" type="#_x0000_t202" style="position:absolute;left:0pt;margin-left:-85.7pt;margin-top:238.15pt;height:173.25pt;width:613.65pt;z-index:251659264;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path/>
            <v:fill on="f" focussize="0,0"/>
            <v:stroke on="f" weight="0.5pt" joinstyle="miter"/>
            <v:imagedata o:title=""/>
            <o:lock v:ext="edit"/>
            <v:textbox>
              <w:txbxContent>
                <w:p>
                  <w:pPr>
                    <w:widowControl/>
                    <w:jc w:val="center"/>
                    <w:rPr>
                      <w:rFonts w:ascii="黑体" w:hAnsi="黑体" w:eastAsia="黑体" w:cs="黑体"/>
                      <w:color w:val="000000" w:themeColor="text1"/>
                      <w:sz w:val="96"/>
                      <w:szCs w:val="96"/>
                    </w:rPr>
                  </w:pPr>
                </w:p>
                <w:p>
                  <w:pPr>
                    <w:widowControl/>
                    <w:jc w:val="center"/>
                    <w:rPr>
                      <w:rFonts w:ascii="黑体" w:hAnsi="黑体" w:eastAsia="黑体" w:cs="黑体"/>
                      <w:color w:val="000000" w:themeColor="text1"/>
                      <w:sz w:val="96"/>
                      <w:szCs w:val="96"/>
                    </w:rPr>
                  </w:pPr>
                </w:p>
              </w:txbxContent>
            </v:textbox>
          </v:shape>
        </w:pic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w:pict>
          <v:shape id="_x0000_s1030" o:spid="_x0000_s1030" o:spt="202" type="#_x0000_t202" style="position:absolute;left:0pt;margin-left:-90.8pt;margin-top:4.35pt;height:263.1pt;width:613.65pt;z-index:251660288;v-text-anchor:middle;mso-width-relative:page;mso-height-relative:page;" fillcolor="#FFD966" filled="t" stroked="t" coordsize="21600,21600" o:gfxdata="UEsDBAoAAAAAAIdO4kAAAAAAAAAAAAAAAAAEAAAAZHJzL1BLAwQUAAAACACHTuJApYBMOtwAAAAL&#10;AQAADwAAAGRycy9kb3ducmV2LnhtbE2PwU7DMAyG70i8Q2QkLmhLCltXStMdJiEhJCQYHOCWNqYp&#10;a5ySZN14e7IT3Gz50+/vr9ZHO7AJfegdScjmAhhS63RPnYS31/tZASxERVoNjlDCDwZY1+dnlSq1&#10;O9ALTtvYsRRCoVQSTIxjyXloDVoV5m5ESrdP562KafUd114dUrgd+LUQObeqp/TBqBE3Btvddm8l&#10;PD89Xr23H5SvRG6+poddY743XsrLi0zcAYt4jH8wnPSTOtTJqXF70oENEmZZkeWJlVCsgJ0AsVim&#10;qZGwvFncAq8r/r9D/QtQSwMEFAAAAAgAh07iQK8VPJBc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c5pkSzCkPaf/u6//5z/+MLiUZQVFs/&#10;AfLRAhua16YB/Gj3MMbOG+mq+I2eCPwge3ciWDSBcBjH46t+fzikhMPX7w96/XEaQfb0c+t8eCNM&#10;RaKQU4cJJmLZduEDSgH0CInZLAthXirVwi0PwwSXq1uVyvJutYRItgwbMJ/fXY1GsXKEOUGWz2Dn&#10;+LTYFhKTtwljcqVJndNRf9hNOb1RZRGLib7n857BEE9pFBP5PfAYpdAsm5b0pSl24NyZw+J6y+cl&#10;eFkwHx6Yw6aCZlxfuMcjlUE1ppUoWRv3+W/2iMcCwUtJjc3Pqf+0YU5Qot5qrNZVbzCIp5KUwXB8&#10;AcWde5bnHr2pbg2o7eHOLU9ixAd1FKUz1Ucc6SxmhYtpjtw55cEdldtwuEicORezWYLhPED1Qj9a&#10;HoNHSrWZbYKRZVqDSNSBnZY/HEgaa3vM8QLP9YR6+suZ/gJ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DRBAAAW0NvbnRlbnRfVHlwZXNdLnhtbFBL&#10;AQIUAAoAAAAAAIdO4kAAAAAAAAAAAAAAAAAGAAAAAAAAAAAAEAAAALMDAABfcmVscy9QSwECFAAU&#10;AAAACACHTuJAihRmPNEAAACUAQAACwAAAAAAAAABACAAAADXAwAAX3JlbHMvLnJlbHNQSwECFAAK&#10;AAAAAACHTuJAAAAAAAAAAAAAAAAABAAAAAAAAAAAABAAAAAAAAAAZHJzL1BLAQIUABQAAAAIAIdO&#10;4kClgEw63AAAAAsBAAAPAAAAAAAAAAEAIAAAACIAAABkcnMvZG93bnJldi54bWxQSwECFAAUAAAA&#10;CACHTuJArxU8kFwCAAC6BAAADgAAAAAAAAABACAAAAArAQAAZHJzL2Uyb0RvYy54bWxQSwUGAAAA&#10;AAYABgBZAQAA+QUAAAAA&#10;">
            <v:path/>
            <v:fill type="pattern" on="t"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第二部分 </w:t>
                  </w:r>
                </w:p>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2019年部门决算情况说明</w:t>
                  </w:r>
                </w:p>
                <w:p/>
              </w:txbxContent>
            </v:textbox>
          </v:shape>
        </w:pict>
      </w: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本部门2019年度收支总计（含结转和结余）1724.33万元。与2018年度决算相比，收支各增加338.57万元，增长24.4%，主要原因是商品和服务支出和劳务费的增加。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本部门2019年度本年收入合计1627.83万元，其中：财政拨款收入1623.83万元，占99.75%；事业收入0万元，占0%；经营收入0万元，占0%；其他收入4万元，占0.25%。如图所示：</w:t>
      </w:r>
    </w:p>
    <w:p>
      <w:pPr>
        <w:adjustRightInd w:val="0"/>
        <w:snapToGrid w:val="0"/>
        <w:spacing w:line="580" w:lineRule="exact"/>
        <w:rPr>
          <w:sz w:val="32"/>
        </w:rPr>
      </w:pPr>
      <w:r>
        <w:drawing>
          <wp:anchor distT="0" distB="0" distL="114300" distR="114300" simplePos="0" relativeHeight="251650048" behindDoc="0" locked="0" layoutInCell="1" allowOverlap="1">
            <wp:simplePos x="0" y="0"/>
            <wp:positionH relativeFrom="column">
              <wp:posOffset>752475</wp:posOffset>
            </wp:positionH>
            <wp:positionV relativeFrom="paragraph">
              <wp:posOffset>361315</wp:posOffset>
            </wp:positionV>
            <wp:extent cx="3966845" cy="2353310"/>
            <wp:effectExtent l="0" t="0" r="14605" b="8890"/>
            <wp:wrapTopAndBottom/>
            <wp:docPr id="2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
                    <pic:cNvPicPr>
                      <a:picLocks noChangeAspect="1"/>
                    </pic:cNvPicPr>
                  </pic:nvPicPr>
                  <pic:blipFill>
                    <a:blip r:embed="rId25"/>
                    <a:stretch>
                      <a:fillRect/>
                    </a:stretch>
                  </pic:blipFill>
                  <pic:spPr>
                    <a:xfrm>
                      <a:off x="0" y="0"/>
                      <a:ext cx="3966845" cy="2353310"/>
                    </a:xfrm>
                    <a:prstGeom prst="rect">
                      <a:avLst/>
                    </a:prstGeom>
                    <a:noFill/>
                    <a:ln w="9525">
                      <a:noFill/>
                      <a:miter/>
                    </a:ln>
                  </pic:spPr>
                </pic:pic>
              </a:graphicData>
            </a:graphic>
          </wp:anchor>
        </w:drawing>
      </w:r>
    </w:p>
    <w:p>
      <w:pPr>
        <w:adjustRightInd w:val="0"/>
        <w:snapToGrid w:val="0"/>
        <w:spacing w:line="580" w:lineRule="exact"/>
        <w:ind w:firstLine="1920" w:firstLineChars="600"/>
        <w:rPr>
          <w:sz w:val="32"/>
        </w:rPr>
      </w:pPr>
    </w:p>
    <w:p>
      <w:pPr>
        <w:keepNext/>
        <w:keepLines/>
        <w:snapToGrid w:val="0"/>
        <w:spacing w:line="580" w:lineRule="exact"/>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本部门2019年度本年支出合计1680.46万元，其中：基本支出1543.33万元，占91.8%；项目支出137.13万元，占8.2%；经营支出0万元，占0%。如图所示：</w:t>
      </w:r>
    </w:p>
    <w:p>
      <w:pPr>
        <w:adjustRightInd w:val="0"/>
        <w:snapToGrid w:val="0"/>
        <w:spacing w:line="580" w:lineRule="exact"/>
        <w:ind w:firstLine="1928" w:firstLineChars="600"/>
        <w:rPr>
          <w:rFonts w:ascii="黑体" w:hAnsi="Calibri" w:eastAsia="黑体" w:cs="Times New Roman"/>
          <w:b/>
          <w:bCs/>
          <w:sz w:val="32"/>
          <w:szCs w:val="32"/>
        </w:rPr>
      </w:pPr>
    </w:p>
    <w:p>
      <w:pPr>
        <w:keepNext/>
        <w:keepLines/>
        <w:snapToGrid w:val="0"/>
        <w:spacing w:line="580" w:lineRule="exact"/>
        <w:ind w:firstLine="643" w:firstLineChars="200"/>
        <w:outlineLvl w:val="1"/>
        <w:rPr>
          <w:rFonts w:ascii="黑体" w:hAnsi="Calibri" w:eastAsia="黑体" w:cs="Times New Roman"/>
          <w:b/>
          <w:bCs/>
          <w:sz w:val="32"/>
          <w:szCs w:val="32"/>
        </w:rPr>
      </w:pPr>
    </w:p>
    <w:p>
      <w:pPr>
        <w:keepNext/>
        <w:keepLines/>
        <w:snapToGrid w:val="0"/>
        <w:spacing w:line="580" w:lineRule="exact"/>
        <w:ind w:firstLine="420" w:firstLineChars="200"/>
        <w:outlineLvl w:val="1"/>
        <w:rPr>
          <w:rFonts w:ascii="黑体" w:hAnsi="Calibri" w:eastAsia="黑体" w:cs="Times New Roman"/>
          <w:sz w:val="32"/>
          <w:szCs w:val="32"/>
        </w:rPr>
      </w:pPr>
      <w:r>
        <w:drawing>
          <wp:anchor distT="0" distB="0" distL="114300" distR="114300" simplePos="0" relativeHeight="251651072" behindDoc="0" locked="0" layoutInCell="1" allowOverlap="1">
            <wp:simplePos x="0" y="0"/>
            <wp:positionH relativeFrom="column">
              <wp:posOffset>770890</wp:posOffset>
            </wp:positionH>
            <wp:positionV relativeFrom="paragraph">
              <wp:posOffset>278130</wp:posOffset>
            </wp:positionV>
            <wp:extent cx="3884295" cy="2304415"/>
            <wp:effectExtent l="0" t="0" r="1905" b="635"/>
            <wp:wrapTopAndBottom/>
            <wp:docPr id="30"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2"/>
                    <pic:cNvPicPr>
                      <a:picLocks noChangeAspect="1"/>
                    </pic:cNvPicPr>
                  </pic:nvPicPr>
                  <pic:blipFill>
                    <a:blip r:embed="rId26"/>
                    <a:stretch>
                      <a:fillRect/>
                    </a:stretch>
                  </pic:blipFill>
                  <pic:spPr>
                    <a:xfrm>
                      <a:off x="0" y="0"/>
                      <a:ext cx="3884295" cy="2304415"/>
                    </a:xfrm>
                    <a:prstGeom prst="rect">
                      <a:avLst/>
                    </a:prstGeom>
                    <a:noFill/>
                    <a:ln w="9525">
                      <a:noFill/>
                      <a:miter/>
                    </a:ln>
                  </pic:spPr>
                </pic:pic>
              </a:graphicData>
            </a:graphic>
          </wp:anchor>
        </w:drawing>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580" w:lineRule="exact"/>
        <w:ind w:firstLine="643" w:firstLine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（一）财政拨款收支与2018 年度决算对比情况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形成的财政拨款收支均为一般公共预算财政拨款，其中本年收入1623.83万元,比2018年度增加261.57万元，增长19.2%，主要是一般性公共预算财政拨款增加；本年支出1663.51万元，增加374.25万元，增长29%，主要是案件和人员增加引起的商品和服务支出、邮电费以及劳务费的大幅增长。</w:t>
      </w:r>
    </w:p>
    <w:p>
      <w:pPr>
        <w:adjustRightInd w:val="0"/>
        <w:snapToGrid w:val="0"/>
        <w:spacing w:line="580" w:lineRule="exact"/>
        <w:ind w:firstLine="420" w:firstLineChars="200"/>
        <w:rPr>
          <w:rFonts w:ascii="仿宋_GB2312" w:hAnsi="Times New Roman" w:eastAsia="仿宋_GB2312" w:cs="DengXian-Regular"/>
          <w:sz w:val="32"/>
          <w:szCs w:val="32"/>
          <w:highlight w:val="yellow"/>
        </w:rPr>
      </w:pPr>
      <w:r>
        <w:drawing>
          <wp:anchor distT="0" distB="0" distL="114300" distR="114300" simplePos="0" relativeHeight="251652096" behindDoc="0" locked="0" layoutInCell="1" allowOverlap="1">
            <wp:simplePos x="0" y="0"/>
            <wp:positionH relativeFrom="column">
              <wp:posOffset>347345</wp:posOffset>
            </wp:positionH>
            <wp:positionV relativeFrom="paragraph">
              <wp:posOffset>1092200</wp:posOffset>
            </wp:positionV>
            <wp:extent cx="4572000" cy="2743200"/>
            <wp:effectExtent l="4445" t="4445" r="14605" b="14605"/>
            <wp:wrapTopAndBottom/>
            <wp:docPr id="37"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p>
    <w:p>
      <w:pPr>
        <w:snapToGrid w:val="0"/>
        <w:spacing w:line="580" w:lineRule="exact"/>
        <w:rPr>
          <w:rFonts w:ascii="楷体_GB2312" w:hAnsi="Times New Roman" w:eastAsia="楷体_GB2312" w:cs="DengXian-Bold"/>
          <w:b/>
          <w:bCs/>
          <w:sz w:val="32"/>
          <w:szCs w:val="32"/>
        </w:rPr>
      </w:pPr>
    </w:p>
    <w:p>
      <w:pPr>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（二）财政拨款收支与年初预算数对比情况</w:t>
      </w:r>
    </w:p>
    <w:p>
      <w:pPr>
        <w:adjustRightInd w:val="0"/>
        <w:snapToGrid w:val="0"/>
        <w:spacing w:line="580" w:lineRule="exact"/>
        <w:ind w:firstLine="640" w:firstLineChars="200"/>
        <w:rPr>
          <w:rFonts w:ascii="仿宋_GB2312" w:hAnsi="Times New Roman" w:eastAsia="仿宋_GB2312" w:cs="DengXian-Regular"/>
          <w:sz w:val="32"/>
          <w:szCs w:val="32"/>
          <w:highlight w:val="yellow"/>
        </w:rPr>
      </w:pPr>
      <w:r>
        <w:rPr>
          <w:rFonts w:hint="eastAsia" w:ascii="仿宋_GB2312" w:hAnsi="Times New Roman" w:eastAsia="仿宋_GB2312" w:cs="DengXian-Regular"/>
          <w:sz w:val="32"/>
          <w:szCs w:val="32"/>
        </w:rPr>
        <w:t>本部门2019年度一般公共预算财政拨款收入1623.83万元，完成年初预算的114.6%,比年初预算增加206.96万元，决算数大于预算数主要原因是</w:t>
      </w:r>
      <w:bookmarkStart w:id="0" w:name="_GoBack"/>
      <w:bookmarkEnd w:id="0"/>
      <w:r>
        <w:rPr>
          <w:rFonts w:hint="eastAsia" w:ascii="仿宋_GB2312" w:hAnsi="Times New Roman" w:eastAsia="仿宋_GB2312" w:cs="DengXian-Regular"/>
          <w:sz w:val="32"/>
          <w:szCs w:val="32"/>
        </w:rPr>
        <w:t>2019年新招录数名公务员而且案件增多，人员经费和办公经费均有小幅度增长；本年支出1663.51万元，完成年初预算的117.4%,比年初预算增加246.64万元，决算数大于预算数主要原因是主要是由于2019年新招录数名公务员而且案件增多，人员经费和办公经费均有小幅度增长。</w:t>
      </w:r>
    </w:p>
    <w:p>
      <w:pPr>
        <w:numPr>
          <w:ilvl w:val="0"/>
          <w:numId w:val="1"/>
        </w:numPr>
        <w:adjustRightInd w:val="0"/>
        <w:snapToGrid w:val="0"/>
        <w:spacing w:line="580" w:lineRule="exact"/>
        <w:ind w:left="420" w:leftChars="200"/>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财政拨款支出决算结构情况。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年度财政拨款支出1663.51万元，主要用于以下方面公共安全类（类）支出1474.63万元，占88.65%；社会保障和就业（类）支出 156.73万元，占9.42%；卫生健康（类）支出32.15万元，占 1.93%。</w:t>
      </w:r>
    </w:p>
    <w:p>
      <w:pPr>
        <w:adjustRightInd w:val="0"/>
        <w:snapToGrid w:val="0"/>
        <w:spacing w:line="580" w:lineRule="exact"/>
        <w:rPr>
          <w:sz w:val="32"/>
        </w:rPr>
      </w:pPr>
    </w:p>
    <w:p>
      <w:pPr>
        <w:adjustRightInd w:val="0"/>
        <w:snapToGrid w:val="0"/>
        <w:spacing w:line="580" w:lineRule="exact"/>
        <w:rPr>
          <w:rFonts w:ascii="楷体_GB2312" w:hAnsi="Times New Roman" w:eastAsia="楷体_GB2312" w:cs="DengXian-Bold"/>
          <w:b/>
          <w:bCs/>
          <w:sz w:val="32"/>
          <w:szCs w:val="32"/>
        </w:rPr>
      </w:pPr>
      <w:r>
        <w:drawing>
          <wp:anchor distT="0" distB="0" distL="114300" distR="114300" simplePos="0" relativeHeight="251653120" behindDoc="0" locked="0" layoutInCell="1" allowOverlap="1">
            <wp:simplePos x="0" y="0"/>
            <wp:positionH relativeFrom="column">
              <wp:posOffset>638175</wp:posOffset>
            </wp:positionH>
            <wp:positionV relativeFrom="paragraph">
              <wp:posOffset>167005</wp:posOffset>
            </wp:positionV>
            <wp:extent cx="4384040" cy="2600960"/>
            <wp:effectExtent l="0" t="0" r="16510" b="8890"/>
            <wp:wrapTopAndBottom/>
            <wp:docPr id="10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 name="图片 3"/>
                    <pic:cNvPicPr>
                      <a:picLocks noChangeAspect="1"/>
                    </pic:cNvPicPr>
                  </pic:nvPicPr>
                  <pic:blipFill>
                    <a:blip r:embed="rId28"/>
                    <a:stretch>
                      <a:fillRect/>
                    </a:stretch>
                  </pic:blipFill>
                  <pic:spPr>
                    <a:xfrm>
                      <a:off x="0" y="0"/>
                      <a:ext cx="4384040" cy="2600960"/>
                    </a:xfrm>
                    <a:prstGeom prst="rect">
                      <a:avLst/>
                    </a:prstGeom>
                    <a:noFill/>
                    <a:ln w="9525">
                      <a:noFill/>
                      <a:miter/>
                    </a:ln>
                  </pic:spPr>
                </pic:pic>
              </a:graphicData>
            </a:graphic>
          </wp:anchor>
        </w:drawing>
      </w:r>
    </w:p>
    <w:p>
      <w:pPr>
        <w:adjustRightInd w:val="0"/>
        <w:snapToGrid w:val="0"/>
        <w:spacing w:line="580" w:lineRule="exact"/>
        <w:ind w:left="420" w:leftChars="200"/>
        <w:rPr>
          <w:rFonts w:ascii="仿宋_GB2312" w:hAnsi="Times New Roman" w:eastAsia="仿宋_GB2312" w:cs="DengXian-Regular"/>
          <w:sz w:val="32"/>
          <w:szCs w:val="32"/>
          <w:highlight w:val="yellow"/>
        </w:rPr>
      </w:pPr>
      <w:r>
        <w:rPr>
          <w:rFonts w:hint="eastAsia" w:ascii="楷体_GB2312" w:hAnsi="Times New Roman" w:eastAsia="楷体_GB2312" w:cs="DengXian-Bold"/>
          <w:b/>
          <w:bCs/>
          <w:sz w:val="32"/>
          <w:szCs w:val="32"/>
        </w:rPr>
        <w:t>（四）一般公共预算基本支出决算情况说明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2019 年度财政拨款基本支出1526.38万元，其中：人员经费 956.13万元，主要包括基本工资、津贴补贴、奖金、绩效工资、机关事业单位基本养老保险缴费、职业年金缴费、职工基本医疗保险缴费、其他社会保障缴费、其他工资福利支出、退休费、生活补助；公用经费 570.25万元，主要包括办公费、印刷费、水费、电费、邮电费、取暖费、差旅费、维修（护）费、培训费、劳务费、工会经费、公务用车运行维护费、其他交通费用、其他商品和服务支出、办公设备购置、专用设备购置、信息网络及软件购置更新。</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三公”经费支出共计1.8万元，完成预算的60%,较预算减少1.2万元，降低40%，主要是公务用车运行维护费支出较少；较2018年度减少16.7万元，降低90.2%，主要是上年度公务用车运行维护费过高。具体情况如下：</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（一）因公出国（境）费支出未发生，无增减变化。</w:t>
      </w:r>
      <w:r>
        <w:rPr>
          <w:rFonts w:hint="eastAsia" w:ascii="仿宋_GB2312" w:hAnsi="Times New Roman" w:eastAsia="仿宋_GB2312" w:cs="DengXian-Regular"/>
          <w:sz w:val="32"/>
          <w:szCs w:val="32"/>
        </w:rPr>
        <w:t>本部门2019年度因公出国（境）团组未发生。因公出国（境）费支出较年度预算持平无增减变化。与上年增加0万元，</w:t>
      </w:r>
    </w:p>
    <w:p>
      <w:pPr>
        <w:adjustRightInd w:val="0"/>
        <w:snapToGrid w:val="0"/>
        <w:spacing w:line="580" w:lineRule="exact"/>
        <w:ind w:firstLine="643" w:firstLineChars="200"/>
        <w:rPr>
          <w:rFonts w:ascii="仿宋_GB2312" w:hAnsi="Times New Roman" w:eastAsia="仿宋_GB2312" w:cs="DengXian-Bold"/>
          <w:b/>
          <w:bCs/>
          <w:sz w:val="32"/>
          <w:szCs w:val="32"/>
        </w:rPr>
      </w:pPr>
      <w:r>
        <w:rPr>
          <w:rFonts w:hint="eastAsia" w:ascii="楷体_GB2312" w:hAnsi="Times New Roman" w:eastAsia="楷体_GB2312" w:cs="DengXian-Bold"/>
          <w:b/>
          <w:bCs/>
          <w:sz w:val="32"/>
          <w:szCs w:val="32"/>
        </w:rPr>
        <w:t>（二）公务用车购置及运行维护费支出1.8万元。</w:t>
      </w:r>
      <w:r>
        <w:rPr>
          <w:rFonts w:hint="eastAsia" w:ascii="仿宋_GB2312" w:hAnsi="Times New Roman" w:eastAsia="仿宋_GB2312" w:cs="DengXian-Regular"/>
          <w:sz w:val="32"/>
          <w:szCs w:val="32"/>
        </w:rPr>
        <w:t>本部门2019年度公务用车购置及运行维护费较预算减少1.2万元，降低40%,主要是2019年公务用车维修保养较少；较上年减少16.7万元，降低90.2%,主要是上年度公务用车运行维护费过高。</w:t>
      </w:r>
      <w:r>
        <w:rPr>
          <w:rFonts w:hint="eastAsia" w:ascii="仿宋_GB2312" w:hAnsi="Times New Roman" w:eastAsia="仿宋_GB2312" w:cs="DengXian-Bold"/>
          <w:b/>
          <w:bCs/>
          <w:sz w:val="32"/>
          <w:szCs w:val="32"/>
        </w:rPr>
        <w:t>其中：</w:t>
      </w:r>
    </w:p>
    <w:p>
      <w:pPr>
        <w:adjustRightInd w:val="0"/>
        <w:snapToGrid w:val="0"/>
        <w:spacing w:line="580" w:lineRule="exact"/>
        <w:ind w:firstLine="643" w:firstLineChars="200"/>
        <w:rPr>
          <w:rFonts w:ascii="仿宋_GB2312" w:hAnsi="Times New Roman" w:eastAsia="仿宋_GB2312" w:cs="DengXian-Regular"/>
          <w:color w:val="000000"/>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本部门2019年度公务用车购置量未发生，发生“公务用车购置”经费支出未发生。公务用车购置费支出较预算持平无增减变化，较2018年度决算数持平。</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2019年度单位公务用车保有量17辆。公车运行维护费支出较预算增加减少1.2万元，增长降低40%,主要是2019年公务用车维修保养较少；较上年减少16.7万元，降低90.2%，主要是上年度公务用车维修保养等维护次数较多，费用较高；并且今年的部分车辆作为执法执勤用车归于其他交通费用中。</w:t>
      </w:r>
    </w:p>
    <w:p>
      <w:pPr>
        <w:adjustRightInd w:val="0"/>
        <w:snapToGrid w:val="0"/>
        <w:spacing w:line="580" w:lineRule="exact"/>
        <w:ind w:firstLine="643" w:firstLineChars="200"/>
        <w:rPr>
          <w:rFonts w:ascii="仿宋_GB2312" w:hAnsi="Times New Roman" w:eastAsia="仿宋_GB2312" w:cs="DengXian-Regular"/>
          <w:sz w:val="32"/>
          <w:szCs w:val="32"/>
        </w:rPr>
      </w:pPr>
      <w:r>
        <w:rPr>
          <w:rFonts w:hint="eastAsia" w:ascii="楷体_GB2312" w:hAnsi="Times New Roman" w:eastAsia="楷体_GB2312" w:cs="DengXian-Bold"/>
          <w:b/>
          <w:bCs/>
          <w:sz w:val="32"/>
          <w:szCs w:val="32"/>
        </w:rPr>
        <w:t>（三）公务接待费支出未发生。</w:t>
      </w:r>
      <w:r>
        <w:rPr>
          <w:rFonts w:hint="eastAsia" w:ascii="仿宋_GB2312" w:hAnsi="Times New Roman" w:eastAsia="仿宋_GB2312" w:cs="DengXian-Regular"/>
          <w:sz w:val="32"/>
          <w:szCs w:val="32"/>
        </w:rPr>
        <w:t>本部门2019年度公务接待未发生。公务接待费支出较年度预算持平无增减变化，与2018年决算持平无增减变化。</w:t>
      </w:r>
    </w:p>
    <w:p>
      <w:pPr>
        <w:adjustRightInd w:val="0"/>
        <w:snapToGrid w:val="0"/>
        <w:spacing w:line="58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1. 预算绩效管理工作开展情况。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仿宋_GB2312" w:eastAsia="仿宋_GB2312" w:cs="仿宋_GB2312"/>
          <w:sz w:val="32"/>
          <w:szCs w:val="32"/>
        </w:rPr>
        <w:t>根据预算绩效管理要求，本部门组织对2019年度一般公共预算项目支出全面开展绩效自评，其中，共3个项目，涉及资金137.13万元，占一般公共预算项目支出总额的100%。</w:t>
      </w:r>
      <w:r>
        <w:rPr>
          <w:rFonts w:hint="eastAsia" w:ascii="仿宋_GB2312" w:hAnsi="Times New Roman" w:eastAsia="仿宋_GB2312" w:cs="DengXian-Regular"/>
          <w:sz w:val="32"/>
          <w:szCs w:val="32"/>
        </w:rPr>
        <w:t>对部门全面规范绩效预算编制、严格预算执行管理、推进绩效评价工作、推进预决算信息公开等方面进行了自评，考核结果为良好。</w:t>
      </w:r>
    </w:p>
    <w:p>
      <w:pPr>
        <w:adjustRightInd w:val="0"/>
        <w:snapToGrid w:val="0"/>
        <w:spacing w:line="580" w:lineRule="exact"/>
        <w:ind w:left="420" w:leftChars="200" w:firstLine="321" w:firstLineChars="1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2. 部门决算中项目绩效自评结果。</w:t>
      </w:r>
    </w:p>
    <w:p>
      <w:p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本部门在今年部门决算公开中反映提前下达2019年省级基层公检法司转移支付资金、提前下达2019年中央政法转移支付资金和提前下达2019年中央政法纪检监察转移支付资金3个项目绩效自评结果。</w:t>
      </w:r>
    </w:p>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提前下达2019年省级基层公检法司转移支付资金项目自评综述：根据年初设定的绩效目标，提前下达2019年省级基层公检法司转移支付资金项目绩效自评得分为96分（绩效自评表附后）。全年预算数为75万元，执行数为44.43万元，完成预算的59%。项目绩效目标完成情况：一是加强法院基础设施及信息化建设，推进信息公开，提升审判质效。；二是依法审判各项案件，高质高效完成年度各项工作。发现的主要问题及原因：一是项目执行率过低。下一步改进措施：加大项目进行速度和效率，保证项目顺利完成。</w:t>
      </w:r>
    </w:p>
    <w:p>
      <w:pPr>
        <w:adjustRightInd w:val="0"/>
        <w:snapToGrid w:val="0"/>
        <w:spacing w:line="580" w:lineRule="exact"/>
        <w:rPr>
          <w:rFonts w:ascii="仿宋_GB2312" w:hAnsi="仿宋_GB2312" w:eastAsia="仿宋_GB2312" w:cs="仿宋_GB2312"/>
          <w:sz w:val="32"/>
          <w:szCs w:val="32"/>
        </w:rPr>
      </w:pPr>
    </w:p>
    <w:tbl>
      <w:tblPr>
        <w:tblStyle w:val="7"/>
        <w:tblW w:w="9082" w:type="dxa"/>
        <w:jc w:val="center"/>
        <w:tblLayout w:type="fixed"/>
        <w:tblCellMar>
          <w:top w:w="0" w:type="dxa"/>
          <w:left w:w="108" w:type="dxa"/>
          <w:bottom w:w="0" w:type="dxa"/>
          <w:right w:w="108" w:type="dxa"/>
        </w:tblCellMar>
      </w:tblPr>
      <w:tblGrid>
        <w:gridCol w:w="588"/>
        <w:gridCol w:w="604"/>
        <w:gridCol w:w="376"/>
        <w:gridCol w:w="629"/>
        <w:gridCol w:w="1213"/>
        <w:gridCol w:w="2010"/>
        <w:gridCol w:w="960"/>
        <w:gridCol w:w="432"/>
        <w:gridCol w:w="567"/>
        <w:gridCol w:w="1703"/>
      </w:tblGrid>
      <w:tr>
        <w:tblPrEx>
          <w:tblCellMar>
            <w:top w:w="0" w:type="dxa"/>
            <w:left w:w="108" w:type="dxa"/>
            <w:bottom w:w="0" w:type="dxa"/>
            <w:right w:w="108" w:type="dxa"/>
          </w:tblCellMar>
        </w:tblPrEx>
        <w:trPr>
          <w:trHeight w:val="454" w:hRule="exact"/>
          <w:jc w:val="center"/>
        </w:trPr>
        <w:tc>
          <w:tcPr>
            <w:tcW w:w="9082" w:type="dxa"/>
            <w:gridSpan w:val="10"/>
            <w:shd w:val="clear" w:color="auto" w:fill="auto"/>
            <w:vAlign w:val="center"/>
          </w:tcPr>
          <w:p>
            <w:pPr>
              <w:widowControl/>
              <w:spacing w:line="320" w:lineRule="exact"/>
              <w:jc w:val="center"/>
              <w:rPr>
                <w:rFonts w:ascii="宋体" w:hAnsi="宋体" w:eastAsia="宋体" w:cs="宋体"/>
                <w:b/>
                <w:kern w:val="0"/>
                <w:sz w:val="32"/>
                <w:szCs w:val="32"/>
              </w:rPr>
            </w:pPr>
            <w:r>
              <w:rPr>
                <w:rFonts w:hint="eastAsia" w:ascii="宋体" w:hAnsi="宋体" w:eastAsia="宋体" w:cs="宋体"/>
                <w:b/>
                <w:kern w:val="0"/>
                <w:sz w:val="32"/>
                <w:szCs w:val="32"/>
              </w:rPr>
              <w:t>无极县人民法院2019年项目绩效目标自评表</w:t>
            </w:r>
          </w:p>
        </w:tc>
      </w:tr>
      <w:tr>
        <w:tblPrEx>
          <w:tblCellMar>
            <w:top w:w="0" w:type="dxa"/>
            <w:left w:w="108" w:type="dxa"/>
            <w:bottom w:w="0" w:type="dxa"/>
            <w:right w:w="108" w:type="dxa"/>
          </w:tblCellMar>
        </w:tblPrEx>
        <w:trPr>
          <w:trHeight w:val="201" w:hRule="atLeast"/>
          <w:jc w:val="center"/>
        </w:trPr>
        <w:tc>
          <w:tcPr>
            <w:tcW w:w="9082" w:type="dxa"/>
            <w:gridSpan w:val="10"/>
            <w:shd w:val="clear" w:color="auto" w:fill="auto"/>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515" w:hRule="exact"/>
          <w:jc w:val="center"/>
        </w:trPr>
        <w:tc>
          <w:tcPr>
            <w:tcW w:w="156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转移支付（项目）名称</w:t>
            </w:r>
          </w:p>
        </w:tc>
        <w:tc>
          <w:tcPr>
            <w:tcW w:w="7514" w:type="dxa"/>
            <w:gridSpan w:val="7"/>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提前下达2019年省级基层公检法司转移支付资金</w:t>
            </w:r>
          </w:p>
        </w:tc>
      </w:tr>
      <w:tr>
        <w:tblPrEx>
          <w:tblCellMar>
            <w:top w:w="0" w:type="dxa"/>
            <w:left w:w="108" w:type="dxa"/>
            <w:bottom w:w="0" w:type="dxa"/>
            <w:right w:w="108" w:type="dxa"/>
          </w:tblCellMar>
        </w:tblPrEx>
        <w:trPr>
          <w:trHeight w:val="300" w:hRule="exact"/>
          <w:jc w:val="center"/>
        </w:trPr>
        <w:tc>
          <w:tcPr>
            <w:tcW w:w="156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中央主管部门</w:t>
            </w:r>
          </w:p>
        </w:tc>
        <w:tc>
          <w:tcPr>
            <w:tcW w:w="3852"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3662" w:type="dxa"/>
            <w:gridSpan w:val="4"/>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地方主管部门</w:t>
            </w:r>
          </w:p>
        </w:tc>
        <w:tc>
          <w:tcPr>
            <w:tcW w:w="3852"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无极县人民法院</w:t>
            </w:r>
          </w:p>
        </w:tc>
        <w:tc>
          <w:tcPr>
            <w:tcW w:w="1392"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7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无极县人民法院</w:t>
            </w:r>
          </w:p>
        </w:tc>
      </w:tr>
      <w:tr>
        <w:tblPrEx>
          <w:tblCellMar>
            <w:top w:w="0" w:type="dxa"/>
            <w:left w:w="108" w:type="dxa"/>
            <w:bottom w:w="0" w:type="dxa"/>
            <w:right w:w="108" w:type="dxa"/>
          </w:tblCellMar>
        </w:tblPrEx>
        <w:trPr>
          <w:trHeight w:val="335" w:hRule="exact"/>
          <w:jc w:val="center"/>
        </w:trPr>
        <w:tc>
          <w:tcPr>
            <w:tcW w:w="1568"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全年预算数（A)</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全年执行数（B）</w:t>
            </w:r>
          </w:p>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预算执行率(B/A)</w:t>
            </w:r>
          </w:p>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75</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44.43</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59%</w:t>
            </w: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其中：中央补助</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75</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44.43</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59%</w:t>
            </w: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地方资金</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4832" w:type="dxa"/>
            <w:gridSpan w:val="5"/>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年初设定目标</w:t>
            </w:r>
          </w:p>
        </w:tc>
        <w:tc>
          <w:tcPr>
            <w:tcW w:w="3662" w:type="dxa"/>
            <w:gridSpan w:val="4"/>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4832" w:type="dxa"/>
            <w:gridSpan w:val="5"/>
            <w:tcBorders>
              <w:top w:val="single" w:color="auto" w:sz="4" w:space="0"/>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加强法院基础设施及信息化建设，推进信息公开，提升审判质效。</w:t>
            </w:r>
          </w:p>
        </w:tc>
        <w:tc>
          <w:tcPr>
            <w:tcW w:w="3662" w:type="dxa"/>
            <w:gridSpan w:val="4"/>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依法审判各项案件，高质高效完成年度各项工作。</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bottom w:val="nil"/>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6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005"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年度指标值</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未完成原因和改进措施</w:t>
            </w: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005"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案件结案率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95.31%</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审限结案率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98.98%</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案件执结率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91.41%</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审判流程公开率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139.2%</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案件信息合规率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color w:val="000000"/>
                <w:kern w:val="0"/>
                <w:sz w:val="18"/>
                <w:szCs w:val="18"/>
              </w:rPr>
              <w:t>……</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一审上诉率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8.41%</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改判发回重审率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0.39%</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民事案件调解撤诉率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52%</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color w:val="000000"/>
                <w:kern w:val="0"/>
                <w:sz w:val="18"/>
                <w:szCs w:val="18"/>
              </w:rPr>
              <w:t>……</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群众满意度</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color w:val="000000"/>
                <w:kern w:val="0"/>
                <w:sz w:val="18"/>
                <w:szCs w:val="18"/>
              </w:rPr>
              <w:t>……</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说明</w:t>
            </w:r>
          </w:p>
        </w:tc>
        <w:tc>
          <w:tcPr>
            <w:tcW w:w="8494" w:type="dxa"/>
            <w:gridSpan w:val="9"/>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提前下达2019年中央政法转移支付资金项目自评综述：根据年初设定的绩效目标，提前下达2019年中央政法转移支付资金项目绩效自评得分为97分（绩效自评表附后）。全年预算数为154万元，执行数为89.3万元，完成预算的58%。项目绩效目标完成情况：一是加强法院基础设施及信息化建设，推进信息公开，提升审判质效。；二是依法审判各项案件，高质高效完成年度各项工作。发现的主要问题及原因：一是项目执行率过低。下一步改进措施：加大项目进行速度和效率，保证项目顺利完成。</w:t>
      </w:r>
    </w:p>
    <w:p>
      <w:pPr>
        <w:adjustRightInd w:val="0"/>
        <w:snapToGrid w:val="0"/>
        <w:spacing w:line="580" w:lineRule="exact"/>
        <w:rPr>
          <w:rFonts w:ascii="仿宋_GB2312" w:hAnsi="仿宋_GB2312" w:eastAsia="仿宋_GB2312" w:cs="仿宋_GB2312"/>
          <w:sz w:val="32"/>
          <w:szCs w:val="32"/>
        </w:rPr>
      </w:pPr>
    </w:p>
    <w:tbl>
      <w:tblPr>
        <w:tblStyle w:val="7"/>
        <w:tblW w:w="9082" w:type="dxa"/>
        <w:jc w:val="center"/>
        <w:tblLayout w:type="fixed"/>
        <w:tblCellMar>
          <w:top w:w="0" w:type="dxa"/>
          <w:left w:w="108" w:type="dxa"/>
          <w:bottom w:w="0" w:type="dxa"/>
          <w:right w:w="108" w:type="dxa"/>
        </w:tblCellMar>
      </w:tblPr>
      <w:tblGrid>
        <w:gridCol w:w="588"/>
        <w:gridCol w:w="604"/>
        <w:gridCol w:w="376"/>
        <w:gridCol w:w="629"/>
        <w:gridCol w:w="1213"/>
        <w:gridCol w:w="2010"/>
        <w:gridCol w:w="960"/>
        <w:gridCol w:w="432"/>
        <w:gridCol w:w="567"/>
        <w:gridCol w:w="1703"/>
      </w:tblGrid>
      <w:tr>
        <w:tblPrEx>
          <w:tblCellMar>
            <w:top w:w="0" w:type="dxa"/>
            <w:left w:w="108" w:type="dxa"/>
            <w:bottom w:w="0" w:type="dxa"/>
            <w:right w:w="108" w:type="dxa"/>
          </w:tblCellMar>
        </w:tblPrEx>
        <w:trPr>
          <w:trHeight w:val="454" w:hRule="exact"/>
          <w:jc w:val="center"/>
        </w:trPr>
        <w:tc>
          <w:tcPr>
            <w:tcW w:w="9082" w:type="dxa"/>
            <w:gridSpan w:val="10"/>
            <w:shd w:val="clear" w:color="auto" w:fill="auto"/>
            <w:vAlign w:val="center"/>
          </w:tcPr>
          <w:p>
            <w:pPr>
              <w:widowControl/>
              <w:spacing w:line="320" w:lineRule="exact"/>
              <w:jc w:val="center"/>
              <w:rPr>
                <w:rFonts w:ascii="宋体" w:hAnsi="宋体" w:eastAsia="宋体" w:cs="宋体"/>
                <w:b/>
                <w:kern w:val="0"/>
                <w:sz w:val="32"/>
                <w:szCs w:val="32"/>
              </w:rPr>
            </w:pPr>
            <w:r>
              <w:rPr>
                <w:rFonts w:hint="eastAsia" w:ascii="宋体" w:hAnsi="宋体" w:eastAsia="宋体" w:cs="宋体"/>
                <w:b/>
                <w:kern w:val="0"/>
                <w:sz w:val="32"/>
                <w:szCs w:val="32"/>
              </w:rPr>
              <w:t>无极县人民法院2019年项目绩效目标自评表</w:t>
            </w:r>
          </w:p>
        </w:tc>
      </w:tr>
      <w:tr>
        <w:tblPrEx>
          <w:tblCellMar>
            <w:top w:w="0" w:type="dxa"/>
            <w:left w:w="108" w:type="dxa"/>
            <w:bottom w:w="0" w:type="dxa"/>
            <w:right w:w="108" w:type="dxa"/>
          </w:tblCellMar>
        </w:tblPrEx>
        <w:trPr>
          <w:trHeight w:val="201" w:hRule="atLeast"/>
          <w:jc w:val="center"/>
        </w:trPr>
        <w:tc>
          <w:tcPr>
            <w:tcW w:w="9082" w:type="dxa"/>
            <w:gridSpan w:val="10"/>
            <w:shd w:val="clear" w:color="auto" w:fill="auto"/>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515" w:hRule="exact"/>
          <w:jc w:val="center"/>
        </w:trPr>
        <w:tc>
          <w:tcPr>
            <w:tcW w:w="156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转移支付（项目）名称</w:t>
            </w:r>
          </w:p>
        </w:tc>
        <w:tc>
          <w:tcPr>
            <w:tcW w:w="7514" w:type="dxa"/>
            <w:gridSpan w:val="7"/>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提前下达2019年中央政法转移支付资金</w:t>
            </w:r>
          </w:p>
        </w:tc>
      </w:tr>
      <w:tr>
        <w:tblPrEx>
          <w:tblCellMar>
            <w:top w:w="0" w:type="dxa"/>
            <w:left w:w="108" w:type="dxa"/>
            <w:bottom w:w="0" w:type="dxa"/>
            <w:right w:w="108" w:type="dxa"/>
          </w:tblCellMar>
        </w:tblPrEx>
        <w:trPr>
          <w:trHeight w:val="300" w:hRule="exact"/>
          <w:jc w:val="center"/>
        </w:trPr>
        <w:tc>
          <w:tcPr>
            <w:tcW w:w="156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中央主管部门</w:t>
            </w:r>
          </w:p>
        </w:tc>
        <w:tc>
          <w:tcPr>
            <w:tcW w:w="3852"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3662" w:type="dxa"/>
            <w:gridSpan w:val="4"/>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地方主管部门</w:t>
            </w:r>
          </w:p>
        </w:tc>
        <w:tc>
          <w:tcPr>
            <w:tcW w:w="3852"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无极县人民法院</w:t>
            </w:r>
          </w:p>
        </w:tc>
        <w:tc>
          <w:tcPr>
            <w:tcW w:w="1392"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7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无极县人民法院</w:t>
            </w:r>
          </w:p>
        </w:tc>
      </w:tr>
      <w:tr>
        <w:tblPrEx>
          <w:tblCellMar>
            <w:top w:w="0" w:type="dxa"/>
            <w:left w:w="108" w:type="dxa"/>
            <w:bottom w:w="0" w:type="dxa"/>
            <w:right w:w="108" w:type="dxa"/>
          </w:tblCellMar>
        </w:tblPrEx>
        <w:trPr>
          <w:trHeight w:val="335" w:hRule="exact"/>
          <w:jc w:val="center"/>
        </w:trPr>
        <w:tc>
          <w:tcPr>
            <w:tcW w:w="1568"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全年预算数（A)</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全年执行数（B）</w:t>
            </w:r>
          </w:p>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预算执行率(B/A)</w:t>
            </w:r>
          </w:p>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154</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89.3</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58%</w:t>
            </w:r>
          </w:p>
        </w:tc>
      </w:tr>
      <w:tr>
        <w:tblPrEx>
          <w:tblCellMar>
            <w:top w:w="0" w:type="dxa"/>
            <w:left w:w="108" w:type="dxa"/>
            <w:bottom w:w="0" w:type="dxa"/>
            <w:right w:w="108" w:type="dxa"/>
          </w:tblCellMar>
        </w:tblPrEx>
        <w:trPr>
          <w:trHeight w:val="271"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其中：中央补助</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154</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89.3</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58%</w:t>
            </w: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地方资金</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4832" w:type="dxa"/>
            <w:gridSpan w:val="5"/>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年初设定目标</w:t>
            </w:r>
          </w:p>
        </w:tc>
        <w:tc>
          <w:tcPr>
            <w:tcW w:w="3662" w:type="dxa"/>
            <w:gridSpan w:val="4"/>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4832" w:type="dxa"/>
            <w:gridSpan w:val="5"/>
            <w:tcBorders>
              <w:top w:val="single" w:color="auto" w:sz="4" w:space="0"/>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加强法院基础设施及信息化建设，推进信息公开，提升审判质效。</w:t>
            </w:r>
          </w:p>
        </w:tc>
        <w:tc>
          <w:tcPr>
            <w:tcW w:w="3662" w:type="dxa"/>
            <w:gridSpan w:val="4"/>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依法审判各项案件，高质高效完成年度各项工作。</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bottom w:val="nil"/>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6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005"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年度指标值</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未完成原因和改进措施</w:t>
            </w: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005"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案件结案率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95.31%</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审限结案率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98.98%</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案件执结率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91.41%</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审判流程公开率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139.2%</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案件信息合规率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color w:val="000000"/>
                <w:kern w:val="0"/>
                <w:sz w:val="18"/>
                <w:szCs w:val="18"/>
              </w:rPr>
              <w:t>……</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一审上诉率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8.41%</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改判发回重审率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0.39%</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民事案件调解撤诉率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52%</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color w:val="000000"/>
                <w:kern w:val="0"/>
                <w:sz w:val="18"/>
                <w:szCs w:val="18"/>
              </w:rPr>
              <w:t>……</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群众满意度</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color w:val="000000"/>
                <w:kern w:val="0"/>
                <w:sz w:val="18"/>
                <w:szCs w:val="18"/>
              </w:rPr>
              <w:t>……</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说明</w:t>
            </w:r>
          </w:p>
        </w:tc>
        <w:tc>
          <w:tcPr>
            <w:tcW w:w="8494" w:type="dxa"/>
            <w:gridSpan w:val="9"/>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r>
    </w:tbl>
    <w:p>
      <w:pPr>
        <w:numPr>
          <w:ilvl w:val="0"/>
          <w:numId w:val="2"/>
        </w:numPr>
        <w:adjustRightInd w:val="0"/>
        <w:snapToGrid w:val="0"/>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提前下达2019年中央政法纪检监察转移支付资金项目自评综述：根据年初设定的绩效目标，提前下达2019年中央政法纪检监察转移支付资金项目绩效自评得分为95分（绩效自评表附后）。全年预算数为49万元，执行数为3.4万元，完成预算的7%。项目绩效目标完成情况：一是加强法院基础设施及信息化建设，推进信息公开，提升审判质效。；二是依法审判各项案件，高质高效完成年度各项工作。发现的主要问题及原因：一是项目执行率过低。下一步改进措施：加大项目进行速度和效率，保证项目顺利完成。</w:t>
      </w:r>
    </w:p>
    <w:p>
      <w:pPr>
        <w:adjustRightInd w:val="0"/>
        <w:snapToGrid w:val="0"/>
        <w:spacing w:line="580" w:lineRule="exact"/>
        <w:rPr>
          <w:rFonts w:ascii="仿宋_GB2312" w:hAnsi="仿宋_GB2312" w:eastAsia="仿宋_GB2312" w:cs="仿宋_GB2312"/>
          <w:sz w:val="32"/>
          <w:szCs w:val="32"/>
        </w:rPr>
      </w:pPr>
    </w:p>
    <w:tbl>
      <w:tblPr>
        <w:tblStyle w:val="7"/>
        <w:tblW w:w="9082" w:type="dxa"/>
        <w:jc w:val="center"/>
        <w:tblLayout w:type="fixed"/>
        <w:tblCellMar>
          <w:top w:w="0" w:type="dxa"/>
          <w:left w:w="108" w:type="dxa"/>
          <w:bottom w:w="0" w:type="dxa"/>
          <w:right w:w="108" w:type="dxa"/>
        </w:tblCellMar>
      </w:tblPr>
      <w:tblGrid>
        <w:gridCol w:w="588"/>
        <w:gridCol w:w="604"/>
        <w:gridCol w:w="376"/>
        <w:gridCol w:w="629"/>
        <w:gridCol w:w="1213"/>
        <w:gridCol w:w="2010"/>
        <w:gridCol w:w="960"/>
        <w:gridCol w:w="432"/>
        <w:gridCol w:w="567"/>
        <w:gridCol w:w="1703"/>
      </w:tblGrid>
      <w:tr>
        <w:tblPrEx>
          <w:tblCellMar>
            <w:top w:w="0" w:type="dxa"/>
            <w:left w:w="108" w:type="dxa"/>
            <w:bottom w:w="0" w:type="dxa"/>
            <w:right w:w="108" w:type="dxa"/>
          </w:tblCellMar>
        </w:tblPrEx>
        <w:trPr>
          <w:trHeight w:val="454" w:hRule="exact"/>
          <w:jc w:val="center"/>
        </w:trPr>
        <w:tc>
          <w:tcPr>
            <w:tcW w:w="9082" w:type="dxa"/>
            <w:gridSpan w:val="10"/>
            <w:shd w:val="clear" w:color="auto" w:fill="auto"/>
            <w:vAlign w:val="center"/>
          </w:tcPr>
          <w:p>
            <w:pPr>
              <w:widowControl/>
              <w:spacing w:line="320" w:lineRule="exact"/>
              <w:jc w:val="center"/>
              <w:rPr>
                <w:rFonts w:ascii="宋体" w:hAnsi="宋体" w:eastAsia="宋体" w:cs="宋体"/>
                <w:b/>
                <w:kern w:val="0"/>
                <w:sz w:val="32"/>
                <w:szCs w:val="32"/>
              </w:rPr>
            </w:pPr>
            <w:r>
              <w:rPr>
                <w:rFonts w:hint="eastAsia" w:ascii="宋体" w:hAnsi="宋体" w:eastAsia="宋体" w:cs="宋体"/>
                <w:b/>
                <w:kern w:val="0"/>
                <w:sz w:val="32"/>
                <w:szCs w:val="32"/>
              </w:rPr>
              <w:t>无极县人民法院2019年项目绩效目标自评表</w:t>
            </w:r>
          </w:p>
        </w:tc>
      </w:tr>
      <w:tr>
        <w:tblPrEx>
          <w:tblCellMar>
            <w:top w:w="0" w:type="dxa"/>
            <w:left w:w="108" w:type="dxa"/>
            <w:bottom w:w="0" w:type="dxa"/>
            <w:right w:w="108" w:type="dxa"/>
          </w:tblCellMar>
        </w:tblPrEx>
        <w:trPr>
          <w:trHeight w:val="201" w:hRule="atLeast"/>
          <w:jc w:val="center"/>
        </w:trPr>
        <w:tc>
          <w:tcPr>
            <w:tcW w:w="9082" w:type="dxa"/>
            <w:gridSpan w:val="10"/>
            <w:shd w:val="clear" w:color="auto" w:fill="auto"/>
          </w:tcPr>
          <w:p>
            <w:pPr>
              <w:widowControl/>
              <w:jc w:val="center"/>
              <w:rPr>
                <w:rFonts w:ascii="宋体" w:hAnsi="宋体" w:eastAsia="宋体" w:cs="宋体"/>
                <w:kern w:val="0"/>
                <w:sz w:val="22"/>
              </w:rPr>
            </w:pPr>
            <w:r>
              <w:rPr>
                <w:rFonts w:hint="eastAsia" w:ascii="宋体" w:hAnsi="宋体" w:eastAsia="宋体" w:cs="宋体"/>
                <w:kern w:val="0"/>
                <w:sz w:val="22"/>
              </w:rPr>
              <w:t>（2019年度）</w:t>
            </w:r>
          </w:p>
        </w:tc>
      </w:tr>
      <w:tr>
        <w:tblPrEx>
          <w:tblCellMar>
            <w:top w:w="0" w:type="dxa"/>
            <w:left w:w="108" w:type="dxa"/>
            <w:bottom w:w="0" w:type="dxa"/>
            <w:right w:w="108" w:type="dxa"/>
          </w:tblCellMar>
        </w:tblPrEx>
        <w:trPr>
          <w:trHeight w:val="515" w:hRule="exact"/>
          <w:jc w:val="center"/>
        </w:trPr>
        <w:tc>
          <w:tcPr>
            <w:tcW w:w="156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转移支付（项目）名称</w:t>
            </w:r>
          </w:p>
        </w:tc>
        <w:tc>
          <w:tcPr>
            <w:tcW w:w="7514" w:type="dxa"/>
            <w:gridSpan w:val="7"/>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sz w:val="18"/>
                <w:szCs w:val="18"/>
              </w:rPr>
              <w:t>提前下达2019年中央政法纪检监察转移支付资金</w:t>
            </w:r>
          </w:p>
        </w:tc>
      </w:tr>
      <w:tr>
        <w:tblPrEx>
          <w:tblCellMar>
            <w:top w:w="0" w:type="dxa"/>
            <w:left w:w="108" w:type="dxa"/>
            <w:bottom w:w="0" w:type="dxa"/>
            <w:right w:w="108" w:type="dxa"/>
          </w:tblCellMar>
        </w:tblPrEx>
        <w:trPr>
          <w:trHeight w:val="300" w:hRule="exact"/>
          <w:jc w:val="center"/>
        </w:trPr>
        <w:tc>
          <w:tcPr>
            <w:tcW w:w="156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中央主管部门</w:t>
            </w:r>
          </w:p>
        </w:tc>
        <w:tc>
          <w:tcPr>
            <w:tcW w:w="3852"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3662" w:type="dxa"/>
            <w:gridSpan w:val="4"/>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地方主管部门</w:t>
            </w:r>
          </w:p>
        </w:tc>
        <w:tc>
          <w:tcPr>
            <w:tcW w:w="3852" w:type="dxa"/>
            <w:gridSpan w:val="3"/>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无极县人民法院</w:t>
            </w:r>
          </w:p>
        </w:tc>
        <w:tc>
          <w:tcPr>
            <w:tcW w:w="1392"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实施单位</w:t>
            </w:r>
          </w:p>
        </w:tc>
        <w:tc>
          <w:tcPr>
            <w:tcW w:w="2270"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无极县人民法院</w:t>
            </w:r>
          </w:p>
        </w:tc>
      </w:tr>
      <w:tr>
        <w:tblPrEx>
          <w:tblCellMar>
            <w:top w:w="0" w:type="dxa"/>
            <w:left w:w="108" w:type="dxa"/>
            <w:bottom w:w="0" w:type="dxa"/>
            <w:right w:w="108" w:type="dxa"/>
          </w:tblCellMar>
        </w:tblPrEx>
        <w:trPr>
          <w:trHeight w:val="335" w:hRule="exact"/>
          <w:jc w:val="center"/>
        </w:trPr>
        <w:tc>
          <w:tcPr>
            <w:tcW w:w="1568" w:type="dxa"/>
            <w:gridSpan w:val="3"/>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项目资金</w:t>
            </w:r>
            <w:r>
              <w:rPr>
                <w:rFonts w:hint="eastAsia" w:ascii="宋体" w:hAnsi="宋体" w:eastAsia="宋体" w:cs="宋体"/>
                <w:kern w:val="0"/>
                <w:sz w:val="18"/>
                <w:szCs w:val="18"/>
              </w:rPr>
              <w:br w:type="textWrapping"/>
            </w:r>
            <w:r>
              <w:rPr>
                <w:rFonts w:hint="eastAsia" w:ascii="宋体" w:hAnsi="宋体" w:eastAsia="宋体" w:cs="宋体"/>
                <w:kern w:val="0"/>
                <w:sz w:val="18"/>
                <w:szCs w:val="18"/>
              </w:rPr>
              <w:t>（万元）</w:t>
            </w: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全年预算数（A)</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全年执行数（B）</w:t>
            </w:r>
          </w:p>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预算执行率(B/A)</w:t>
            </w:r>
          </w:p>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年度资金总额</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49</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其中：中央补助</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49</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3.4</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7%</w:t>
            </w: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地方资金</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1568" w:type="dxa"/>
            <w:gridSpan w:val="3"/>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842"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 xml:space="preserve">      其他资金</w:t>
            </w:r>
          </w:p>
        </w:tc>
        <w:tc>
          <w:tcPr>
            <w:tcW w:w="201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959"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w:t>
            </w:r>
          </w:p>
        </w:tc>
        <w:tc>
          <w:tcPr>
            <w:tcW w:w="1703"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年度总体目标</w:t>
            </w:r>
          </w:p>
        </w:tc>
        <w:tc>
          <w:tcPr>
            <w:tcW w:w="4832" w:type="dxa"/>
            <w:gridSpan w:val="5"/>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年初设定目标</w:t>
            </w:r>
          </w:p>
        </w:tc>
        <w:tc>
          <w:tcPr>
            <w:tcW w:w="3662" w:type="dxa"/>
            <w:gridSpan w:val="4"/>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全年实际完成情况</w:t>
            </w:r>
          </w:p>
        </w:tc>
      </w:tr>
      <w:tr>
        <w:tblPrEx>
          <w:tblCellMar>
            <w:top w:w="0" w:type="dxa"/>
            <w:left w:w="108" w:type="dxa"/>
            <w:bottom w:w="0" w:type="dxa"/>
            <w:right w:w="108" w:type="dxa"/>
          </w:tblCellMar>
        </w:tblPrEx>
        <w:trPr>
          <w:trHeight w:val="597" w:hRule="exact"/>
          <w:jc w:val="center"/>
        </w:trPr>
        <w:tc>
          <w:tcPr>
            <w:tcW w:w="588"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4832" w:type="dxa"/>
            <w:gridSpan w:val="5"/>
            <w:tcBorders>
              <w:top w:val="single" w:color="auto" w:sz="4" w:space="0"/>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r>
              <w:rPr>
                <w:rFonts w:hint="eastAsia" w:ascii="宋体" w:hAnsi="宋体" w:eastAsia="宋体" w:cs="宋体"/>
                <w:kern w:val="0"/>
                <w:sz w:val="18"/>
                <w:szCs w:val="18"/>
              </w:rPr>
              <w:t>加强法院基础设施及信息化建设，推进信息公开，提升审判质效。</w:t>
            </w:r>
          </w:p>
        </w:tc>
        <w:tc>
          <w:tcPr>
            <w:tcW w:w="3662" w:type="dxa"/>
            <w:gridSpan w:val="4"/>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依法审判各项案件，高质高效完成年度各项工作。</w:t>
            </w:r>
          </w:p>
        </w:tc>
      </w:tr>
      <w:tr>
        <w:tblPrEx>
          <w:tblCellMar>
            <w:top w:w="0" w:type="dxa"/>
            <w:left w:w="108" w:type="dxa"/>
            <w:bottom w:w="0" w:type="dxa"/>
            <w:right w:w="108" w:type="dxa"/>
          </w:tblCellMar>
        </w:tblPrEx>
        <w:trPr>
          <w:trHeight w:val="533" w:hRule="exact"/>
          <w:jc w:val="center"/>
        </w:trPr>
        <w:tc>
          <w:tcPr>
            <w:tcW w:w="588" w:type="dxa"/>
            <w:vMerge w:val="restart"/>
            <w:tcBorders>
              <w:top w:val="nil"/>
              <w:left w:val="single" w:color="auto" w:sz="4" w:space="0"/>
              <w:bottom w:val="nil"/>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绩</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效</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指</w:t>
            </w:r>
            <w:r>
              <w:rPr>
                <w:rFonts w:hint="eastAsia" w:ascii="宋体" w:hAnsi="宋体" w:eastAsia="宋体" w:cs="宋体"/>
                <w:kern w:val="0"/>
                <w:sz w:val="18"/>
                <w:szCs w:val="18"/>
              </w:rPr>
              <w:br w:type="textWrapping"/>
            </w:r>
            <w:r>
              <w:rPr>
                <w:rFonts w:hint="eastAsia" w:ascii="宋体" w:hAnsi="宋体" w:eastAsia="宋体" w:cs="宋体"/>
                <w:kern w:val="0"/>
                <w:sz w:val="18"/>
                <w:szCs w:val="18"/>
              </w:rPr>
              <w:t>标</w:t>
            </w:r>
          </w:p>
        </w:tc>
        <w:tc>
          <w:tcPr>
            <w:tcW w:w="604"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一级指标</w:t>
            </w:r>
          </w:p>
        </w:tc>
        <w:tc>
          <w:tcPr>
            <w:tcW w:w="1005"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二级指标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三级指标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年度指标值</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全年</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完成值</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未完成原因和改进措施</w:t>
            </w: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产出指标</w:t>
            </w:r>
          </w:p>
        </w:tc>
        <w:tc>
          <w:tcPr>
            <w:tcW w:w="1005"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数量指标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案件结案率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95.31%</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审限结案率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98.98%</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案件执结率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91.41%</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质量指标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审判流程公开率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139.2%</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案件信息合规率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95%</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nil"/>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时效指标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成本指标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nil"/>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color w:val="000000"/>
                <w:kern w:val="0"/>
                <w:sz w:val="18"/>
                <w:szCs w:val="18"/>
              </w:rPr>
              <w:t>……</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1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效益指标</w:t>
            </w: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经济效益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社会效益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一审上诉率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≦10%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8.41%</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改判发回重审率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0.39%</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民事案件调解撤诉率</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≧30%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52%</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生态效益</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7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18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可持续影响指标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3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04"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color w:val="000000"/>
                <w:kern w:val="0"/>
                <w:sz w:val="18"/>
                <w:szCs w:val="18"/>
              </w:rPr>
              <w:t>……</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满意度</w:t>
            </w:r>
          </w:p>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指标</w:t>
            </w:r>
          </w:p>
        </w:tc>
        <w:tc>
          <w:tcPr>
            <w:tcW w:w="1005" w:type="dxa"/>
            <w:gridSpan w:val="2"/>
            <w:vMerge w:val="restart"/>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服务对象满意度指标</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r>
              <w:rPr>
                <w:rFonts w:hint="eastAsia" w:ascii="宋体" w:hAnsi="宋体" w:eastAsia="宋体" w:cs="宋体"/>
                <w:color w:val="000000"/>
                <w:kern w:val="0"/>
                <w:sz w:val="18"/>
                <w:szCs w:val="18"/>
              </w:rPr>
              <w:t>群众满意度</w:t>
            </w: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≧80%</w:t>
            </w: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90%</w:t>
            </w: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249"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single" w:color="auto" w:sz="4" w:space="0"/>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vMerge w:val="continue"/>
            <w:tcBorders>
              <w:top w:val="nil"/>
              <w:left w:val="single" w:color="auto" w:sz="4" w:space="0"/>
              <w:bottom w:val="nil"/>
              <w:right w:val="single" w:color="auto" w:sz="4" w:space="0"/>
            </w:tcBorders>
            <w:shd w:val="clear" w:color="auto" w:fill="auto"/>
            <w:vAlign w:val="center"/>
          </w:tcPr>
          <w:p>
            <w:pPr>
              <w:rPr>
                <w:rFonts w:ascii="Calibri" w:hAnsi="Calibri" w:eastAsia="宋体" w:cs="Times New Roman"/>
              </w:rPr>
            </w:pPr>
          </w:p>
        </w:tc>
        <w:tc>
          <w:tcPr>
            <w:tcW w:w="604"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rPr>
                <w:rFonts w:ascii="Calibri" w:hAnsi="Calibri" w:eastAsia="宋体" w:cs="Times New Roman"/>
              </w:rPr>
            </w:pPr>
          </w:p>
        </w:tc>
        <w:tc>
          <w:tcPr>
            <w:tcW w:w="1005"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color w:val="000000"/>
                <w:kern w:val="0"/>
                <w:sz w:val="18"/>
                <w:szCs w:val="18"/>
              </w:rPr>
              <w:t>……</w:t>
            </w:r>
          </w:p>
        </w:tc>
        <w:tc>
          <w:tcPr>
            <w:tcW w:w="3223" w:type="dxa"/>
            <w:gridSpan w:val="2"/>
            <w:tcBorders>
              <w:top w:val="single" w:color="auto" w:sz="4" w:space="0"/>
              <w:left w:val="nil"/>
              <w:bottom w:val="single" w:color="auto" w:sz="4" w:space="0"/>
              <w:right w:val="single" w:color="auto" w:sz="4" w:space="0"/>
            </w:tcBorders>
            <w:shd w:val="clear" w:color="auto" w:fill="auto"/>
            <w:vAlign w:val="center"/>
          </w:tcPr>
          <w:p>
            <w:pPr>
              <w:widowControl/>
              <w:tabs>
                <w:tab w:val="center" w:pos="966"/>
              </w:tabs>
              <w:spacing w:line="240" w:lineRule="exact"/>
              <w:jc w:val="left"/>
              <w:rPr>
                <w:rFonts w:ascii="宋体" w:hAnsi="宋体" w:eastAsia="宋体" w:cs="宋体"/>
                <w:color w:val="000000"/>
                <w:kern w:val="0"/>
                <w:sz w:val="18"/>
                <w:szCs w:val="18"/>
              </w:rPr>
            </w:pPr>
          </w:p>
        </w:tc>
        <w:tc>
          <w:tcPr>
            <w:tcW w:w="960"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999" w:type="dxa"/>
            <w:gridSpan w:val="2"/>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c>
          <w:tcPr>
            <w:tcW w:w="1703" w:type="dxa"/>
            <w:tcBorders>
              <w:top w:val="nil"/>
              <w:left w:val="nil"/>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p>
        </w:tc>
      </w:tr>
      <w:tr>
        <w:tblPrEx>
          <w:tblCellMar>
            <w:top w:w="0" w:type="dxa"/>
            <w:left w:w="108" w:type="dxa"/>
            <w:bottom w:w="0" w:type="dxa"/>
            <w:right w:w="108" w:type="dxa"/>
          </w:tblCellMar>
        </w:tblPrEx>
        <w:trPr>
          <w:trHeight w:val="300" w:hRule="exact"/>
          <w:jc w:val="center"/>
        </w:trPr>
        <w:tc>
          <w:tcPr>
            <w:tcW w:w="588"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kern w:val="0"/>
                <w:sz w:val="18"/>
                <w:szCs w:val="18"/>
              </w:rPr>
            </w:pPr>
            <w:r>
              <w:rPr>
                <w:rFonts w:hint="eastAsia" w:ascii="宋体" w:hAnsi="宋体" w:eastAsia="宋体" w:cs="宋体"/>
                <w:kern w:val="0"/>
                <w:sz w:val="18"/>
                <w:szCs w:val="18"/>
              </w:rPr>
              <w:t>说明</w:t>
            </w:r>
          </w:p>
        </w:tc>
        <w:tc>
          <w:tcPr>
            <w:tcW w:w="8494" w:type="dxa"/>
            <w:gridSpan w:val="9"/>
            <w:tcBorders>
              <w:top w:val="single" w:color="auto" w:sz="4" w:space="0"/>
              <w:left w:val="single" w:color="auto" w:sz="4" w:space="0"/>
              <w:bottom w:val="single" w:color="auto" w:sz="4" w:space="0"/>
              <w:right w:val="single" w:color="auto" w:sz="4" w:space="0"/>
            </w:tcBorders>
            <w:shd w:val="clear" w:color="auto" w:fill="auto"/>
            <w:vAlign w:val="center"/>
          </w:tcPr>
          <w:p>
            <w:pPr>
              <w:widowControl/>
              <w:spacing w:line="240" w:lineRule="exact"/>
              <w:jc w:val="center"/>
              <w:rPr>
                <w:rFonts w:ascii="宋体" w:hAnsi="宋体" w:eastAsia="宋体" w:cs="宋体"/>
                <w:color w:val="000000"/>
                <w:kern w:val="0"/>
                <w:sz w:val="18"/>
                <w:szCs w:val="18"/>
              </w:rPr>
            </w:pPr>
            <w:r>
              <w:rPr>
                <w:rFonts w:hint="eastAsia" w:ascii="宋体" w:hAnsi="宋体" w:eastAsia="宋体" w:cs="宋体"/>
                <w:color w:val="000000"/>
                <w:kern w:val="0"/>
                <w:sz w:val="18"/>
                <w:szCs w:val="18"/>
              </w:rPr>
              <w:t>无</w:t>
            </w:r>
          </w:p>
        </w:tc>
      </w:tr>
    </w:tbl>
    <w:p>
      <w:pPr>
        <w:keepNext/>
        <w:keepLines/>
        <w:snapToGrid w:val="0"/>
        <w:spacing w:line="580" w:lineRule="exact"/>
        <w:ind w:firstLine="640" w:firstLineChars="200"/>
        <w:outlineLvl w:val="1"/>
        <w:rPr>
          <w:rFonts w:ascii="黑体" w:hAnsi="Calibri" w:eastAsia="黑体" w:cs="Times New Roman"/>
          <w:sz w:val="32"/>
          <w:szCs w:val="32"/>
        </w:rPr>
      </w:pPr>
    </w:p>
    <w:p>
      <w:pPr>
        <w:adjustRightInd w:val="0"/>
        <w:snapToGrid w:val="0"/>
        <w:spacing w:line="58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3.财政评价项目绩效评价结果</w:t>
      </w:r>
    </w:p>
    <w:p>
      <w:pPr>
        <w:keepNext/>
        <w:keepLines/>
        <w:snapToGrid w:val="0"/>
        <w:spacing w:line="580" w:lineRule="exact"/>
        <w:outlineLvl w:val="1"/>
        <w:rPr>
          <w:rFonts w:ascii="黑体" w:hAnsi="Calibri" w:eastAsia="黑体" w:cs="Times New Roman"/>
          <w:sz w:val="32"/>
          <w:szCs w:val="32"/>
        </w:rPr>
      </w:pPr>
      <w:r>
        <w:rPr>
          <w:rFonts w:hint="eastAsia" w:ascii="仿宋_GB2312" w:hAnsi="仿宋_GB2312" w:eastAsia="仿宋_GB2312" w:cs="仿宋_GB2312"/>
          <w:sz w:val="32"/>
          <w:szCs w:val="32"/>
        </w:rPr>
        <w:t>无</w:t>
      </w:r>
    </w:p>
    <w:p>
      <w:pPr>
        <w:keepNext/>
        <w:keepLines/>
        <w:snapToGrid w:val="0"/>
        <w:spacing w:line="58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七、其他重要事项的说明</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（一）机关运行经费情况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本部门2019年度机关运行经费支出570.2万元，比2018年度增加230.53万元，增长67.8%。主要原因是2019年我单位由于案件增多导致办公费、邮电费以及差旅费的大幅增加。</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（二）政府采购情况</w:t>
      </w:r>
    </w:p>
    <w:p>
      <w:pPr>
        <w:snapToGrid w:val="0"/>
        <w:spacing w:line="580" w:lineRule="exact"/>
        <w:ind w:firstLine="640" w:firstLineChars="200"/>
        <w:jc w:val="left"/>
        <w:rPr>
          <w:rFonts w:ascii="仿宋_GB2312" w:hAnsi="Times New Roman" w:eastAsia="仿宋_GB2312" w:cs="DengXian-Regular"/>
          <w:sz w:val="32"/>
          <w:szCs w:val="32"/>
        </w:rPr>
      </w:pPr>
      <w:r>
        <w:rPr>
          <w:rFonts w:hint="eastAsia" w:ascii="仿宋_GB2312" w:hAnsi="Times New Roman" w:eastAsia="仿宋_GB2312" w:cs="DengXian-Regular"/>
          <w:sz w:val="32"/>
          <w:szCs w:val="32"/>
        </w:rPr>
        <w:t>本部门2019年度政府采购支出总额254.57万元，从采购类型来看，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78.5</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176.07</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万元，占政府采购支出总额的 </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截至2019年12月31日，本部门共有车辆17辆，与上年持平。其中，</w:t>
      </w:r>
      <w:r>
        <w:rPr>
          <w:rFonts w:hint="eastAsia" w:ascii="仿宋_GB2312" w:eastAsia="仿宋_GB2312" w:cs="DengXian-Regular"/>
          <w:sz w:val="32"/>
          <w:szCs w:val="32"/>
        </w:rPr>
        <w:t>其中，副部（省）级及以上领导用车0辆，主要领导干部用车0辆，机要通信用车0辆，</w:t>
      </w:r>
      <w:r>
        <w:rPr>
          <w:rFonts w:hint="eastAsia" w:ascii="仿宋_GB2312" w:hAnsi="Times New Roman" w:eastAsia="仿宋_GB2312" w:cs="DengXian-Regular"/>
          <w:sz w:val="32"/>
          <w:szCs w:val="32"/>
        </w:rPr>
        <w:t>应急保障用车1辆，执法执勤用车11辆，特种专业技术用车5辆。</w:t>
      </w:r>
    </w:p>
    <w:p>
      <w:pPr>
        <w:adjustRightInd w:val="0"/>
        <w:snapToGrid w:val="0"/>
        <w:spacing w:line="580" w:lineRule="exact"/>
        <w:ind w:firstLine="640" w:firstLineChars="200"/>
        <w:rPr>
          <w:rFonts w:ascii="楷体_GB2312" w:hAnsi="Times New Roman" w:eastAsia="楷体_GB2312" w:cs="DengXian-Bold"/>
          <w:b/>
          <w:bCs/>
          <w:sz w:val="32"/>
          <w:szCs w:val="32"/>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万元以上通用设备0台（套），与上年持平，单位价值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万元以上专用设备0台（套），与上年持平。</w:t>
      </w:r>
    </w:p>
    <w:p>
      <w:pPr>
        <w:keepNext/>
        <w:keepLines/>
        <w:snapToGrid w:val="0"/>
        <w:spacing w:line="580" w:lineRule="exact"/>
        <w:ind w:firstLine="643" w:firstLineChars="200"/>
        <w:outlineLvl w:val="2"/>
        <w:rPr>
          <w:rFonts w:ascii="楷体_GB2312" w:hAnsi="Times New Roman" w:eastAsia="楷体_GB2312" w:cs="DengXian-Bold"/>
          <w:b/>
          <w:bCs/>
          <w:sz w:val="32"/>
          <w:szCs w:val="32"/>
        </w:rPr>
      </w:pPr>
      <w:r>
        <w:rPr>
          <w:rFonts w:hint="eastAsia" w:ascii="楷体_GB2312" w:hAnsi="Times New Roman" w:eastAsia="楷体_GB2312" w:cs="DengXian-Bold"/>
          <w:b/>
          <w:bCs/>
          <w:sz w:val="32"/>
          <w:szCs w:val="32"/>
        </w:rPr>
        <w:t>（四）其他需要说明的情况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1. 本部门2019年度政府性基金预算财政拨款和国有资本经营预算财政拨款无收支及结转结余情况，故公开08表和公开09表以空表列示。</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hAnsi="Times New Roman" w:eastAsia="仿宋_GB2312" w:cs="DengXian-Regular"/>
          <w:sz w:val="32"/>
          <w:szCs w:val="32"/>
        </w:rPr>
        <w:t>2. 由于决算公开表格中金额数值应当保留两位小数，公开数据为四舍五入计算结果，个别数据合计项与分项之和存在小数点后差额，特此说明。</w:t>
      </w:r>
    </w:p>
    <w:p>
      <w:pPr>
        <w:widowControl/>
        <w:spacing w:line="580" w:lineRule="exact"/>
        <w:ind w:firstLine="883" w:firstLineChars="200"/>
        <w:jc w:val="left"/>
        <w:rPr>
          <w:rFonts w:ascii="宋体" w:hAnsi="宋体" w:eastAsia="宋体" w:cs="MS-UIGothic,Bold"/>
          <w:b/>
          <w:bCs/>
          <w:kern w:val="0"/>
          <w:sz w:val="44"/>
          <w:szCs w:val="44"/>
        </w:rPr>
        <w:sectPr>
          <w:type w:val="continuous"/>
          <w:pgSz w:w="11906" w:h="16838"/>
          <w:pgMar w:top="2098" w:right="1474" w:bottom="1984" w:left="1588" w:header="851" w:footer="992" w:gutter="0"/>
          <w:pgNumType w:fmt="numberInDash"/>
          <w:cols w:space="0" w:num="1"/>
          <w:docGrid w:type="lines" w:linePitch="312" w:charSpace="0"/>
        </w:sectPr>
      </w:pPr>
    </w:p>
    <w:p>
      <w:pPr>
        <w:jc w:val="center"/>
        <w:rPr>
          <w:rFonts w:ascii="黑体" w:hAnsi="黑体" w:eastAsia="黑体" w:cs="黑体"/>
          <w:sz w:val="56"/>
          <w:szCs w:val="72"/>
        </w:rPr>
      </w:pPr>
    </w:p>
    <w:p>
      <w:pPr>
        <w:jc w:val="center"/>
        <w:rPr>
          <w:rFonts w:ascii="黑体" w:hAnsi="黑体" w:eastAsia="黑体" w:cs="黑体"/>
          <w:sz w:val="56"/>
          <w:szCs w:val="72"/>
        </w:rPr>
        <w:sectPr>
          <w:type w:val="continuous"/>
          <w:pgSz w:w="11906" w:h="16838"/>
          <w:pgMar w:top="2041" w:right="1531" w:bottom="2041" w:left="1531" w:header="851" w:footer="992" w:gutter="0"/>
          <w:pgNumType w:fmt="numberInDash"/>
          <w:cols w:space="0" w:num="1"/>
          <w:titlePg/>
          <w:docGrid w:type="lines" w:linePitch="312" w:charSpace="0"/>
        </w:sectPr>
      </w:pPr>
    </w:p>
    <w:p>
      <w:pP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sz w:val="72"/>
        </w:rPr>
      </w:pPr>
      <w:r>
        <w:rPr>
          <w:sz w:val="72"/>
        </w:rPr>
        <w:pict>
          <v:shape id="_x0000_s1029" o:spid="_x0000_s1029" o:spt="202" type="#_x0000_t202" style="position:absolute;left:0pt;margin-left:-80.45pt;margin-top:34.8pt;height:263.1pt;width:613.65pt;z-index:251661312;v-text-anchor:middle;mso-width-relative:page;mso-height-relative:page;" fillcolor="#FFD966" filled="t" stroked="t" coordsize="21600,21600" o:gfxdata="UEsDBAoAAAAAAIdO4kAAAAAAAAAAAAAAAAAEAAAAZHJzL1BLAwQUAAAACACHTuJAgYCTQtwAAAAM&#10;AQAADwAAAGRycy9kb3ducmV2LnhtbE2PwU7DMBBE70j8g7VIXFBrB1HThGx6qISEkJCgcGhvTmzi&#10;0HgdYjctf497guNqnmbelquT69lkxtB5QsjmApihxuuOWoSP98fZEliIirTqPRmEHxNgVV1elKrQ&#10;/khvZtrElqUSCoVCsDEOBeehscapMPeDoZR9+tGpmM6x5XpUx1Tuen4rhOROdZQWrBrM2ppmvzk4&#10;hNeX55ttsyN5L6T9mp72tf1ej4jXV5l4ABbNKf7BcNZP6lAlp9ofSAfWI8wyKfLEIshcAjsTQso7&#10;YDXCIl8sgVcl//9E9QtQSwMEFAAAAAgAh07iQGQ/W79bAgAAugQAAA4AAABkcnMvZTJvRG9jLnht&#10;bK1Uy24TMRTdI/EPlvdkkubVRp1UoVUQUkQrFcTa8djJSB7b2E5mwgfAH7Biw57vyndw7EzSCOgG&#10;kYVzHyf3ce69ub5pKkW2wvnS6Jz2Ol1KhOamKPUqpx/ez19dUuID0wVTRouc7oSnN9OXL65rOxEX&#10;Zm1UIRxBEO0ntc3pOgQ7yTLP16JivmOs0HBK4yoWoLpVVjhWI3qlsotud5TVxhXWGS68h/Xu4KTT&#10;FF9KwcO9lF4EonKK2kJ6XXqX8c2m12yycsyuS96Wwf6hioqVGklPoe5YYGTjyj9CVSV3xhsZOtxU&#10;mZGy5CL1gG563d+6eVwzK1IvIMfbE03+/4Xl77YPjpQFZneJUWlWYUj7b1/333/uf3wh0QiKausn&#10;QD5aYEPz2jSAH+0exth5I10Vv9ETgR9k704EiyYQDuN4fNXvD4eUcPj6/UGvP04jyJ5+bp0Pb4Sp&#10;SBRy6jDBRCzbLnxAKYAeITGbZSHMS6VauOVhmOBydatSWd6tlhDJlmED5vO7q9EoVo4wJ8jyGewc&#10;nxbbQmLyNmFMrjSpczrqD7sppzeqLGIx0fd83jMY4imNYiK/Bx6jFJpl05K+NMUOnDtzWFxv+bwE&#10;LwvmwwNz2FTQjOsL93ikMqjGtBIla+M+/80e8VggeCmpsfk59Z82zAlK1FuN1brqDQbxVJIyGI4v&#10;oLhzz/LcozfVrQG1Pdy55UmM+KCOonSm+ogjncWscDHNkTunPLijchsOF4kz52I2SzCcB6he6EfL&#10;Y/BIqTazTTCyTGsQiTqw0/KHA0ljbY85XuC5nlBPfznT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NAEAABbQ29udGVudF9UeXBlc10ueG1sUEsB&#10;AhQACgAAAAAAh07iQAAAAAAAAAAAAAAAAAYAAAAAAAAAAAAQAAAAsgMAAF9yZWxzL1BLAQIUABQA&#10;AAAIAIdO4kCKFGY80QAAAJQBAAALAAAAAAAAAAEAIAAAANYDAABfcmVscy8ucmVsc1BLAQIUAAoA&#10;AAAAAIdO4kAAAAAAAAAAAAAAAAAEAAAAAAAAAAAAEAAAAAAAAABkcnMvUEsBAhQAFAAAAAgAh07i&#10;QIGAk0LcAAAADAEAAA8AAAAAAAAAAQAgAAAAIgAAAGRycy9kb3ducmV2LnhtbFBLAQIUABQAAAAI&#10;AIdO4kBkP1u/WwIAALoEAAAOAAAAAAAAAAEAIAAAACsBAABkcnMvZTJvRG9jLnhtbFBLBQYAAAAA&#10;BgAGAFkBAAD4BQAAAAA=&#10;">
            <v:path/>
            <v:fill type="pattern" on="t" focussize="0,0"/>
            <v:stroke weight="0.5pt" color="#FFD966" joinstyle="round"/>
            <v:imagedata o:title=""/>
            <o:lock v:ext="edit"/>
            <v:textbox>
              <w:txbxContent>
                <w:p>
                  <w:pPr>
                    <w:widowControl/>
                    <w:jc w:val="center"/>
                  </w:pPr>
                  <w:r>
                    <w:rPr>
                      <w:rFonts w:hint="eastAsia" w:ascii="黑体" w:hAnsi="黑体" w:eastAsia="黑体" w:cs="黑体"/>
                      <w:color w:val="000000" w:themeColor="text1"/>
                      <w:sz w:val="90"/>
                      <w:szCs w:val="90"/>
                    </w:rPr>
                    <w:t>第三部分 相关名词解释</w:t>
                  </w:r>
                </w:p>
              </w:txbxContent>
            </v:textbox>
          </v:shape>
        </w:pict>
      </w:r>
    </w:p>
    <w:p/>
    <w:p/>
    <w:p/>
    <w:p/>
    <w:p/>
    <w:p/>
    <w:p/>
    <w:p/>
    <w:p/>
    <w:p/>
    <w:p/>
    <w:p>
      <w:pPr>
        <w:tabs>
          <w:tab w:val="left" w:pos="886"/>
        </w:tabs>
        <w:jc w:val="left"/>
        <w:sectPr>
          <w:headerReference r:id="rId17" w:type="first"/>
          <w:footerReference r:id="rId19" w:type="first"/>
          <w:headerReference r:id="rId16" w:type="default"/>
          <w:footerReference r:id="rId18" w:type="default"/>
          <w:pgSz w:w="11906" w:h="16838"/>
          <w:pgMar w:top="2041" w:right="1531" w:bottom="2041" w:left="1531" w:header="851" w:footer="992" w:gutter="0"/>
          <w:pgNumType w:fmt="numberInDash"/>
          <w:cols w:space="0" w:num="1"/>
          <w:titlePg/>
          <w:docGrid w:type="lines" w:linePitch="312" w:charSpace="0"/>
        </w:sectPr>
      </w:pP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（四）用事业基金弥补收支差额：</w:t>
      </w:r>
      <w:r>
        <w:rPr>
          <w:rFonts w:hint="eastAsia" w:ascii="仿宋_GB2312" w:hAnsi="宋体" w:eastAsia="仿宋_GB2312" w:cs="Times New Roman"/>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widowControl/>
        <w:spacing w:line="56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（十六）机关运行经费：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line="560" w:lineRule="exact"/>
        <w:ind w:firstLine="643" w:firstLineChars="200"/>
        <w:rPr>
          <w:rFonts w:ascii="仿宋_GB2312" w:hAnsi="Cambria" w:eastAsia="仿宋_GB2312" w:cs="ArialUnicodeMS"/>
          <w:kern w:val="0"/>
          <w:sz w:val="32"/>
          <w:szCs w:val="32"/>
        </w:rPr>
      </w:pPr>
      <w:r>
        <w:rPr>
          <w:rFonts w:hint="eastAsia" w:ascii="仿宋_GB2312" w:hAnsi="宋体" w:eastAsia="仿宋_GB2312" w:cs="Times New Roman"/>
          <w:b/>
          <w:bCs/>
          <w:color w:val="000000"/>
          <w:kern w:val="0"/>
          <w:sz w:val="32"/>
          <w:szCs w:val="32"/>
        </w:rPr>
        <w:t>（十七）经费形式: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UnicodeMS"/>
          <w:kern w:val="0"/>
          <w:sz w:val="32"/>
          <w:szCs w:val="32"/>
        </w:rPr>
        <w:t>可分为财政拨款、财政性资金基本保证、财政性资金定额或定项补助、财政性资金零补助四类。</w:t>
      </w:r>
    </w:p>
    <w:p/>
    <w:p/>
    <w:p/>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pPr>
    </w:p>
    <w:p>
      <w:pPr>
        <w:tabs>
          <w:tab w:val="left" w:pos="235"/>
        </w:tabs>
        <w:jc w:val="left"/>
        <w:sectPr>
          <w:headerReference r:id="rId20" w:type="default"/>
          <w:pgSz w:w="11906" w:h="16838"/>
          <w:pgMar w:top="2098" w:right="1474" w:bottom="1985" w:left="1588" w:header="851" w:footer="992" w:gutter="0"/>
          <w:pgNumType w:fmt="numberInDash"/>
          <w:cols w:space="425" w:num="1"/>
          <w:docGrid w:type="lines" w:linePitch="312" w:charSpace="0"/>
        </w:sectPr>
      </w:pPr>
    </w:p>
    <w:p/>
    <w:p>
      <w:pPr>
        <w:tabs>
          <w:tab w:val="left" w:pos="235"/>
        </w:tabs>
        <w:jc w:val="left"/>
        <w:sectPr>
          <w:headerReference r:id="rId21" w:type="default"/>
          <w:pgSz w:w="11906" w:h="16838"/>
          <w:pgMar w:top="2098" w:right="1474" w:bottom="1985" w:left="1588" w:header="851" w:footer="992" w:gutter="0"/>
          <w:pgNumType w:fmt="numberInDash"/>
          <w:cols w:space="425" w:num="1"/>
          <w:docGrid w:type="lines" w:linePitch="312" w:charSpace="0"/>
        </w:sectPr>
      </w:pPr>
      <w:r>
        <w:rPr>
          <w:sz w:val="72"/>
        </w:rPr>
        <w:pict>
          <v:shape id="_x0000_s1028" o:spid="_x0000_s1028" o:spt="202" type="#_x0000_t202" style="position:absolute;left:0pt;margin-left:-82.05pt;margin-top:111.85pt;height:263.1pt;width:613.65pt;z-index:251664384;v-text-anchor:middle;mso-width-relative:page;mso-height-relative:page;" fillcolor="#FFD966" filled="t" stroked="t" coordsize="21600,21600" o:gfxdata="UEsDBAoAAAAAAIdO4kAAAAAAAAAAAAAAAAAEAAAAZHJzL1BLAwQUAAAACACHTuJAfeR8R94AAAAN&#10;AQAADwAAAGRycy9kb3ducmV2LnhtbE2PwU7DMBBE70j8g7VIXFBrJ60cGuL0UAkJISFB6aHcnNjE&#10;ofE62G5a/h73BMfVPM28rdZnO5BJ+9A7FJDNGRCNrVM9dgJ274+zeyAhSlRycKgF/OgA6/r6qpKl&#10;cid809M2diSVYCilABPjWFIaWqOtDHM3akzZp/NWxnT6jiovT6ncDjRnjFMre0wLRo56Y3R72B6t&#10;gNeX57t9+4G8YNx8TU+HxnxvvBC3Nxl7ABL1Of7BcNFP6lAnp8YdUQUyCJhlfJklVkCeLwogF4Tx&#10;RQ6kEVAsVyugdUX/f1H/AlBLAwQUAAAACACHTuJAew5iW1wCAAC6BAAADgAAAGRycy9lMm9Eb2Mu&#10;eG1srVTLbhMxFN0j8Q+W93TyDokyqUKqIKSKViqIteOxk5E8trGdzJQPgD/oig17vqvfwbEzSSOg&#10;G0QWzn2c3Me592Z22VSK7IXzpdE57V50KBGam6LUm5x+/LB69ZoSH5gumDJa5PReeHo5f/liVtup&#10;6JmtUYVwBEG0n9Y2p9sQ7DTLPN+KivkLY4WGUxpXsQDVbbLCsRrRK5X1Op1RVhtXWGe48B7Wq4OT&#10;zlN8KQUPN1J6EYjKKWoL6XXpXcc3m8/YdOOY3Za8LYP9QxUVKzWSnkJdscDIzpV/hKpK7ow3Mlxw&#10;U2VGypKL1AO66XZ+6+Zuy6xIvYAcb080+f8Xlr/f3zpSFjnt9SaUaFZhSI8P3x6//3z88ZVEIyiq&#10;rZ8CeWeBDc0b02DUR7uHMXbeSFfFb/RE4AfZ9yeCRRMIh3E8nvT7wyElHL5+f9Dtj9MIsqefW+fD&#10;W2EqEoWcOkwwEcv21z6gFECPkJjNshBWpVIt3PIwTHC5WapUlnebNUSyZ9iA1epqMhrFyhHmBFk/&#10;g13h02JbSEzeJozJlSZ1Tkf9YSfl9EaVRSwm+p7PewZDPKVRTOT3wGOUQrNuWtLXprgH584cFtdb&#10;virByzXz4ZY5bCpoxvWFGzxSGVRjWomSrXFf/maPeCwQvJTU2Pyc+s875gQl6p3Gak26g0E8laQM&#10;huMeFHfuWZ979K5aGlDbxZ1bnsSID+ooSmeqTzjSRcwKF9McuXPKgzsqy3C4SJw5F4tFguE8QPW1&#10;vrM8Bo+UarPYBSPLtAaRqAM7LX84kDTW9pjjBZ7rCfX0lzP/B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H3kfEfeAAAADQEAAA8AAAAAAAAAAQAgAAAAIgAAAGRycy9kb3ducmV2LnhtbFBLAQIUABQA&#10;AAAIAIdO4kB7DmJbXAIAALoEAAAOAAAAAAAAAAEAIAAAAC0BAABkcnMvZTJvRG9jLnhtbFBLBQYA&#10;AAAABgAGAFkBAAD7BQAAAAA=&#10;">
            <v:path/>
            <v:fill type="pattern" on="t" focussize="0,0"/>
            <v:stroke weight="0.5pt" color="#FFD966" joinstyle="round"/>
            <v:imagedata o:title=""/>
            <o:lock v:ext="edit"/>
            <v:textbox>
              <w:txbxContent>
                <w:p>
                  <w:pPr>
                    <w:widowControl/>
                    <w:jc w:val="center"/>
                    <w:rPr>
                      <w:rFonts w:ascii="黑体" w:hAnsi="黑体" w:eastAsia="黑体" w:cs="黑体"/>
                      <w:color w:val="000000" w:themeColor="text1"/>
                      <w:sz w:val="90"/>
                      <w:szCs w:val="90"/>
                    </w:rPr>
                  </w:pPr>
                  <w:r>
                    <w:rPr>
                      <w:rFonts w:hint="eastAsia" w:ascii="黑体" w:hAnsi="黑体" w:eastAsia="黑体" w:cs="黑体"/>
                      <w:color w:val="000000" w:themeColor="text1"/>
                      <w:sz w:val="90"/>
                      <w:szCs w:val="90"/>
                    </w:rPr>
                    <w:t xml:space="preserve">第四部分 </w:t>
                  </w:r>
                </w:p>
                <w:p>
                  <w:pPr>
                    <w:widowControl/>
                    <w:jc w:val="center"/>
                  </w:pPr>
                  <w:r>
                    <w:rPr>
                      <w:rFonts w:hint="eastAsia" w:ascii="黑体" w:hAnsi="黑体" w:eastAsia="黑体" w:cs="黑体"/>
                      <w:color w:val="000000" w:themeColor="text1"/>
                      <w:sz w:val="90"/>
                      <w:szCs w:val="90"/>
                    </w:rPr>
                    <w:t>2019年度部门决算报表</w:t>
                  </w:r>
                </w:p>
              </w:txbxContent>
            </v:textbox>
          </v:shape>
        </w:pict>
      </w:r>
    </w:p>
    <w:tbl>
      <w:tblPr>
        <w:tblStyle w:val="7"/>
        <w:tblpPr w:leftFromText="180" w:rightFromText="180" w:vertAnchor="text" w:horzAnchor="page" w:tblpXSpec="center" w:tblpY="119"/>
        <w:tblOverlap w:val="never"/>
        <w:tblW w:w="9517" w:type="dxa"/>
        <w:jc w:val="center"/>
        <w:tblLayout w:type="fixed"/>
        <w:tblCellMar>
          <w:top w:w="0" w:type="dxa"/>
          <w:left w:w="0" w:type="dxa"/>
          <w:bottom w:w="0" w:type="dxa"/>
          <w:right w:w="0" w:type="dxa"/>
        </w:tblCellMar>
      </w:tblPr>
      <w:tblGrid>
        <w:gridCol w:w="3236"/>
        <w:gridCol w:w="731"/>
        <w:gridCol w:w="691"/>
        <w:gridCol w:w="3474"/>
        <w:gridCol w:w="541"/>
        <w:gridCol w:w="844"/>
      </w:tblGrid>
      <w:tr>
        <w:tblPrEx>
          <w:tblCellMar>
            <w:top w:w="0" w:type="dxa"/>
            <w:left w:w="0" w:type="dxa"/>
            <w:bottom w:w="0" w:type="dxa"/>
            <w:right w:w="0" w:type="dxa"/>
          </w:tblCellMar>
        </w:tblPrEx>
        <w:trPr>
          <w:trHeight w:val="489"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bottom"/>
          </w:tcPr>
          <w:p>
            <w:pPr>
              <w:spacing w:line="40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rPr>
              <w:t>收入支出决算总表</w:t>
            </w:r>
          </w:p>
        </w:tc>
      </w:tr>
      <w:tr>
        <w:tblPrEx>
          <w:tblCellMar>
            <w:top w:w="0" w:type="dxa"/>
            <w:left w:w="0" w:type="dxa"/>
            <w:bottom w:w="0" w:type="dxa"/>
            <w:right w:w="0" w:type="dxa"/>
          </w:tblCellMar>
        </w:tblPrEx>
        <w:trPr>
          <w:trHeight w:val="205"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公开01表</w:t>
            </w:r>
          </w:p>
        </w:tc>
      </w:tr>
      <w:tr>
        <w:tblPrEx>
          <w:tblCellMar>
            <w:top w:w="0" w:type="dxa"/>
            <w:left w:w="0" w:type="dxa"/>
            <w:bottom w:w="0" w:type="dxa"/>
            <w:right w:w="0" w:type="dxa"/>
          </w:tblCellMar>
        </w:tblPrEx>
        <w:trPr>
          <w:trHeight w:val="421" w:hRule="atLeast"/>
          <w:jc w:val="center"/>
        </w:trPr>
        <w:tc>
          <w:tcPr>
            <w:tcW w:w="323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3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9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859"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284" w:hRule="atLeast"/>
          <w:jc w:val="center"/>
        </w:trPr>
        <w:tc>
          <w:tcPr>
            <w:tcW w:w="465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收入</w:t>
            </w:r>
          </w:p>
        </w:tc>
        <w:tc>
          <w:tcPr>
            <w:tcW w:w="4859"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支出</w:t>
            </w:r>
          </w:p>
        </w:tc>
      </w:tr>
      <w:tr>
        <w:tblPrEx>
          <w:tblCellMar>
            <w:top w:w="0" w:type="dxa"/>
            <w:left w:w="0" w:type="dxa"/>
            <w:bottom w:w="0" w:type="dxa"/>
            <w:right w:w="0" w:type="dxa"/>
          </w:tblCellMar>
        </w:tblPrEx>
        <w:trPr>
          <w:trHeight w:val="770"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1623.83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一、一般公共服务支出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二、政府性基金预算财政拨款收入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二、外交支出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182"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三、上级补助收入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三、国防支出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四、事业收入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四、公共安全支出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1491.58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五、经营收入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五、教育支出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六、附属单位上缴收入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六、科学技术支出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七、其他收入</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4.00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七、文化旅游体育与传媒支出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八、社会保障和就业支出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156.73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九、卫生健康支出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十、节能环保支出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十一、城乡社区支出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十二、农林水支出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十三、交通运输支出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十四、资源勘探信息等支出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十五、商业服务业等支出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十六、金融支出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十七、援助其他地区支出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十八、自然资源海洋气象等支出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19</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十九、住房保障支出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47</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20</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二十、粮油物资储备支出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48</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21</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二十一、灾害防治及应急管理支出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49</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22</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二十二、其他支出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50</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23</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二十四、债务付息支出</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51</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本年收入合计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24</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1627.83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本年支出合计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52</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1680.46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用事业基金弥补收支差额</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25</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结余分配</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53</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26</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96.5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54</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43.87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27</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55</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w:t>
            </w:r>
          </w:p>
        </w:tc>
      </w:tr>
      <w:tr>
        <w:tblPrEx>
          <w:tblCellMar>
            <w:top w:w="0" w:type="dxa"/>
            <w:left w:w="0" w:type="dxa"/>
            <w:bottom w:w="0" w:type="dxa"/>
            <w:right w:w="0" w:type="dxa"/>
          </w:tblCellMar>
        </w:tblPrEx>
        <w:trPr>
          <w:trHeight w:val="213" w:hRule="atLeast"/>
          <w:jc w:val="center"/>
        </w:trPr>
        <w:tc>
          <w:tcPr>
            <w:tcW w:w="323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73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28</w:t>
            </w:r>
          </w:p>
        </w:tc>
        <w:tc>
          <w:tcPr>
            <w:tcW w:w="6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1724.33　</w:t>
            </w:r>
          </w:p>
        </w:tc>
        <w:tc>
          <w:tcPr>
            <w:tcW w:w="3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22"/>
              </w:rPr>
            </w:pPr>
            <w:r>
              <w:rPr>
                <w:rFonts w:hint="eastAsia" w:ascii="宋体" w:hAnsi="宋体" w:eastAsia="宋体" w:cs="宋体"/>
                <w:b/>
                <w:color w:val="000000"/>
                <w:kern w:val="0"/>
                <w:sz w:val="22"/>
              </w:rPr>
              <w:t>总计</w:t>
            </w:r>
          </w:p>
        </w:tc>
        <w:tc>
          <w:tcPr>
            <w:tcW w:w="54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56</w:t>
            </w:r>
          </w:p>
        </w:tc>
        <w:tc>
          <w:tcPr>
            <w:tcW w:w="8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1724.33　</w:t>
            </w:r>
          </w:p>
        </w:tc>
      </w:tr>
      <w:tr>
        <w:tblPrEx>
          <w:tblCellMar>
            <w:top w:w="0" w:type="dxa"/>
            <w:left w:w="0" w:type="dxa"/>
            <w:bottom w:w="0" w:type="dxa"/>
            <w:right w:w="0" w:type="dxa"/>
          </w:tblCellMar>
        </w:tblPrEx>
        <w:trPr>
          <w:trHeight w:val="213" w:hRule="atLeast"/>
          <w:jc w:val="center"/>
        </w:trPr>
        <w:tc>
          <w:tcPr>
            <w:tcW w:w="9517" w:type="dxa"/>
            <w:gridSpan w:val="6"/>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注：本表反映部门本年度的总收支和年末结转结余情况。</w:t>
            </w:r>
          </w:p>
        </w:tc>
      </w:tr>
    </w:tbl>
    <w:tbl>
      <w:tblPr>
        <w:tblStyle w:val="7"/>
        <w:tblpPr w:leftFromText="180" w:rightFromText="180" w:vertAnchor="text" w:horzAnchor="page" w:tblpX="1355" w:tblpY="707"/>
        <w:tblOverlap w:val="never"/>
        <w:tblW w:w="10156" w:type="dxa"/>
        <w:tblInd w:w="0" w:type="dxa"/>
        <w:tblLayout w:type="fixed"/>
        <w:tblCellMar>
          <w:top w:w="0" w:type="dxa"/>
          <w:left w:w="0" w:type="dxa"/>
          <w:bottom w:w="0" w:type="dxa"/>
          <w:right w:w="0" w:type="dxa"/>
        </w:tblCellMar>
      </w:tblPr>
      <w:tblGrid>
        <w:gridCol w:w="975"/>
        <w:gridCol w:w="81"/>
        <w:gridCol w:w="279"/>
        <w:gridCol w:w="240"/>
        <w:gridCol w:w="40"/>
        <w:gridCol w:w="1625"/>
        <w:gridCol w:w="1125"/>
        <w:gridCol w:w="1155"/>
        <w:gridCol w:w="825"/>
        <w:gridCol w:w="750"/>
        <w:gridCol w:w="735"/>
        <w:gridCol w:w="765"/>
        <w:gridCol w:w="975"/>
        <w:gridCol w:w="586"/>
      </w:tblGrid>
      <w:tr>
        <w:tblPrEx>
          <w:tblCellMar>
            <w:top w:w="0" w:type="dxa"/>
            <w:left w:w="0" w:type="dxa"/>
            <w:bottom w:w="0" w:type="dxa"/>
            <w:right w:w="0" w:type="dxa"/>
          </w:tblCellMar>
        </w:tblPrEx>
        <w:trPr>
          <w:gridAfter w:val="1"/>
          <w:wAfter w:w="586" w:type="dxa"/>
          <w:trHeight w:val="513" w:hRule="atLeast"/>
        </w:trPr>
        <w:tc>
          <w:tcPr>
            <w:tcW w:w="105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6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30"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黑体" w:hAnsi="宋体" w:eastAsia="黑体" w:cs="黑体"/>
                <w:color w:val="000000"/>
                <w:kern w:val="0"/>
                <w:sz w:val="32"/>
                <w:szCs w:val="32"/>
              </w:rPr>
              <w:t>收入决算表</w:t>
            </w:r>
          </w:p>
        </w:tc>
        <w:tc>
          <w:tcPr>
            <w:tcW w:w="73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7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r>
      <w:tr>
        <w:tblPrEx>
          <w:tblCellMar>
            <w:top w:w="0" w:type="dxa"/>
            <w:left w:w="0" w:type="dxa"/>
            <w:bottom w:w="0" w:type="dxa"/>
            <w:right w:w="0" w:type="dxa"/>
          </w:tblCellMar>
        </w:tblPrEx>
        <w:trPr>
          <w:gridAfter w:val="1"/>
          <w:wAfter w:w="586" w:type="dxa"/>
          <w:trHeight w:val="198" w:hRule="atLeast"/>
        </w:trPr>
        <w:tc>
          <w:tcPr>
            <w:tcW w:w="1056"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7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65"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75"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公开02表</w:t>
            </w:r>
          </w:p>
        </w:tc>
      </w:tr>
      <w:tr>
        <w:tblPrEx>
          <w:tblCellMar>
            <w:top w:w="0" w:type="dxa"/>
            <w:left w:w="0" w:type="dxa"/>
            <w:bottom w:w="0" w:type="dxa"/>
            <w:right w:w="0" w:type="dxa"/>
          </w:tblCellMar>
        </w:tblPrEx>
        <w:trPr>
          <w:gridAfter w:val="1"/>
          <w:wAfter w:w="586" w:type="dxa"/>
          <w:trHeight w:val="453" w:hRule="atLeast"/>
        </w:trPr>
        <w:tc>
          <w:tcPr>
            <w:tcW w:w="3240" w:type="dxa"/>
            <w:gridSpan w:val="6"/>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部门：无极县人民法院</w:t>
            </w:r>
          </w:p>
        </w:tc>
        <w:tc>
          <w:tcPr>
            <w:tcW w:w="11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3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4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586" w:type="dxa"/>
          <w:trHeight w:val="376" w:hRule="atLeast"/>
        </w:trPr>
        <w:tc>
          <w:tcPr>
            <w:tcW w:w="3240" w:type="dxa"/>
            <w:gridSpan w:val="6"/>
            <w:tcBorders>
              <w:top w:val="single" w:color="000000" w:sz="4" w:space="0"/>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2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本年收入合计</w:t>
            </w:r>
          </w:p>
        </w:tc>
        <w:tc>
          <w:tcPr>
            <w:tcW w:w="115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财政拨款收入</w:t>
            </w:r>
          </w:p>
        </w:tc>
        <w:tc>
          <w:tcPr>
            <w:tcW w:w="82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上级补助收入</w:t>
            </w:r>
          </w:p>
        </w:tc>
        <w:tc>
          <w:tcPr>
            <w:tcW w:w="750"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事业收入</w:t>
            </w:r>
          </w:p>
        </w:tc>
        <w:tc>
          <w:tcPr>
            <w:tcW w:w="73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经营收入</w:t>
            </w:r>
          </w:p>
        </w:tc>
        <w:tc>
          <w:tcPr>
            <w:tcW w:w="76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附属单位上缴收入</w:t>
            </w:r>
          </w:p>
        </w:tc>
        <w:tc>
          <w:tcPr>
            <w:tcW w:w="97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其他收入</w:t>
            </w:r>
          </w:p>
          <w:p>
            <w:pPr>
              <w:rPr>
                <w:rFonts w:ascii="宋体" w:hAnsi="宋体" w:eastAsia="宋体" w:cs="宋体"/>
                <w:color w:val="000000"/>
                <w:kern w:val="0"/>
                <w:sz w:val="22"/>
              </w:rPr>
            </w:pPr>
          </w:p>
          <w:p>
            <w:pPr>
              <w:rPr>
                <w:rFonts w:ascii="宋体" w:hAnsi="宋体" w:eastAsia="宋体" w:cs="宋体"/>
                <w:color w:val="000000"/>
                <w:kern w:val="0"/>
                <w:sz w:val="22"/>
              </w:rPr>
            </w:pPr>
          </w:p>
          <w:p>
            <w:pPr>
              <w:tabs>
                <w:tab w:val="left" w:pos="4485"/>
              </w:tabs>
              <w:jc w:val="left"/>
            </w:pPr>
            <w:r>
              <w:rPr>
                <w:rFonts w:hint="eastAsia" w:ascii="宋体" w:hAnsi="宋体" w:eastAsia="宋体" w:cs="宋体"/>
                <w:color w:val="000000"/>
                <w:kern w:val="0"/>
                <w:sz w:val="22"/>
              </w:rPr>
              <w:tab/>
            </w:r>
          </w:p>
        </w:tc>
      </w:tr>
      <w:tr>
        <w:tblPrEx>
          <w:tblCellMar>
            <w:top w:w="0" w:type="dxa"/>
            <w:left w:w="0" w:type="dxa"/>
            <w:bottom w:w="0" w:type="dxa"/>
            <w:right w:w="0" w:type="dxa"/>
          </w:tblCellMar>
        </w:tblPrEx>
        <w:trPr>
          <w:gridAfter w:val="1"/>
          <w:wAfter w:w="586" w:type="dxa"/>
          <w:trHeight w:val="372" w:hRule="atLeast"/>
        </w:trPr>
        <w:tc>
          <w:tcPr>
            <w:tcW w:w="1615" w:type="dxa"/>
            <w:gridSpan w:val="5"/>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625"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15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8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3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586" w:type="dxa"/>
          <w:trHeight w:val="372" w:hRule="atLeast"/>
        </w:trPr>
        <w:tc>
          <w:tcPr>
            <w:tcW w:w="1615" w:type="dxa"/>
            <w:gridSpan w:val="5"/>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62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1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15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8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3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586" w:type="dxa"/>
          <w:trHeight w:val="312" w:hRule="atLeast"/>
        </w:trPr>
        <w:tc>
          <w:tcPr>
            <w:tcW w:w="1615" w:type="dxa"/>
            <w:gridSpan w:val="5"/>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625"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1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15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8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5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3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6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97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586" w:type="dxa"/>
          <w:trHeight w:val="331" w:hRule="atLeast"/>
        </w:trPr>
        <w:tc>
          <w:tcPr>
            <w:tcW w:w="3240" w:type="dxa"/>
            <w:gridSpan w:val="6"/>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50"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3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76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c>
          <w:tcPr>
            <w:tcW w:w="97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r>
      <w:tr>
        <w:tblPrEx>
          <w:tblCellMar>
            <w:top w:w="0" w:type="dxa"/>
            <w:left w:w="0" w:type="dxa"/>
            <w:bottom w:w="0" w:type="dxa"/>
            <w:right w:w="0" w:type="dxa"/>
          </w:tblCellMar>
        </w:tblPrEx>
        <w:trPr>
          <w:gridAfter w:val="1"/>
          <w:wAfter w:w="586" w:type="dxa"/>
          <w:trHeight w:val="376" w:hRule="atLeast"/>
        </w:trPr>
        <w:tc>
          <w:tcPr>
            <w:tcW w:w="3240" w:type="dxa"/>
            <w:gridSpan w:val="6"/>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1,627.83</w:t>
            </w:r>
          </w:p>
        </w:tc>
        <w:tc>
          <w:tcPr>
            <w:tcW w:w="11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1,623.83</w:t>
            </w:r>
          </w:p>
        </w:tc>
        <w:tc>
          <w:tcPr>
            <w:tcW w:w="8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750"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73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76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97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4.00</w:t>
            </w:r>
          </w:p>
        </w:tc>
      </w:tr>
      <w:tr>
        <w:tblPrEx>
          <w:tblCellMar>
            <w:top w:w="0" w:type="dxa"/>
            <w:left w:w="0" w:type="dxa"/>
            <w:bottom w:w="0" w:type="dxa"/>
            <w:right w:w="0" w:type="dxa"/>
          </w:tblCellMar>
        </w:tblPrEx>
        <w:trPr>
          <w:gridAfter w:val="1"/>
          <w:wAfter w:w="586" w:type="dxa"/>
          <w:trHeight w:val="527" w:hRule="atLeast"/>
        </w:trPr>
        <w:tc>
          <w:tcPr>
            <w:tcW w:w="975" w:type="dxa"/>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w:t>
            </w:r>
          </w:p>
        </w:tc>
        <w:tc>
          <w:tcPr>
            <w:tcW w:w="2265" w:type="dxa"/>
            <w:gridSpan w:val="5"/>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公共安全支出</w:t>
            </w:r>
          </w:p>
        </w:tc>
        <w:tc>
          <w:tcPr>
            <w:tcW w:w="11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1,438.95</w:t>
            </w:r>
          </w:p>
        </w:tc>
        <w:tc>
          <w:tcPr>
            <w:tcW w:w="115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1,434.95</w:t>
            </w:r>
          </w:p>
        </w:tc>
        <w:tc>
          <w:tcPr>
            <w:tcW w:w="8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4.00</w:t>
            </w:r>
          </w:p>
        </w:tc>
      </w:tr>
      <w:tr>
        <w:tblPrEx>
          <w:tblCellMar>
            <w:top w:w="0" w:type="dxa"/>
            <w:left w:w="0" w:type="dxa"/>
            <w:bottom w:w="0" w:type="dxa"/>
            <w:right w:w="0" w:type="dxa"/>
          </w:tblCellMar>
        </w:tblPrEx>
        <w:trPr>
          <w:gridAfter w:val="1"/>
          <w:wAfter w:w="586" w:type="dxa"/>
          <w:trHeight w:val="377"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法院</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1,438.95</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1,434.95</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4.00</w:t>
            </w:r>
          </w:p>
        </w:tc>
      </w:tr>
      <w:tr>
        <w:tblPrEx>
          <w:tblCellMar>
            <w:top w:w="0" w:type="dxa"/>
            <w:left w:w="0" w:type="dxa"/>
            <w:bottom w:w="0" w:type="dxa"/>
            <w:right w:w="0" w:type="dxa"/>
          </w:tblCellMar>
        </w:tblPrEx>
        <w:trPr>
          <w:gridAfter w:val="1"/>
          <w:wAfter w:w="586" w:type="dxa"/>
          <w:trHeight w:val="452"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2040501</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800.76</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800.76</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482"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2040504</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案件审判</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20.00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467"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2040505</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案件执行</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44.00</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44.00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422"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2040599</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其他法院支出</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574.19</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570.19</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4.00</w:t>
            </w:r>
          </w:p>
        </w:tc>
      </w:tr>
      <w:tr>
        <w:tblPrEx>
          <w:tblCellMar>
            <w:top w:w="0" w:type="dxa"/>
            <w:left w:w="0" w:type="dxa"/>
            <w:bottom w:w="0" w:type="dxa"/>
            <w:right w:w="0" w:type="dxa"/>
          </w:tblCellMar>
        </w:tblPrEx>
        <w:trPr>
          <w:gridAfter w:val="1"/>
          <w:wAfter w:w="586" w:type="dxa"/>
          <w:trHeight w:val="467"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156.73</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156.73</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482"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153.52</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153.52</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677"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59.96</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59.96</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724"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93.56</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93.56</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572"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20827</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财政对其他社会保险基金的补助</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3.21</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3.21</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632"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2082702</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财政对工伤保险基金的补助</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2.01</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2.01</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376"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2082703</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财政对生育保险基金的补助</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1.20</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1.20</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376"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210</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卫生健康支出</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32.15</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32.15</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376"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21011</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行政事业单位医疗</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32.15</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32.15</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586" w:type="dxa"/>
          <w:trHeight w:val="557" w:hRule="atLeast"/>
        </w:trPr>
        <w:tc>
          <w:tcPr>
            <w:tcW w:w="975"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2101101</w:t>
            </w:r>
          </w:p>
        </w:tc>
        <w:tc>
          <w:tcPr>
            <w:tcW w:w="2265"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kern w:val="0"/>
                <w:sz w:val="22"/>
              </w:rPr>
            </w:pPr>
            <w:r>
              <w:rPr>
                <w:rFonts w:hint="eastAsia" w:ascii="宋体" w:hAnsi="宋体" w:eastAsia="宋体" w:cs="宋体"/>
                <w:color w:val="000000"/>
                <w:kern w:val="0"/>
                <w:sz w:val="22"/>
              </w:rPr>
              <w:t xml:space="preserve">  行政单位医疗</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32.15</w:t>
            </w:r>
          </w:p>
        </w:tc>
        <w:tc>
          <w:tcPr>
            <w:tcW w:w="11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32.15</w:t>
            </w:r>
          </w:p>
        </w:tc>
        <w:tc>
          <w:tcPr>
            <w:tcW w:w="8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3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7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c>
          <w:tcPr>
            <w:tcW w:w="97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kern w:val="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76" w:hRule="atLeast"/>
        </w:trPr>
        <w:tc>
          <w:tcPr>
            <w:tcW w:w="10156" w:type="dxa"/>
            <w:gridSpan w:val="14"/>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注：本表反映部门本年度取得的各项收入情况。</w:t>
            </w:r>
          </w:p>
        </w:tc>
      </w:tr>
    </w:tbl>
    <w:p>
      <w:pPr>
        <w:jc w:val="left"/>
      </w:pPr>
    </w:p>
    <w:p/>
    <w:p/>
    <w:tbl>
      <w:tblPr>
        <w:tblStyle w:val="7"/>
        <w:tblpPr w:leftFromText="180" w:rightFromText="180" w:vertAnchor="text" w:horzAnchor="page" w:tblpX="1226" w:tblpY="193"/>
        <w:tblOverlap w:val="never"/>
        <w:tblW w:w="9540" w:type="dxa"/>
        <w:tblInd w:w="0" w:type="dxa"/>
        <w:tblLayout w:type="fixed"/>
        <w:tblCellMar>
          <w:top w:w="0" w:type="dxa"/>
          <w:left w:w="0" w:type="dxa"/>
          <w:bottom w:w="0" w:type="dxa"/>
          <w:right w:w="0" w:type="dxa"/>
        </w:tblCellMar>
      </w:tblPr>
      <w:tblGrid>
        <w:gridCol w:w="360"/>
        <w:gridCol w:w="340"/>
        <w:gridCol w:w="340"/>
        <w:gridCol w:w="2248"/>
        <w:gridCol w:w="1125"/>
        <w:gridCol w:w="1050"/>
        <w:gridCol w:w="840"/>
        <w:gridCol w:w="900"/>
        <w:gridCol w:w="795"/>
        <w:gridCol w:w="1542"/>
      </w:tblGrid>
      <w:tr>
        <w:tblPrEx>
          <w:tblCellMar>
            <w:top w:w="0" w:type="dxa"/>
            <w:left w:w="0" w:type="dxa"/>
            <w:bottom w:w="0" w:type="dxa"/>
            <w:right w:w="0" w:type="dxa"/>
          </w:tblCellMar>
        </w:tblPrEx>
        <w:trPr>
          <w:trHeight w:val="390" w:hRule="atLeast"/>
        </w:trPr>
        <w:tc>
          <w:tcPr>
            <w:tcW w:w="3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4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15" w:type="dxa"/>
            <w:gridSpan w:val="3"/>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黑体" w:hAnsi="宋体" w:eastAsia="黑体" w:cs="黑体"/>
                <w:color w:val="000000"/>
                <w:kern w:val="0"/>
                <w:sz w:val="32"/>
                <w:szCs w:val="32"/>
              </w:rPr>
              <w:t>支出决算表</w:t>
            </w:r>
          </w:p>
        </w:tc>
        <w:tc>
          <w:tcPr>
            <w:tcW w:w="9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4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r>
      <w:tr>
        <w:tblPrEx>
          <w:tblCellMar>
            <w:top w:w="0" w:type="dxa"/>
            <w:left w:w="0" w:type="dxa"/>
            <w:bottom w:w="0" w:type="dxa"/>
            <w:right w:w="0" w:type="dxa"/>
          </w:tblCellMar>
        </w:tblPrEx>
        <w:trPr>
          <w:trHeight w:val="255" w:hRule="atLeast"/>
        </w:trPr>
        <w:tc>
          <w:tcPr>
            <w:tcW w:w="36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24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4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公开03表</w:t>
            </w:r>
          </w:p>
        </w:tc>
      </w:tr>
      <w:tr>
        <w:tblPrEx>
          <w:tblCellMar>
            <w:top w:w="0" w:type="dxa"/>
            <w:left w:w="0" w:type="dxa"/>
            <w:bottom w:w="0" w:type="dxa"/>
            <w:right w:w="0" w:type="dxa"/>
          </w:tblCellMar>
        </w:tblPrEx>
        <w:trPr>
          <w:trHeight w:val="255" w:hRule="atLeast"/>
        </w:trPr>
        <w:tc>
          <w:tcPr>
            <w:tcW w:w="3288" w:type="dxa"/>
            <w:gridSpan w:val="4"/>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部门：无极县人民法院</w:t>
            </w:r>
          </w:p>
        </w:tc>
        <w:tc>
          <w:tcPr>
            <w:tcW w:w="11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8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0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4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trPr>
        <w:tc>
          <w:tcPr>
            <w:tcW w:w="3288" w:type="dxa"/>
            <w:gridSpan w:val="4"/>
            <w:tcBorders>
              <w:top w:val="single" w:color="000000" w:sz="4" w:space="0"/>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2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本年支出合计</w:t>
            </w:r>
          </w:p>
        </w:tc>
        <w:tc>
          <w:tcPr>
            <w:tcW w:w="1050"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840"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900"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上缴上级支出</w:t>
            </w:r>
          </w:p>
        </w:tc>
        <w:tc>
          <w:tcPr>
            <w:tcW w:w="795"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经营支出</w:t>
            </w:r>
          </w:p>
        </w:tc>
        <w:tc>
          <w:tcPr>
            <w:tcW w:w="1542" w:type="dxa"/>
            <w:vMerge w:val="restart"/>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对附属单位补助支出</w:t>
            </w:r>
          </w:p>
        </w:tc>
      </w:tr>
      <w:tr>
        <w:tblPrEx>
          <w:tblCellMar>
            <w:top w:w="0" w:type="dxa"/>
            <w:left w:w="0" w:type="dxa"/>
            <w:bottom w:w="0" w:type="dxa"/>
            <w:right w:w="0" w:type="dxa"/>
          </w:tblCellMar>
        </w:tblPrEx>
        <w:trPr>
          <w:trHeight w:val="312" w:hRule="atLeast"/>
        </w:trPr>
        <w:tc>
          <w:tcPr>
            <w:tcW w:w="1040" w:type="dxa"/>
            <w:gridSpan w:val="3"/>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2248" w:type="dxa"/>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84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9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542"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1040"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248"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1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84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9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542"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trPr>
        <w:tc>
          <w:tcPr>
            <w:tcW w:w="1040"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2248" w:type="dxa"/>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12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05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84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900"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795"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542" w:type="dxa"/>
            <w:vMerge w:val="continue"/>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trPr>
        <w:tc>
          <w:tcPr>
            <w:tcW w:w="3288" w:type="dxa"/>
            <w:gridSpan w:val="4"/>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050"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840"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900"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79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4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trPr>
        <w:tc>
          <w:tcPr>
            <w:tcW w:w="3288" w:type="dxa"/>
            <w:gridSpan w:val="4"/>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2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1,680.46</w:t>
            </w:r>
          </w:p>
        </w:tc>
        <w:tc>
          <w:tcPr>
            <w:tcW w:w="1050"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1,543.33</w:t>
            </w:r>
          </w:p>
        </w:tc>
        <w:tc>
          <w:tcPr>
            <w:tcW w:w="840"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137.13</w:t>
            </w:r>
          </w:p>
        </w:tc>
        <w:tc>
          <w:tcPr>
            <w:tcW w:w="900"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795"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c>
          <w:tcPr>
            <w:tcW w:w="1542" w:type="dxa"/>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公共安全支出</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1,491.58</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1,354.45</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法院</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1,491.58</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1,354.45</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2040501</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880.31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880.31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2040505</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案件执行</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27.51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27.51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2040599</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其他法院支出</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583.76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446.63</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137.13</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156.73</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156.73</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153.52</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153.52</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59.96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59.96</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93.56</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93.56</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104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224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12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10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9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7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c>
          <w:tcPr>
            <w:tcW w:w="154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trHeight w:val="308" w:hRule="atLeast"/>
        </w:trPr>
        <w:tc>
          <w:tcPr>
            <w:tcW w:w="954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注：本表反映部门本年度各项支出情况。</w:t>
            </w:r>
          </w:p>
        </w:tc>
      </w:tr>
    </w:tbl>
    <w:p/>
    <w:p/>
    <w:p/>
    <w:p/>
    <w:p/>
    <w:tbl>
      <w:tblPr>
        <w:tblStyle w:val="7"/>
        <w:tblW w:w="9520" w:type="dxa"/>
        <w:jc w:val="center"/>
        <w:tblLayout w:type="fixed"/>
        <w:tblCellMar>
          <w:top w:w="0" w:type="dxa"/>
          <w:left w:w="0" w:type="dxa"/>
          <w:bottom w:w="0" w:type="dxa"/>
          <w:right w:w="0" w:type="dxa"/>
        </w:tblCellMar>
      </w:tblPr>
      <w:tblGrid>
        <w:gridCol w:w="340"/>
        <w:gridCol w:w="340"/>
        <w:gridCol w:w="340"/>
        <w:gridCol w:w="1508"/>
        <w:gridCol w:w="394"/>
        <w:gridCol w:w="425"/>
        <w:gridCol w:w="321"/>
        <w:gridCol w:w="1292"/>
        <w:gridCol w:w="1213"/>
        <w:gridCol w:w="207"/>
        <w:gridCol w:w="273"/>
        <w:gridCol w:w="302"/>
        <w:gridCol w:w="507"/>
        <w:gridCol w:w="238"/>
        <w:gridCol w:w="1031"/>
        <w:gridCol w:w="569"/>
        <w:gridCol w:w="220"/>
      </w:tblGrid>
      <w:tr>
        <w:tblPrEx>
          <w:tblCellMar>
            <w:top w:w="0" w:type="dxa"/>
            <w:left w:w="0" w:type="dxa"/>
            <w:bottom w:w="0" w:type="dxa"/>
            <w:right w:w="0" w:type="dxa"/>
          </w:tblCellMar>
        </w:tblPrEx>
        <w:trPr>
          <w:trHeight w:val="406" w:hRule="atLeast"/>
          <w:jc w:val="center"/>
        </w:trPr>
        <w:tc>
          <w:tcPr>
            <w:tcW w:w="9520" w:type="dxa"/>
            <w:gridSpan w:val="17"/>
            <w:tcBorders>
              <w:top w:val="nil"/>
              <w:left w:val="nil"/>
              <w:bottom w:val="nil"/>
              <w:right w:val="nil"/>
            </w:tcBorders>
            <w:shd w:val="clear" w:color="auto" w:fill="auto"/>
            <w:tcMar>
              <w:top w:w="15" w:type="dxa"/>
              <w:left w:w="15" w:type="dxa"/>
              <w:right w:w="15" w:type="dxa"/>
            </w:tcMar>
            <w:vAlign w:val="bottom"/>
          </w:tcPr>
          <w:p>
            <w:pPr>
              <w:jc w:val="center"/>
              <w:rPr>
                <w:rFonts w:ascii="黑体" w:hAnsi="宋体" w:eastAsia="黑体" w:cs="黑体"/>
                <w:color w:val="000000"/>
                <w:sz w:val="32"/>
                <w:szCs w:val="32"/>
              </w:rPr>
            </w:pPr>
            <w:r>
              <w:rPr>
                <w:rFonts w:hint="eastAsia" w:ascii="黑体" w:hAnsi="宋体" w:eastAsia="黑体" w:cs="黑体"/>
                <w:color w:val="000000"/>
                <w:kern w:val="0"/>
                <w:sz w:val="32"/>
                <w:szCs w:val="32"/>
              </w:rPr>
              <w:t>财政拨款收入支出决算总表</w:t>
            </w:r>
          </w:p>
        </w:tc>
      </w:tr>
      <w:tr>
        <w:tblPrEx>
          <w:tblCellMar>
            <w:top w:w="0" w:type="dxa"/>
            <w:left w:w="0" w:type="dxa"/>
            <w:bottom w:w="0" w:type="dxa"/>
            <w:right w:w="0" w:type="dxa"/>
          </w:tblCellMar>
        </w:tblPrEx>
        <w:trPr>
          <w:trHeight w:val="90" w:hRule="atLeast"/>
          <w:jc w:val="center"/>
        </w:trPr>
        <w:tc>
          <w:tcPr>
            <w:tcW w:w="2922"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87"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公开04表</w:t>
            </w:r>
          </w:p>
        </w:tc>
      </w:tr>
      <w:tr>
        <w:tblPrEx>
          <w:tblCellMar>
            <w:top w:w="0" w:type="dxa"/>
            <w:left w:w="0" w:type="dxa"/>
            <w:bottom w:w="0" w:type="dxa"/>
            <w:right w:w="0" w:type="dxa"/>
          </w:tblCellMar>
        </w:tblPrEx>
        <w:trPr>
          <w:trHeight w:val="90" w:hRule="atLeast"/>
          <w:jc w:val="center"/>
        </w:trPr>
        <w:tc>
          <w:tcPr>
            <w:tcW w:w="2922" w:type="dxa"/>
            <w:gridSpan w:val="5"/>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42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287"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0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58" w:type="dxa"/>
            <w:gridSpan w:val="4"/>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90" w:hRule="atLeast"/>
          <w:jc w:val="center"/>
        </w:trPr>
        <w:tc>
          <w:tcPr>
            <w:tcW w:w="3668"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收     入</w:t>
            </w:r>
          </w:p>
        </w:tc>
        <w:tc>
          <w:tcPr>
            <w:tcW w:w="5852" w:type="dxa"/>
            <w:gridSpan w:val="10"/>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支     出</w:t>
            </w:r>
          </w:p>
        </w:tc>
      </w:tr>
      <w:tr>
        <w:tblPrEx>
          <w:tblCellMar>
            <w:top w:w="0" w:type="dxa"/>
            <w:left w:w="0" w:type="dxa"/>
            <w:bottom w:w="0" w:type="dxa"/>
            <w:right w:w="0" w:type="dxa"/>
          </w:tblCellMar>
        </w:tblPrEx>
        <w:trPr>
          <w:trHeight w:val="312" w:hRule="atLeast"/>
          <w:jc w:val="center"/>
        </w:trPr>
        <w:tc>
          <w:tcPr>
            <w:tcW w:w="2528" w:type="dxa"/>
            <w:gridSpan w:val="4"/>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39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746"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金额</w:t>
            </w:r>
          </w:p>
        </w:tc>
        <w:tc>
          <w:tcPr>
            <w:tcW w:w="250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80"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行次</w:t>
            </w:r>
          </w:p>
        </w:tc>
        <w:tc>
          <w:tcPr>
            <w:tcW w:w="80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26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一般公共预算财政拨款</w:t>
            </w:r>
          </w:p>
        </w:tc>
        <w:tc>
          <w:tcPr>
            <w:tcW w:w="78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政府性基金预算财政拨款</w:t>
            </w:r>
          </w:p>
        </w:tc>
      </w:tr>
      <w:tr>
        <w:tblPrEx>
          <w:tblCellMar>
            <w:top w:w="0" w:type="dxa"/>
            <w:left w:w="0" w:type="dxa"/>
            <w:bottom w:w="0" w:type="dxa"/>
            <w:right w:w="0" w:type="dxa"/>
          </w:tblCellMar>
        </w:tblPrEx>
        <w:trPr>
          <w:trHeight w:val="312" w:hRule="atLeast"/>
          <w:jc w:val="center"/>
        </w:trPr>
        <w:tc>
          <w:tcPr>
            <w:tcW w:w="2528" w:type="dxa"/>
            <w:gridSpan w:val="4"/>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39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6"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250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480"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26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1"/>
              </w:rPr>
            </w:pPr>
            <w:r>
              <w:rPr>
                <w:rFonts w:hint="eastAsia" w:ascii="宋体" w:hAnsi="宋体" w:eastAsia="宋体" w:cs="宋体"/>
                <w:color w:val="000000"/>
                <w:kern w:val="0"/>
                <w:szCs w:val="21"/>
              </w:rPr>
              <w:t>栏次</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r>
      <w:tr>
        <w:tblPrEx>
          <w:tblCellMar>
            <w:top w:w="0" w:type="dxa"/>
            <w:left w:w="0" w:type="dxa"/>
            <w:bottom w:w="0" w:type="dxa"/>
            <w:right w:w="0" w:type="dxa"/>
          </w:tblCellMar>
        </w:tblPrEx>
        <w:trPr>
          <w:trHeight w:val="429"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1623.83</w:t>
            </w: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一、一般公共服务支出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30</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二、外交支出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31</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三、国防支出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32</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四、公共安全支出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33</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1474.63</w:t>
            </w: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1474.63</w:t>
            </w: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五、教育支出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34</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6</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六、科学技术支出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35</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7</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七、文化旅游体育与传媒支出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36</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8</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八、社会保障和就业支出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37</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156.73</w:t>
            </w: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156.73</w:t>
            </w: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9</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九、卫生健康支出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38</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32.15</w:t>
            </w: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32.15</w:t>
            </w: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10</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十、节能环保支出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39</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11</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十一、城乡社区支出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40</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12</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十二、农林水支出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41</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13</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十三、交通运输支出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42</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14</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十四、资源勘探信息等支出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43</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15</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十五、商业服务业等支出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44</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16</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十六、金融支出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45</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17</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十七、援助其他地区支出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46</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18</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6"/>
                <w:szCs w:val="16"/>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rPr>
              <w:t>十八、自然资源海洋气象等支出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47</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19</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十九、住房保障支出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48</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20</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二十、粮油物资储备支出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49</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21</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6"/>
                <w:szCs w:val="16"/>
              </w:rPr>
            </w:pPr>
            <w:r>
              <w:rPr>
                <w:rFonts w:hint="eastAsia" w:ascii="宋体" w:hAnsi="宋体" w:eastAsia="宋体" w:cs="宋体"/>
                <w:color w:val="000000"/>
                <w:kern w:val="0"/>
                <w:sz w:val="15"/>
                <w:szCs w:val="15"/>
              </w:rPr>
              <w:t>二十一、灾害防治及应急管理支出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50</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22</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二十二、其他支出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51</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23</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二十四、债务付息支出</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52</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本年收入合计</w:t>
            </w: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24</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1623.83</w:t>
            </w: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本年支出合计</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53</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1663.51</w:t>
            </w: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1663.51</w:t>
            </w: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年初财政拨款结转和结余</w:t>
            </w: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25</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79.55</w:t>
            </w: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年末财政拨款结转和结余</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54</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39.87</w:t>
            </w: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39.87</w:t>
            </w: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一、一般公共预算财政拨款</w:t>
            </w: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26</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79.55</w:t>
            </w: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55</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二、政府性基金预算财政拨款</w:t>
            </w: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27</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56</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28</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8"/>
                <w:szCs w:val="18"/>
              </w:rPr>
            </w:pP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57</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25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39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29</w:t>
            </w:r>
          </w:p>
        </w:tc>
        <w:tc>
          <w:tcPr>
            <w:tcW w:w="746"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1703.38</w:t>
            </w:r>
          </w:p>
        </w:tc>
        <w:tc>
          <w:tcPr>
            <w:tcW w:w="250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b/>
                <w:color w:val="000000"/>
                <w:sz w:val="18"/>
                <w:szCs w:val="18"/>
              </w:rPr>
            </w:pPr>
            <w:r>
              <w:rPr>
                <w:rFonts w:hint="eastAsia" w:ascii="宋体" w:hAnsi="宋体" w:eastAsia="宋体" w:cs="宋体"/>
                <w:b/>
                <w:color w:val="000000"/>
                <w:kern w:val="0"/>
                <w:sz w:val="18"/>
                <w:szCs w:val="18"/>
              </w:rPr>
              <w:t>总计</w:t>
            </w:r>
          </w:p>
        </w:tc>
        <w:tc>
          <w:tcPr>
            <w:tcW w:w="48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58</w:t>
            </w:r>
          </w:p>
        </w:tc>
        <w:tc>
          <w:tcPr>
            <w:tcW w:w="80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1703.38</w:t>
            </w:r>
          </w:p>
        </w:tc>
        <w:tc>
          <w:tcPr>
            <w:tcW w:w="126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r>
              <w:rPr>
                <w:rFonts w:hint="eastAsia" w:ascii="宋体" w:hAnsi="宋体" w:eastAsia="宋体" w:cs="宋体"/>
                <w:color w:val="000000"/>
                <w:sz w:val="18"/>
                <w:szCs w:val="18"/>
              </w:rPr>
              <w:t>1703.38</w:t>
            </w:r>
          </w:p>
        </w:tc>
        <w:tc>
          <w:tcPr>
            <w:tcW w:w="78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8"/>
                <w:szCs w:val="18"/>
              </w:rPr>
            </w:pPr>
          </w:p>
        </w:tc>
      </w:tr>
      <w:tr>
        <w:tblPrEx>
          <w:tblCellMar>
            <w:top w:w="0" w:type="dxa"/>
            <w:left w:w="0" w:type="dxa"/>
            <w:bottom w:w="0" w:type="dxa"/>
            <w:right w:w="0" w:type="dxa"/>
          </w:tblCellMar>
        </w:tblPrEx>
        <w:trPr>
          <w:trHeight w:val="90" w:hRule="atLeast"/>
          <w:jc w:val="center"/>
        </w:trPr>
        <w:tc>
          <w:tcPr>
            <w:tcW w:w="9520" w:type="dxa"/>
            <w:gridSpan w:val="17"/>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rPr>
              <w:t>注：本表反映部门本年度一般公共预算财政拨款和政府性基金预算财政拨款的总收支和年末结转结余情况。</w:t>
            </w:r>
          </w:p>
        </w:tc>
      </w:tr>
      <w:tr>
        <w:tblPrEx>
          <w:tblCellMar>
            <w:top w:w="0" w:type="dxa"/>
            <w:left w:w="0" w:type="dxa"/>
            <w:bottom w:w="0" w:type="dxa"/>
            <w:right w:w="0" w:type="dxa"/>
          </w:tblCellMar>
        </w:tblPrEx>
        <w:trPr>
          <w:gridAfter w:val="1"/>
          <w:wAfter w:w="220" w:type="dxa"/>
          <w:trHeight w:val="390" w:hRule="atLeast"/>
          <w:jc w:val="center"/>
        </w:trPr>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br w:type="page"/>
            </w: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p>
            <w:pPr>
              <w:rPr>
                <w:rFonts w:ascii="Arial" w:hAnsi="Arial" w:cs="Arial"/>
                <w:color w:val="000000"/>
                <w:sz w:val="20"/>
                <w:szCs w:val="20"/>
              </w:rPr>
            </w:pPr>
          </w:p>
          <w:p>
            <w:pPr>
              <w:rPr>
                <w:rFonts w:ascii="Arial" w:hAnsi="Arial" w:cs="Arial"/>
                <w:color w:val="000000"/>
                <w:sz w:val="20"/>
                <w:szCs w:val="20"/>
              </w:rPr>
            </w:pPr>
          </w:p>
          <w:p>
            <w:pPr>
              <w:rPr>
                <w:rFonts w:ascii="Arial" w:hAnsi="Arial" w:cs="Arial"/>
                <w:color w:val="000000"/>
                <w:sz w:val="20"/>
                <w:szCs w:val="20"/>
              </w:rPr>
            </w:pPr>
          </w:p>
          <w:p>
            <w:pPr>
              <w:rPr>
                <w:rFonts w:ascii="Arial" w:hAnsi="Arial" w:cs="Arial"/>
                <w:color w:val="000000"/>
                <w:sz w:val="20"/>
                <w:szCs w:val="20"/>
              </w:rPr>
            </w:pP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80" w:type="dxa"/>
            <w:gridSpan w:val="11"/>
            <w:tcBorders>
              <w:top w:val="nil"/>
              <w:left w:val="nil"/>
              <w:bottom w:val="nil"/>
              <w:right w:val="nil"/>
            </w:tcBorders>
            <w:shd w:val="clear" w:color="auto" w:fill="auto"/>
            <w:tcMar>
              <w:top w:w="15" w:type="dxa"/>
              <w:left w:w="15" w:type="dxa"/>
              <w:right w:w="15" w:type="dxa"/>
            </w:tcMar>
            <w:vAlign w:val="bottom"/>
          </w:tcPr>
          <w:p>
            <w:pPr>
              <w:rPr>
                <w:rFonts w:ascii="黑体" w:hAnsi="宋体" w:eastAsia="黑体" w:cs="黑体"/>
                <w:color w:val="000000"/>
                <w:kern w:val="0"/>
                <w:sz w:val="32"/>
                <w:szCs w:val="32"/>
              </w:rPr>
            </w:pPr>
          </w:p>
          <w:p>
            <w:pPr>
              <w:rPr>
                <w:rFonts w:ascii="黑体" w:hAnsi="宋体" w:eastAsia="黑体" w:cs="黑体"/>
                <w:color w:val="000000"/>
                <w:kern w:val="0"/>
                <w:sz w:val="32"/>
                <w:szCs w:val="32"/>
              </w:rPr>
            </w:pPr>
          </w:p>
          <w:p>
            <w:pPr>
              <w:rPr>
                <w:rFonts w:ascii="Arial" w:hAnsi="Arial" w:cs="Arial"/>
                <w:color w:val="000000"/>
                <w:sz w:val="20"/>
                <w:szCs w:val="20"/>
              </w:rPr>
            </w:pPr>
            <w:r>
              <w:rPr>
                <w:rFonts w:hint="eastAsia" w:ascii="黑体" w:hAnsi="宋体" w:eastAsia="黑体" w:cs="黑体"/>
                <w:color w:val="000000"/>
                <w:kern w:val="0"/>
                <w:sz w:val="32"/>
                <w:szCs w:val="32"/>
              </w:rPr>
              <w:t>一般公共预算财政拨款支出决算表</w:t>
            </w:r>
          </w:p>
        </w:tc>
        <w:tc>
          <w:tcPr>
            <w:tcW w:w="160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r>
      <w:tr>
        <w:tblPrEx>
          <w:tblCellMar>
            <w:top w:w="0" w:type="dxa"/>
            <w:left w:w="0" w:type="dxa"/>
            <w:bottom w:w="0" w:type="dxa"/>
            <w:right w:w="0" w:type="dxa"/>
          </w:tblCellMar>
        </w:tblPrEx>
        <w:trPr>
          <w:gridAfter w:val="1"/>
          <w:wAfter w:w="220" w:type="dxa"/>
          <w:trHeight w:val="255" w:hRule="atLeast"/>
          <w:jc w:val="center"/>
        </w:trPr>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4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940"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2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20"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公开05表</w:t>
            </w:r>
          </w:p>
        </w:tc>
      </w:tr>
      <w:tr>
        <w:tblPrEx>
          <w:tblCellMar>
            <w:top w:w="0" w:type="dxa"/>
            <w:left w:w="0" w:type="dxa"/>
            <w:bottom w:w="0" w:type="dxa"/>
            <w:right w:w="0" w:type="dxa"/>
          </w:tblCellMar>
        </w:tblPrEx>
        <w:trPr>
          <w:gridAfter w:val="1"/>
          <w:wAfter w:w="220" w:type="dxa"/>
          <w:trHeight w:val="255" w:hRule="atLeast"/>
          <w:jc w:val="center"/>
        </w:trPr>
        <w:tc>
          <w:tcPr>
            <w:tcW w:w="4960" w:type="dxa"/>
            <w:gridSpan w:val="8"/>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部门：无极县人民法院</w:t>
            </w:r>
          </w:p>
        </w:tc>
        <w:tc>
          <w:tcPr>
            <w:tcW w:w="1420"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20" w:type="dxa"/>
            <w:gridSpan w:val="4"/>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gridAfter w:val="1"/>
          <w:wAfter w:w="220" w:type="dxa"/>
          <w:trHeight w:val="308" w:hRule="atLeast"/>
          <w:jc w:val="center"/>
        </w:trPr>
        <w:tc>
          <w:tcPr>
            <w:tcW w:w="4960" w:type="dxa"/>
            <w:gridSpan w:val="8"/>
            <w:tcBorders>
              <w:top w:val="single" w:color="000000" w:sz="4" w:space="0"/>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4340" w:type="dxa"/>
            <w:gridSpan w:val="8"/>
            <w:tcBorders>
              <w:top w:val="single" w:color="000000" w:sz="4" w:space="0"/>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gridAfter w:val="1"/>
          <w:wAfter w:w="220" w:type="dxa"/>
          <w:trHeight w:val="312" w:hRule="atLeast"/>
          <w:jc w:val="center"/>
        </w:trPr>
        <w:tc>
          <w:tcPr>
            <w:tcW w:w="1020" w:type="dxa"/>
            <w:gridSpan w:val="3"/>
            <w:vMerge w:val="restart"/>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940" w:type="dxa"/>
            <w:gridSpan w:val="5"/>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420" w:type="dxa"/>
            <w:gridSpan w:val="2"/>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320" w:type="dxa"/>
            <w:gridSpan w:val="4"/>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600" w:type="dxa"/>
            <w:gridSpan w:val="2"/>
            <w:vMerge w:val="restart"/>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gridAfter w:val="1"/>
          <w:wAfter w:w="220" w:type="dxa"/>
          <w:trHeight w:val="312" w:hRule="atLeast"/>
          <w:jc w:val="center"/>
        </w:trPr>
        <w:tc>
          <w:tcPr>
            <w:tcW w:w="1020"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3940" w:type="dxa"/>
            <w:gridSpan w:val="5"/>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420" w:type="dxa"/>
            <w:gridSpan w:val="2"/>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320" w:type="dxa"/>
            <w:gridSpan w:val="4"/>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600" w:type="dxa"/>
            <w:gridSpan w:val="2"/>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220" w:type="dxa"/>
          <w:trHeight w:val="312" w:hRule="atLeast"/>
          <w:jc w:val="center"/>
        </w:trPr>
        <w:tc>
          <w:tcPr>
            <w:tcW w:w="1020" w:type="dxa"/>
            <w:gridSpan w:val="3"/>
            <w:vMerge w:val="continue"/>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3940" w:type="dxa"/>
            <w:gridSpan w:val="5"/>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420" w:type="dxa"/>
            <w:gridSpan w:val="2"/>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320" w:type="dxa"/>
            <w:gridSpan w:val="4"/>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c>
          <w:tcPr>
            <w:tcW w:w="1600" w:type="dxa"/>
            <w:gridSpan w:val="2"/>
            <w:vMerge w:val="continue"/>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gridAfter w:val="1"/>
          <w:wAfter w:w="220" w:type="dxa"/>
          <w:trHeight w:val="308" w:hRule="atLeast"/>
          <w:jc w:val="center"/>
        </w:trPr>
        <w:tc>
          <w:tcPr>
            <w:tcW w:w="4960" w:type="dxa"/>
            <w:gridSpan w:val="8"/>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42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320" w:type="dxa"/>
            <w:gridSpan w:val="4"/>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60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gridAfter w:val="1"/>
          <w:wAfter w:w="220" w:type="dxa"/>
          <w:trHeight w:val="308" w:hRule="atLeast"/>
          <w:jc w:val="center"/>
        </w:trPr>
        <w:tc>
          <w:tcPr>
            <w:tcW w:w="4960" w:type="dxa"/>
            <w:gridSpan w:val="8"/>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42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1,663.51</w:t>
            </w:r>
          </w:p>
        </w:tc>
        <w:tc>
          <w:tcPr>
            <w:tcW w:w="1320" w:type="dxa"/>
            <w:gridSpan w:val="4"/>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1,526.38</w:t>
            </w:r>
          </w:p>
        </w:tc>
        <w:tc>
          <w:tcPr>
            <w:tcW w:w="160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b/>
                <w:color w:val="000000"/>
                <w:sz w:val="22"/>
              </w:rPr>
            </w:pPr>
            <w:r>
              <w:rPr>
                <w:rFonts w:hint="eastAsia" w:ascii="宋体" w:hAnsi="宋体" w:eastAsia="宋体" w:cs="宋体"/>
                <w:b/>
                <w:color w:val="000000"/>
                <w:kern w:val="0"/>
                <w:sz w:val="22"/>
              </w:rPr>
              <w:t>137.13</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w:t>
            </w:r>
          </w:p>
        </w:tc>
        <w:tc>
          <w:tcPr>
            <w:tcW w:w="3940" w:type="dxa"/>
            <w:gridSpan w:val="5"/>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公共安全支出</w:t>
            </w:r>
          </w:p>
        </w:tc>
        <w:tc>
          <w:tcPr>
            <w:tcW w:w="142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1,474.63</w:t>
            </w:r>
          </w:p>
        </w:tc>
        <w:tc>
          <w:tcPr>
            <w:tcW w:w="1320" w:type="dxa"/>
            <w:gridSpan w:val="4"/>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1,337.50</w:t>
            </w:r>
          </w:p>
        </w:tc>
        <w:tc>
          <w:tcPr>
            <w:tcW w:w="160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137.13</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w:t>
            </w:r>
          </w:p>
        </w:tc>
        <w:tc>
          <w:tcPr>
            <w:tcW w:w="3940" w:type="dxa"/>
            <w:gridSpan w:val="5"/>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法院</w:t>
            </w:r>
          </w:p>
        </w:tc>
        <w:tc>
          <w:tcPr>
            <w:tcW w:w="142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1,474.63</w:t>
            </w:r>
          </w:p>
        </w:tc>
        <w:tc>
          <w:tcPr>
            <w:tcW w:w="1320" w:type="dxa"/>
            <w:gridSpan w:val="4"/>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1,337.50</w:t>
            </w:r>
          </w:p>
        </w:tc>
        <w:tc>
          <w:tcPr>
            <w:tcW w:w="1600" w:type="dxa"/>
            <w:gridSpan w:val="2"/>
            <w:tcBorders>
              <w:top w:val="nil"/>
              <w:left w:val="nil"/>
              <w:bottom w:val="single" w:color="000000" w:sz="4" w:space="0"/>
              <w:right w:val="single" w:color="000000" w:sz="4" w:space="0"/>
            </w:tcBorders>
            <w:shd w:val="clear" w:color="auto" w:fill="FFFFFF" w:themeFill="background1"/>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137.13</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2040501</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行政运行</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880.31</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880.31</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2040505</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案件执行</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27.51</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27.51</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2040599</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其他法院支出</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566.81</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429.68</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137.13</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社会保障和就业支出</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156.73</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156.73</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行政事业单位离退休</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153.52</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153.52</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2080501</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归口管理的行政单位离退休</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59.96</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59.96</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2080505</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机关事业单位基本养老保险缴费支出</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93.56</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93.56</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财政对其他社会保险基金的补助</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2082702</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财政对工伤保险基金的补助</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2.01</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2082703</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财政对生育保险基金的补助</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1.20</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卫生健康支出</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行政事业单位医疗</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r>
        <w:tblPrEx>
          <w:tblCellMar>
            <w:top w:w="0" w:type="dxa"/>
            <w:left w:w="0" w:type="dxa"/>
            <w:bottom w:w="0" w:type="dxa"/>
            <w:right w:w="0" w:type="dxa"/>
          </w:tblCellMar>
        </w:tblPrEx>
        <w:trPr>
          <w:gridAfter w:val="1"/>
          <w:wAfter w:w="220" w:type="dxa"/>
          <w:trHeight w:val="308" w:hRule="atLeast"/>
          <w:jc w:val="center"/>
        </w:trPr>
        <w:tc>
          <w:tcPr>
            <w:tcW w:w="1020"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2101101</w:t>
            </w:r>
          </w:p>
        </w:tc>
        <w:tc>
          <w:tcPr>
            <w:tcW w:w="3940"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rPr>
              <w:t xml:space="preserve">  行政单位医疗</w:t>
            </w:r>
          </w:p>
        </w:tc>
        <w:tc>
          <w:tcPr>
            <w:tcW w:w="14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1320"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32.15</w:t>
            </w:r>
          </w:p>
        </w:tc>
        <w:tc>
          <w:tcPr>
            <w:tcW w:w="160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eastAsia="宋体" w:cs="宋体"/>
                <w:color w:val="000000"/>
                <w:sz w:val="22"/>
              </w:rPr>
            </w:pPr>
            <w:r>
              <w:rPr>
                <w:rFonts w:hint="eastAsia" w:ascii="宋体" w:hAnsi="宋体" w:eastAsia="宋体" w:cs="宋体"/>
                <w:color w:val="000000"/>
                <w:kern w:val="0"/>
                <w:sz w:val="22"/>
              </w:rPr>
              <w:t>0.00</w:t>
            </w:r>
          </w:p>
        </w:tc>
      </w:tr>
    </w:tbl>
    <w:p>
      <w:r>
        <w:br w:type="page"/>
      </w:r>
    </w:p>
    <w:tbl>
      <w:tblPr>
        <w:tblStyle w:val="7"/>
        <w:tblW w:w="10000" w:type="dxa"/>
        <w:jc w:val="center"/>
        <w:tblLayout w:type="fixed"/>
        <w:tblCellMar>
          <w:top w:w="0" w:type="dxa"/>
          <w:left w:w="0" w:type="dxa"/>
          <w:bottom w:w="0" w:type="dxa"/>
          <w:right w:w="0" w:type="dxa"/>
        </w:tblCellMar>
      </w:tblPr>
      <w:tblGrid>
        <w:gridCol w:w="896"/>
        <w:gridCol w:w="1932"/>
        <w:gridCol w:w="783"/>
        <w:gridCol w:w="655"/>
        <w:gridCol w:w="1599"/>
        <w:gridCol w:w="768"/>
        <w:gridCol w:w="744"/>
        <w:gridCol w:w="1891"/>
        <w:gridCol w:w="732"/>
      </w:tblGrid>
      <w:tr>
        <w:tblPrEx>
          <w:tblCellMar>
            <w:top w:w="0" w:type="dxa"/>
            <w:left w:w="0" w:type="dxa"/>
            <w:bottom w:w="0" w:type="dxa"/>
            <w:right w:w="0" w:type="dxa"/>
          </w:tblCellMar>
        </w:tblPrEx>
        <w:trPr>
          <w:trHeight w:val="662" w:hRule="atLeast"/>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一般公共预算财政拨款基本支出决算表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公开06表</w:t>
            </w:r>
          </w:p>
        </w:tc>
      </w:tr>
      <w:tr>
        <w:tblPrEx>
          <w:tblCellMar>
            <w:top w:w="0" w:type="dxa"/>
            <w:left w:w="0" w:type="dxa"/>
            <w:bottom w:w="0" w:type="dxa"/>
            <w:right w:w="0" w:type="dxa"/>
          </w:tblCellMar>
        </w:tblPrEx>
        <w:trPr>
          <w:trHeight w:val="339" w:hRule="atLeast"/>
          <w:jc w:val="center"/>
        </w:trPr>
        <w:tc>
          <w:tcPr>
            <w:tcW w:w="896"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93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8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5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6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6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rPr>
              <w:t>金额单位：万元</w:t>
            </w:r>
          </w:p>
        </w:tc>
      </w:tr>
      <w:tr>
        <w:tblPrEx>
          <w:tblCellMar>
            <w:top w:w="0" w:type="dxa"/>
            <w:left w:w="0" w:type="dxa"/>
            <w:bottom w:w="0" w:type="dxa"/>
            <w:right w:w="0" w:type="dxa"/>
          </w:tblCellMar>
        </w:tblPrEx>
        <w:trPr>
          <w:trHeight w:val="362" w:hRule="atLeast"/>
          <w:jc w:val="center"/>
        </w:trPr>
        <w:tc>
          <w:tcPr>
            <w:tcW w:w="36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人员经费</w:t>
            </w:r>
          </w:p>
        </w:tc>
        <w:tc>
          <w:tcPr>
            <w:tcW w:w="6389"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公用经费</w:t>
            </w:r>
          </w:p>
        </w:tc>
      </w:tr>
      <w:tr>
        <w:tblPrEx>
          <w:tblCellMar>
            <w:top w:w="0" w:type="dxa"/>
            <w:left w:w="0" w:type="dxa"/>
            <w:bottom w:w="0" w:type="dxa"/>
            <w:right w:w="0" w:type="dxa"/>
          </w:tblCellMar>
        </w:tblPrEx>
        <w:trPr>
          <w:trHeight w:val="362" w:hRule="atLeast"/>
          <w:jc w:val="center"/>
        </w:trPr>
        <w:tc>
          <w:tcPr>
            <w:tcW w:w="896"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9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8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65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科目编码</w:t>
            </w:r>
          </w:p>
        </w:tc>
        <w:tc>
          <w:tcPr>
            <w:tcW w:w="159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6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c>
          <w:tcPr>
            <w:tcW w:w="74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kern w:val="0"/>
                <w:sz w:val="22"/>
              </w:rPr>
            </w:pPr>
            <w:r>
              <w:rPr>
                <w:rFonts w:hint="eastAsia" w:ascii="宋体" w:hAnsi="宋体" w:eastAsia="宋体" w:cs="宋体"/>
                <w:color w:val="000000"/>
                <w:kern w:val="0"/>
                <w:sz w:val="22"/>
              </w:rPr>
              <w:t>科目</w:t>
            </w:r>
          </w:p>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编码</w:t>
            </w:r>
          </w:p>
        </w:tc>
        <w:tc>
          <w:tcPr>
            <w:tcW w:w="18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73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349" w:hRule="atLeast"/>
          <w:jc w:val="center"/>
        </w:trPr>
        <w:tc>
          <w:tcPr>
            <w:tcW w:w="896"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9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8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65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9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6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4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8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73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868</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570.25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债务利息及费用支出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基本工资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475.27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39.49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国内债务付息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津贴补贴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76.96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印刷费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6.39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30702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国外债务付息</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26.55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咨询费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伙食补助费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手续费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房屋建筑物购建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绩效工资</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77.46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水费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1.73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办公设备购置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机关事业单位基本养老保险缴费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130.93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13.74</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专用设备购置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职业年金缴费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18.69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邮电费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65.68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31005</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基础设施建设</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职工基本医疗保险缴费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40.09</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取暖费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25.13</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大型修缮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公务员医疗补助缴费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30209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物业管理费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信息网络及软件购置更新</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其他社会保障缴费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3.21</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差旅费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44.65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物资储备</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住房公积金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30212</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因公出国（境）费用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31009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土地补偿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30114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30213</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维修（护）费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47.92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31010</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安置补助</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30199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其他工资福利支出</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18.85</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租赁费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地上附着物和青苗补偿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88.13</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会议费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拆迁补偿</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30301</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离休费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培训费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1.26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31013</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30302</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退休费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59.96</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公务接待费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31019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其他交通工具购置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30303</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退职（役）费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30218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专用材料费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31021</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文物和陈列品购置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30304</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抚恤金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30224</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被装购置费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2.96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31022</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无形资产购置</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30305</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生活补助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28.17</w:t>
            </w: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30225</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专用燃料费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31099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其他资本性支出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30306</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救济费</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30226</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劳务费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192.08</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30307</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医疗费补助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30227</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委托业务费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3.06</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39906</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赠与</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2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30308</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助学金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30228</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工会经费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10.99</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39907</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国家赔偿费用支出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30309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奖励金</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30229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福利费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39908</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18"/>
                <w:szCs w:val="18"/>
              </w:rPr>
              <w:t xml:space="preserve"> 对民间非营利组织和群众性自治组织补贴</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30310</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个人农业生产补贴</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30231</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公务用车运行维护费</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1.80</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39999</w:t>
            </w: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其他支出</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30399</w:t>
            </w: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其他对个人和家庭的补助</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30239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其他交通费用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72.22</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30240</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税金及附加费用</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482" w:hRule="atLeast"/>
          <w:jc w:val="center"/>
        </w:trPr>
        <w:tc>
          <w:tcPr>
            <w:tcW w:w="896"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9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p>
        </w:tc>
        <w:tc>
          <w:tcPr>
            <w:tcW w:w="65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30299</w:t>
            </w:r>
          </w:p>
        </w:tc>
        <w:tc>
          <w:tcPr>
            <w:tcW w:w="15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 xml:space="preserve">  其他商品和服务支出</w:t>
            </w:r>
          </w:p>
        </w:tc>
        <w:tc>
          <w:tcPr>
            <w:tcW w:w="7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41.15</w:t>
            </w:r>
          </w:p>
        </w:tc>
        <w:tc>
          <w:tcPr>
            <w:tcW w:w="74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18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20"/>
                <w:szCs w:val="20"/>
              </w:rPr>
            </w:pP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8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人员经费合计</w:t>
            </w:r>
          </w:p>
        </w:tc>
        <w:tc>
          <w:tcPr>
            <w:tcW w:w="78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20"/>
                <w:szCs w:val="20"/>
              </w:rPr>
            </w:pPr>
            <w:r>
              <w:rPr>
                <w:rFonts w:hint="eastAsia" w:ascii="宋体" w:hAnsi="宋体" w:eastAsia="宋体" w:cs="宋体"/>
                <w:color w:val="000000"/>
                <w:sz w:val="20"/>
                <w:szCs w:val="20"/>
              </w:rPr>
              <w:t>956.13</w:t>
            </w:r>
          </w:p>
        </w:tc>
        <w:tc>
          <w:tcPr>
            <w:tcW w:w="5657"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20"/>
                <w:szCs w:val="20"/>
              </w:rPr>
            </w:pPr>
            <w:r>
              <w:rPr>
                <w:rFonts w:hint="eastAsia" w:ascii="宋体" w:hAnsi="宋体" w:eastAsia="宋体" w:cs="宋体"/>
                <w:color w:val="000000"/>
                <w:kern w:val="0"/>
                <w:sz w:val="20"/>
                <w:szCs w:val="20"/>
              </w:rPr>
              <w:t>公用经费合计</w:t>
            </w:r>
          </w:p>
        </w:tc>
        <w:tc>
          <w:tcPr>
            <w:tcW w:w="73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20"/>
                <w:szCs w:val="20"/>
              </w:rPr>
            </w:pPr>
            <w:r>
              <w:rPr>
                <w:rFonts w:hint="eastAsia" w:ascii="宋体" w:hAnsi="宋体" w:eastAsia="宋体" w:cs="宋体"/>
                <w:color w:val="000000"/>
                <w:sz w:val="20"/>
                <w:szCs w:val="20"/>
              </w:rPr>
              <w:t>570.25</w:t>
            </w:r>
          </w:p>
        </w:tc>
      </w:tr>
    </w:tbl>
    <w:p>
      <w:r>
        <w:br w:type="page"/>
      </w:r>
    </w:p>
    <w:tbl>
      <w:tblPr>
        <w:tblStyle w:val="7"/>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公开07表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1686"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6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3</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1.8</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r>
              <w:rPr>
                <w:rFonts w:hint="eastAsia" w:ascii="宋体" w:hAnsi="宋体" w:eastAsia="宋体" w:cs="宋体"/>
                <w:color w:val="000000"/>
                <w:sz w:val="22"/>
              </w:rPr>
              <w:t>0</w:t>
            </w:r>
          </w:p>
        </w:tc>
      </w:tr>
    </w:tbl>
    <w:p>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r>
        <w:tab/>
      </w:r>
      <w:r>
        <w:tab/>
      </w:r>
      <w:r>
        <w:tab/>
      </w:r>
      <w:r>
        <w:tab/>
      </w:r>
      <w:r>
        <w:tab/>
      </w:r>
      <w:r>
        <w:br w:type="page"/>
      </w:r>
    </w:p>
    <w:tbl>
      <w:tblPr>
        <w:tblStyle w:val="7"/>
        <w:tblW w:w="9510" w:type="dxa"/>
        <w:jc w:val="center"/>
        <w:tblLayout w:type="fixed"/>
        <w:tblCellMar>
          <w:top w:w="0" w:type="dxa"/>
          <w:left w:w="0" w:type="dxa"/>
          <w:bottom w:w="0" w:type="dxa"/>
          <w:right w:w="0" w:type="dxa"/>
        </w:tblCellMar>
      </w:tblPr>
      <w:tblGrid>
        <w:gridCol w:w="1020"/>
        <w:gridCol w:w="58"/>
        <w:gridCol w:w="58"/>
        <w:gridCol w:w="1474"/>
        <w:gridCol w:w="1150"/>
        <w:gridCol w:w="1150"/>
        <w:gridCol w:w="1150"/>
        <w:gridCol w:w="1150"/>
        <w:gridCol w:w="1150"/>
        <w:gridCol w:w="1150"/>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政府性基金预算财政拨款收入支出决算表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公开08表</w:t>
            </w:r>
          </w:p>
        </w:tc>
      </w:tr>
      <w:tr>
        <w:tblPrEx>
          <w:tblCellMar>
            <w:top w:w="0" w:type="dxa"/>
            <w:left w:w="0" w:type="dxa"/>
            <w:bottom w:w="0" w:type="dxa"/>
            <w:right w:w="0" w:type="dxa"/>
          </w:tblCellMar>
        </w:tblPrEx>
        <w:trPr>
          <w:trHeight w:val="255" w:hRule="atLeast"/>
          <w:jc w:val="center"/>
        </w:trPr>
        <w:tc>
          <w:tcPr>
            <w:tcW w:w="1020"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4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15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30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2610"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年初结转和结余</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本年收入</w:t>
            </w:r>
          </w:p>
        </w:tc>
        <w:tc>
          <w:tcPr>
            <w:tcW w:w="345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c>
          <w:tcPr>
            <w:tcW w:w="115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年末结转和结余</w:t>
            </w:r>
          </w:p>
        </w:tc>
      </w:tr>
      <w:tr>
        <w:tblPrEx>
          <w:tblCellMar>
            <w:top w:w="0" w:type="dxa"/>
            <w:left w:w="0" w:type="dxa"/>
            <w:bottom w:w="0" w:type="dxa"/>
            <w:right w:w="0" w:type="dxa"/>
          </w:tblCellMar>
        </w:tblPrEx>
        <w:trPr>
          <w:trHeight w:val="312" w:hRule="atLeast"/>
          <w:jc w:val="center"/>
        </w:trPr>
        <w:tc>
          <w:tcPr>
            <w:tcW w:w="113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1474"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15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12" w:hRule="atLeast"/>
          <w:jc w:val="center"/>
        </w:trPr>
        <w:tc>
          <w:tcPr>
            <w:tcW w:w="113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474"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15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4</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5</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6</w:t>
            </w:r>
          </w:p>
        </w:tc>
      </w:tr>
      <w:tr>
        <w:tblPrEx>
          <w:tblCellMar>
            <w:top w:w="0" w:type="dxa"/>
            <w:left w:w="0" w:type="dxa"/>
            <w:bottom w:w="0" w:type="dxa"/>
            <w:right w:w="0" w:type="dxa"/>
          </w:tblCellMar>
        </w:tblPrEx>
        <w:trPr>
          <w:trHeight w:val="308" w:hRule="atLeast"/>
          <w:jc w:val="center"/>
        </w:trPr>
        <w:tc>
          <w:tcPr>
            <w:tcW w:w="2610"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1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7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15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r>
        <w:rPr>
          <w:rFonts w:hint="eastAsia"/>
        </w:rPr>
        <w:t>本部门本年度无相关收入（或支出、收支及结转结余等）情况，按要求空表列示。</w:t>
      </w:r>
      <w:r>
        <w:br w:type="page"/>
      </w:r>
    </w:p>
    <w:tbl>
      <w:tblPr>
        <w:tblStyle w:val="7"/>
        <w:tblW w:w="9915" w:type="dxa"/>
        <w:jc w:val="center"/>
        <w:tblLayout w:type="fixed"/>
        <w:tblCellMar>
          <w:top w:w="0" w:type="dxa"/>
          <w:left w:w="0" w:type="dxa"/>
          <w:bottom w:w="0" w:type="dxa"/>
          <w:right w:w="0" w:type="dxa"/>
        </w:tblCellMar>
      </w:tblPr>
      <w:tblGrid>
        <w:gridCol w:w="1288"/>
        <w:gridCol w:w="74"/>
        <w:gridCol w:w="74"/>
        <w:gridCol w:w="3798"/>
        <w:gridCol w:w="961"/>
        <w:gridCol w:w="1860"/>
        <w:gridCol w:w="1860"/>
      </w:tblGrid>
      <w:tr>
        <w:tblPrEx>
          <w:tblCellMar>
            <w:top w:w="0" w:type="dxa"/>
            <w:left w:w="0" w:type="dxa"/>
            <w:bottom w:w="0" w:type="dxa"/>
            <w:right w:w="0" w:type="dxa"/>
          </w:tblCellMar>
        </w:tblPrEx>
        <w:trPr>
          <w:trHeight w:val="840" w:hRule="atLeast"/>
          <w:jc w:val="center"/>
        </w:trPr>
        <w:tc>
          <w:tcPr>
            <w:tcW w:w="9915" w:type="dxa"/>
            <w:gridSpan w:val="7"/>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rPr>
              <w:t>国有资本经营预算财政拨款支出决算表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公开09表</w:t>
            </w:r>
          </w:p>
        </w:tc>
      </w:tr>
      <w:tr>
        <w:tblPrEx>
          <w:tblCellMar>
            <w:top w:w="0" w:type="dxa"/>
            <w:left w:w="0" w:type="dxa"/>
            <w:bottom w:w="0" w:type="dxa"/>
            <w:right w:w="0" w:type="dxa"/>
          </w:tblCellMar>
        </w:tblPrEx>
        <w:trPr>
          <w:trHeight w:val="255" w:hRule="atLeast"/>
          <w:jc w:val="center"/>
        </w:trPr>
        <w:tc>
          <w:tcPr>
            <w:tcW w:w="1288" w:type="dxa"/>
            <w:tcBorders>
              <w:top w:val="nil"/>
              <w:left w:val="nil"/>
              <w:bottom w:val="nil"/>
              <w:right w:val="nil"/>
            </w:tcBorders>
            <w:shd w:val="clear" w:color="auto" w:fill="auto"/>
            <w:tcMar>
              <w:top w:w="15" w:type="dxa"/>
              <w:left w:w="15" w:type="dxa"/>
              <w:right w:w="15" w:type="dxa"/>
            </w:tcMar>
            <w:vAlign w:val="bottom"/>
          </w:tcPr>
          <w:p>
            <w:pPr>
              <w:widowControl/>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部门：</w:t>
            </w: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98"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9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720"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rPr>
              <w:t>金额单位：万元</w:t>
            </w:r>
          </w:p>
        </w:tc>
      </w:tr>
      <w:tr>
        <w:tblPrEx>
          <w:tblCellMar>
            <w:top w:w="0" w:type="dxa"/>
            <w:left w:w="0" w:type="dxa"/>
            <w:bottom w:w="0" w:type="dxa"/>
            <w:right w:w="0" w:type="dxa"/>
          </w:tblCellMar>
        </w:tblPrEx>
        <w:trPr>
          <w:trHeight w:val="308" w:hRule="atLeast"/>
          <w:jc w:val="center"/>
        </w:trPr>
        <w:tc>
          <w:tcPr>
            <w:tcW w:w="523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w:t>
            </w:r>
          </w:p>
        </w:tc>
        <w:tc>
          <w:tcPr>
            <w:tcW w:w="4681"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本年支出</w:t>
            </w:r>
          </w:p>
        </w:tc>
      </w:tr>
      <w:tr>
        <w:tblPrEx>
          <w:tblCellMar>
            <w:top w:w="0" w:type="dxa"/>
            <w:left w:w="0" w:type="dxa"/>
            <w:bottom w:w="0" w:type="dxa"/>
            <w:right w:w="0" w:type="dxa"/>
          </w:tblCellMar>
        </w:tblPrEx>
        <w:trPr>
          <w:trHeight w:val="615"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功能分类科目编码</w:t>
            </w: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科目名称</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小计</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基本支出</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项目支出</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栏次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1</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2</w:t>
            </w: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3</w:t>
            </w:r>
          </w:p>
        </w:tc>
      </w:tr>
      <w:tr>
        <w:tblPrEx>
          <w:tblCellMar>
            <w:top w:w="0" w:type="dxa"/>
            <w:left w:w="0" w:type="dxa"/>
            <w:bottom w:w="0" w:type="dxa"/>
            <w:right w:w="0" w:type="dxa"/>
          </w:tblCellMar>
        </w:tblPrEx>
        <w:trPr>
          <w:trHeight w:val="308" w:hRule="atLeast"/>
          <w:jc w:val="center"/>
        </w:trPr>
        <w:tc>
          <w:tcPr>
            <w:tcW w:w="523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rPr>
              <w:t>合计</w:t>
            </w: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trHeight w:val="308" w:hRule="atLeast"/>
          <w:jc w:val="center"/>
        </w:trPr>
        <w:tc>
          <w:tcPr>
            <w:tcW w:w="143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379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9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8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sectPr>
          <w:headerReference r:id="rId22" w:type="default"/>
          <w:footerReference r:id="rId23" w:type="default"/>
          <w:pgSz w:w="11906" w:h="16838"/>
          <w:pgMar w:top="1701" w:right="1417" w:bottom="1281" w:left="1417" w:header="851" w:footer="992" w:gutter="0"/>
          <w:pgNumType w:fmt="numberInDash"/>
          <w:cols w:space="0" w:num="1"/>
          <w:docGrid w:type="lines" w:linePitch="312" w:charSpace="0"/>
        </w:sectPr>
      </w:pPr>
      <w:r>
        <w:rPr>
          <w:rFonts w:hint="eastAsia"/>
        </w:rPr>
        <w:t>本部门本年度无相关收入（或支出、收支及结转结余等）情况，按要求空表列示。</w:t>
      </w:r>
    </w:p>
    <w:p>
      <w:r>
        <w:pict>
          <v:rect id="_x0000_s1027" o:spid="_x0000_s1027" o:spt="1" style="position:absolute;left:0pt;margin-left:-70.5pt;margin-top:-85.25pt;height:841.15pt;width:595.1pt;z-index:251665408;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path/>
            <v:fill on="t" focussize="0,0"/>
            <v:stroke on="f" weight="1pt"/>
            <v:imagedata o:title=""/>
            <o:lock v:ext="edit"/>
          </v:rect>
        </w:pict>
      </w:r>
    </w:p>
    <w:sectPr>
      <w:pgSz w:w="11906" w:h="16838"/>
      <w:pgMar w:top="1701" w:right="1417" w:bottom="1281" w:left="141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0000000000000000000"/>
    <w:charset w:val="86"/>
    <w:family w:val="auto"/>
    <w:pitch w:val="default"/>
    <w:sig w:usb0="00000000" w:usb1="00000000"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思源黑体 HW Bold">
    <w:altName w:val="黑体"/>
    <w:panose1 w:val="00000000000000000000"/>
    <w:charset w:val="86"/>
    <w:family w:val="swiss"/>
    <w:pitch w:val="default"/>
    <w:sig w:usb0="00000000" w:usb1="00000000" w:usb2="00000016" w:usb3="00000000" w:csb0="002E0107"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Yu Gothic UI Semibold">
    <w:altName w:val="Meiryo"/>
    <w:panose1 w:val="00000000000000000000"/>
    <w:charset w:val="80"/>
    <w:family w:val="swiss"/>
    <w:pitch w:val="default"/>
    <w:sig w:usb0="00000000" w:usb1="00000000" w:usb2="00000016" w:usb3="00000000" w:csb0="2002009F" w:csb1="00000000"/>
  </w:font>
  <w:font w:name="ArialUnicodeMS">
    <w:altName w:val="Malgun Gothic"/>
    <w:panose1 w:val="00000000000000000000"/>
    <w:charset w:val="81"/>
    <w:family w:val="auto"/>
    <w:pitch w:val="default"/>
    <w:sig w:usb0="00000000" w:usb1="00000000" w:usb2="00000010" w:usb3="00000000" w:csb0="00080001" w:csb1="00000000"/>
  </w:font>
  <w:font w:name="Cambria">
    <w:panose1 w:val="02040503050406030204"/>
    <w:charset w:val="00"/>
    <w:family w:val="roman"/>
    <w:pitch w:val="default"/>
    <w:sig w:usb0="E00002FF" w:usb1="400004FF" w:usb2="00000000" w:usb3="00000000" w:csb0="2000019F" w:csb1="00000000"/>
  </w:font>
  <w:font w:name="DengXian-Regular">
    <w:altName w:val="宋体"/>
    <w:panose1 w:val="00000000000000000000"/>
    <w:charset w:val="86"/>
    <w:family w:val="auto"/>
    <w:pitch w:val="default"/>
    <w:sig w:usb0="00000000" w:usb1="00000000" w:usb2="00000010" w:usb3="00000000" w:csb0="00040001"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swiss"/>
    <w:pitch w:val="default"/>
    <w:sig w:usb0="00000000" w:usb1="00000000" w:usb2="00000000" w:usb3="00000000" w:csb0="00000001" w:csb1="00000000"/>
  </w:font>
  <w:font w:name="MS-UIGothic,Bold">
    <w:altName w:val="Malgun Gothic"/>
    <w:panose1 w:val="00000000000000000000"/>
    <w:charset w:val="81"/>
    <w:family w:val="auto"/>
    <w:pitch w:val="default"/>
    <w:sig w:usb0="00000000" w:usb1="00000000" w:usb2="00000010" w:usb3="00000000" w:csb0="00080000" w:csb1="00000000"/>
  </w:font>
  <w:font w:name="Arial">
    <w:panose1 w:val="020B0604020202020204"/>
    <w:charset w:val="00"/>
    <w:family w:val="swiss"/>
    <w:pitch w:val="default"/>
    <w:sig w:usb0="E0002AFF" w:usb1="C0007843" w:usb2="00000009" w:usb3="00000000" w:csb0="400001FF" w:csb1="FFFF0000"/>
  </w:font>
  <w:font w:name="等线">
    <w:altName w:val="微软雅黑"/>
    <w:panose1 w:val="00000000000000000000"/>
    <w:charset w:val="00"/>
    <w:family w:val="auto"/>
    <w:pitch w:val="default"/>
    <w:sig w:usb0="00000000" w:usb1="00000000" w:usb2="00000000" w:usb3="00000000" w:csb0="00000000" w:csb1="00000000"/>
  </w:font>
  <w:font w:name="Meiryo">
    <w:panose1 w:val="020B0604030504040204"/>
    <w:charset w:val="80"/>
    <w:family w:val="auto"/>
    <w:pitch w:val="default"/>
    <w:sig w:usb0="E10102FF" w:usb1="EAC7FFFF" w:usb2="00010012" w:usb3="00000000" w:csb0="6002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49" o:spid="_x0000_s2049" o:spt="202" type="#_x0000_t202" style="position:absolute;left:0pt;margin-left:209.15pt;margin-top:-6pt;height:18.7pt;width:144pt;mso-position-horizontal-relative:margin;mso-wrap-style:none;z-index:251682816;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D8v0EYTAgAACAQAAA4AAABkcnMvZTJvRG9jLnhtbK1T&#10;zY7TMBC+I/EOlu80afeHUm26KrsqQqrYlQri7Dp2Y8n2WLbbpDwAvAEnLtx5rj4HY6fpIuCEuDiT&#10;+Z9vvrm57Ywme+GDAlvR8aikRFgOtbLbin54v3wxpSREZmumwYqKHkSgt/Pnz25aNxMTaEDXwhNM&#10;YsOsdRVtYnSzogi8EYaFEThh0SjBGxbx12+L2rMWsxtdTMryumjB184DFyGg9r430nnOL6Xg8UHK&#10;ICLRFcXeYn59fjfpLeY3bLb1zDWKn9pg/9CFYcpi0XOqexYZ2Xn1RyqjuIcAMo44mAKkVFzkGXCa&#10;cfnbNOuGOZFnQXCCO8MU/l9a/m7/6ImqK3p5RYllBnd0/Prl+O3H8ftngjoEqHVhhn5rh56xew0d&#10;LnrQB1SmuTvpTfriRATtCPXhDK/oIuEpaDqZTks0cbRNLl5evsr4F0/Rzof4RoAhSaiox/VlVNl+&#10;FSJ2gq6DSypmYam0zivUlrQVvb64KnPA2YIR2mJgmqHvNUmx23SnwTZQH3AuDz01guNLhcVXLMRH&#10;5pEL2C/yOz7gIzVgEThJlDTgP/1Nn/xxRWilpEVuVdQi+SnRby2uLtFwEPwgbAbB7swdIFnHeDeO&#10;ZxEDfNSDKD2Yj0j6RaqBJmY5VqpoHMS72PMbj4aLxSI7Idkciyu7djyl7sFb7CJIlXFNoPRInLBC&#10;umW4T6eR+Pzrf/Z6OuD5T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L9BGEwIAAAg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- 34 -</w:t>
                </w:r>
                <w:r>
                  <w:rPr>
                    <w:rFonts w:ascii="Times New Roman" w:hAnsi="Times New Roman" w:cs="Times New Roman"/>
                    <w:sz w:val="24"/>
                    <w:szCs w:val="24"/>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1" o:spid="_x0000_s2071" o:spt="202" type="#_x0000_t202" style="position:absolute;left:0pt;margin-left:209.65pt;margin-top:-12.95pt;height:14.3pt;width:30.6pt;mso-position-horizontal-relative:margin;z-index:251678720;mso-width-relative:page;mso-height-relative:page;" filled="f" stroked="f" coordsize="21600,21600" o:gfxdata="UEsDBAoAAAAAAIdO4kAAAAAAAAAAAAAAAAAEAAAAZHJzL1BLAwQUAAAACACHTuJAD5RxP9kAAAAJ&#10;AQAADwAAAGRycy9kb3ducmV2LnhtbE2Py07DMBBF90j8gzVI7Fo7oYU2ZNIFjx3Ptkiwc2KTRNjj&#10;yHbS8veYFSxH9+jeM+XmaA2btA+9I4RsLoBpapzqqUXY7+5nK2AhSlLSONII3zrApjo9KWWh3IFe&#10;9bSNLUslFAqJ0MU4FJyHptNWhrkbNKXs03krYzp9y5WXh1RuDc+FuORW9pQWOjnom043X9vRIpj3&#10;4B9qET+m2/Yxvjzz8e0ue0I8P8vENbCoj/EPhl/9pA5VcqrdSCowg7DI1hcJRZjlyzWwRCxWYgms&#10;RsivgFcl//9B9QNQSwMEFAAAAAgAh07iQJqxHzwSAgAABwQAAA4AAABkcnMvZTJvRG9jLnhtbK1T&#10;zY7TMBC+I/EOlu80TVdUVdV0VXZVhFSxKxXE2XXsxpLtMbbbpDwAvAEnLtx5rj4HY6fpIuCEuDiT&#10;+Z9vvlncdkaTo/BBga1oORpTIiyHWtl9Rd+/W7+YURIiszXTYEVFTyLQ2+XzZ4vWzcUEGtC18AST&#10;2DBvXUWbGN28KAJvhGFhBE5YNErwhkX89fui9qzF7EYXk/F4WrTga+eBixBQe98b6TLnl1Lw+CBl&#10;EJHoimJvMb8+v7v0FssFm+89c43ilzbYP3RhmLJY9JrqnkVGDl79kcoo7iGAjCMOpgApFRd5Bpym&#10;HP82zbZhTuRZEJzgrjCF/5eWvz0+eqLqik4osczgis5fv5y//Th//0wmCZ7WhTl6bR36xe4VdLjm&#10;QR9QmabupDfpi/MQtCPQpyu4oouEo/JmNptO0MLRVM7KaZnBL56CnQ/xtQBDklBRj7vLkLLjJkRs&#10;BF0Hl1TLwlppnfenLWkrOr15Oc4BVwtGaIuBaYS+1STFbtdd5tpBfcKxPPS8CI6vFRbfsBAfmUci&#10;YL9I7viAj9SAReAiUdKA//Q3ffLH/aCVkhaJVdHw8cC8oES/sbi5xMJB8IOwGwR7MHeAXC3xbBzP&#10;Igb4qAdRejAfkPOrVAVNzHKsVdE4iHexpzfeDBerVXZCrjkWN3breErdw7c6RJAqI5tg6bG4oIVs&#10;y4BfLiPR+df/7PV0v8uf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hAQAAFtDb250ZW50X1R5cGVzXS54bWxQSwECFAAKAAAAAACHTuJAAAAAAAAA&#10;AAAAAAAABgAAAAAAAAAAABAAAABmAwAAX3JlbHMvUEsBAhQAFAAAAAgAh07iQIoUZjzRAAAAlAEA&#10;AAsAAAAAAAAAAQAgAAAAigMAAF9yZWxzLy5yZWxzUEsBAhQACgAAAAAAh07iQAAAAAAAAAAAAAAA&#10;AAQAAAAAAAAAAAAQAAAAAAAAAGRycy9QSwECFAAUAAAACACHTuJAD5RxP9kAAAAJAQAADwAAAAAA&#10;AAABACAAAAAiAAAAZHJzL2Rvd25yZXYueG1sUEsBAhQAFAAAAAgAh07iQJqxHzwSAgAABwQAAA4A&#10;AAAAAAAAAQAgAAAAKAEAAGRycy9lMm9Eb2MueG1sUEsFBgAAAAAGAAYAWQEAAKw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- 18 -</w:t>
                </w:r>
                <w:r>
                  <w:rPr>
                    <w:rFonts w:ascii="Times New Roman" w:hAnsi="Times New Roman" w:cs="Times New Roman"/>
                    <w:sz w:val="24"/>
                    <w:szCs w:val="24"/>
                  </w:rPr>
                  <w:fldChar w:fldCharType="end"/>
                </w:r>
              </w:p>
            </w:txbxContent>
          </v:textbox>
        </v:shape>
      </w:pic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9" o:spid="_x0000_s2079" o:spt="202" type="#_x0000_t202" style="position:absolute;left:0pt;margin-left:206.55pt;margin-top:-22.45pt;height:35.15pt;width:34pt;mso-position-horizontal-relative:margin;z-index:251679744;mso-width-relative:page;mso-height-relative:page;" filled="f" stroked="f" coordsize="21600,21600" o:gfxdata="UEsDBAoAAAAAAIdO4kAAAAAAAAAAAAAAAAAEAAAAZHJzL1BLAwQUAAAACACHTuJAhdXN+9kAAAAK&#10;AQAADwAAAGRycy9kb3ducmV2LnhtbE2Py07DMBBF90j8gzVI7FrbJaAS4nTBYwcUCkiwc+IhibDH&#10;ke2k5e8xK1jOzNGdc6vNwVk2Y4iDJwVyKYAhtd4M1Cl4fblbrIHFpMlo6wkVfGOETX18VOnS+D09&#10;47xLHcshFEutoE9pLDmPbY9Ox6UfkfLt0wenUx5Dx03Q+xzuLF8JccGdHih/6PWI1z22X7vJKbDv&#10;Mdw3In3MN91Detry6e1WPip1eiLFFbCEh/QHw69+Voc6OzV+IhOZVVDIM5lRBYuiuASWiWIt86ZR&#10;sDovgNcV/1+h/gFQSwMEFAAAAAgAh07iQHOC4vsVAgAABwQAAA4AAABkcnMvZTJvRG9jLnhtbK1T&#10;wY7TMBC9I/EPlu806bZbraqmq7KrIqSKXakgzq5jN5Fsj7HdJuUD4A84cdk739XvYOwkXQScEBdn&#10;MjN+M/PmeXHbakWOwvkaTEHHo5wSYTiUtdkX9MP79asbSnxgpmQKjCjoSXh6u3z5YtHYubiCClQp&#10;HEEQ4+eNLWgVgp1nmeeV0MyPwAqDQQlOs4C/bp+VjjWIrlV2leezrAFXWgdceI/e+y5IlwlfSsHD&#10;g5ReBKIKir2FdLp07uKZLRdsvnfMVjXv22D/0IVmtcGiF6h7Fhg5uPoPKF1zBx5kGHHQGUhZc5Fm&#10;wGnG+W/TbCtmRZoFyfH2QpP/f7D83fHRkbos6IQSwzSu6Pzt6/n7j/PTFzKJ9DTWzzFrazEvtK+h&#10;xTUPfo/OOHUrnY5fnIdgHIk+XcgVbSAcndPJ+CbHCMfQdDqb5tcRJXu+bJ0PbwRoEo2COtxdopQd&#10;Nz50qUNKrGVgXSuV9qcMaQo6m1zn6cIlguDKYI04QtdqtEK7a/u5dlCecCwHnS685esai2+YD4/M&#10;oRCwXxR3eMBDKsAi0FuUVOA+/80f83E/GKWkQWEV1H86MCcoUW8Nbi6qcDDcYOwGwxz0HaBWx/hs&#10;LE8mXnBBDaZ0oD+i5lexCoaY4ViroGEw70Inb3wzXKxWKQm1ZlnYmK3lEbqjb3UIIOvEbKSl46Jn&#10;C9WWdtO/jCjnX/9T1vP7Xf4E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dXN+9kAAAAKAQAADwAA&#10;AAAAAAABACAAAAAiAAAAZHJzL2Rvd25yZXYueG1sUEsBAhQAFAAAAAgAh07iQHOC4vsVAgAABwQA&#10;AA4AAAAAAAAAAQAgAAAAKAEAAGRycy9lMm9Eb2MueG1sUEsFBgAAAAAGAAYAWQEAAK8FAAAAAA==&#10;">
          <v:path/>
          <v:fill on="f" focussize="0,0"/>
          <v:stroke on="f" weight="0.5pt" joinstyle="miter"/>
          <v:imagedata o:title=""/>
          <o:lock v:ext="edit"/>
          <v:textbox inset="0mm,0mm,0mm,0mm">
            <w:txbxContent>
              <w:p>
                <w:pPr>
                  <w:pStyle w:val="5"/>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- 6 -</w:t>
                </w:r>
                <w:r>
                  <w:rPr>
                    <w:rFonts w:ascii="Times New Roman" w:hAnsi="Times New Roman" w:cs="Times New Roman"/>
                    <w:sz w:val="24"/>
                    <w:szCs w:val="24"/>
                  </w:rPr>
                  <w:fldChar w:fldCharType="end"/>
                </w:r>
              </w:p>
            </w:txbxContent>
          </v:textbox>
        </v:shape>
      </w:pic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62" o:spid="_x0000_s2062" o:spt="202" type="#_x0000_t202" style="position:absolute;left:0pt;margin-left:209.15pt;margin-top:-6pt;height:18.7pt;width:144pt;mso-position-horizontal-relative:margin;mso-wrap-style:none;z-index:251680768;mso-width-relative:page;mso-height-relative:page;" filled="f" stroked="f" coordsize="21600,21600" o:gfxdata="UEsDBAoAAAAAAIdO4kAAAAAAAAAAAAAAAAAEAAAAZHJzL1BLAwQUAAAACACHTuJAzfd/c9kAAAAK&#10;AQAADwAAAGRycy9kb3ducmV2LnhtbE2Py07DMBBF90j8gzVI7Fo7IS1ViFMhJLph1RSQ2LnxNInw&#10;I7LdJvD1DCtYzszRnXOr7WwNu2CIg3cSsqUAhq71enCdhNfD82IDLCbltDLeoYQvjLCtr68qVWo/&#10;uT1emtQxCnGxVBL6lMaS89j2aFVc+hEd3U4+WJVoDB3XQU0Ubg3PhVhzqwZHH3o14lOP7WdzthJ2&#10;8/d78RI+kmnUvl292cfutJukvL3JxAOwhHP6g+FXn9ShJqejPzsdmZFQZJs7QiUsspxKEXEv1rQ5&#10;SshXBfC64v8r1D9QSwMEFAAAAAgAh07iQAxSbjITAgAABgQAAA4AAABkcnMvZTJvRG9jLnhtbK1T&#10;TY7TMBTeI3EHy3uatEOHUjUdlRkVIVXMSAWxdh27iWT7WbbbpBwAbsBqNuw5V8/Bs5N0ELBCbJwX&#10;v9/ve58XN61W5Cicr8EUdDzKKRGGQ1mbfUE/fli/mFHiAzMlU2BEQU/C05vl82eLxs7FBCpQpXAE&#10;ixg/b2xBqxDsPMs8r4RmfgRWGHRKcJoF/HX7rHSswepaZZM8v84acKV1wIX3eHvXOeky1ZdS8HAv&#10;pReBqILibCGdLp27eGbLBZvvHbNVzfsx2D9MoVltsOml1B0LjBxc/UcpXXMHHmQYcdAZSFlzkTAg&#10;mnH+G5ptxaxIWJAcby80+f9Xlr8/PjhSlwWdUmKYxhWdv309P/44f/9CppGexvo5Rm0txoX2DbS4&#10;5uHe42VE3Uqn4xfxEPQj0acLuaINhMek2WQ2y9HF0Te5evXydWI/e8q2zoe3AjSJRkEdLi9xyo4b&#10;H3ASDB1CYjMD61qptEBlSFPQ66tpnhIuHsxQBhMjhm7WaIV21/bAdlCeEJeDThje8nWNzTfMhwfm&#10;UAk4L6o73OMhFWAT6C1KKnCf/3Yf43FB6KWkQWUV1KD0KVHvDC4uinAw3GDsBsMc9C2gVMf4aixP&#10;Jia4oAZTOtCfUPKr2ANdzHDsVNAwmLehUzc+GS5WqxSEUrMsbMzW8li6I291CCDrxGskpWOi5wrF&#10;lujuH0ZU86//Kerp+S5/Al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IUEAABbQ29udGVudF9UeXBlc10ueG1sUEsBAhQACgAAAAAAh07iQAAAAAAA&#10;AAAAAAAAAAYAAAAAAAAAAAAQAAAAZwMAAF9yZWxzL1BLAQIUABQAAAAIAIdO4kCKFGY80QAAAJQB&#10;AAALAAAAAAAAAAEAIAAAAIsDAABfcmVscy8ucmVsc1BLAQIUAAoAAAAAAIdO4kAAAAAAAAAAAAAA&#10;AAAEAAAAAAAAAAAAEAAAAAAAAABkcnMvUEsBAhQAFAAAAAgAh07iQM33f3PZAAAACgEAAA8AAAAA&#10;AAAAAQAgAAAAIgAAAGRycy9kb3ducmV2LnhtbFBLAQIUABQAAAAIAIdO4kAMUm4yEwIAAAYEAAAO&#10;AAAAAAAAAAEAIAAAACgBAABkcnMvZTJvRG9jLnhtbFBLBQYAAAAABgAGAFkBAACtBQAAA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- 24 -</w:t>
                </w:r>
                <w:r>
                  <w:rPr>
                    <w:rFonts w:ascii="Times New Roman" w:hAnsi="Times New Roman" w:cs="Times New Roman"/>
                    <w:sz w:val="24"/>
                    <w:szCs w:val="24"/>
                  </w:rPr>
                  <w:fldChar w:fldCharType="end"/>
                </w:r>
              </w:p>
            </w:txbxContent>
          </v:textbox>
        </v:shape>
      </w:pic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pict>
        <v:shape id="_x0000_s2070" o:spid="_x0000_s2070" o:spt="202" type="#_x0000_t202" style="position:absolute;left:0pt;margin-left:205.45pt;margin-top:-18.75pt;height:31.45pt;width:30.15pt;mso-position-horizontal-relative:margin;z-index:251681792;mso-width-relative:page;mso-height-relative:page;" filled="f" stroked="f" coordsize="21600,21600" o:gfxdata="UEsDBAoAAAAAAIdO4kAAAAAAAAAAAAAAAAAEAAAAZHJzL1BLAwQUAAAACACHTuJAvuKWjNoAAAAK&#10;AQAADwAAAGRycy9kb3ducmV2LnhtbE2Py07DMBBF90j8gzVI7FrbIaUQMumCxw4KFJBg58QmibDH&#10;Ueyk5e8xK1iO7tG9Z8rNwVk2mzH0nhDkUgAz1HjdU4vw+nK3uAAWoiKtrCeD8G0CbKrjo1IV2u/p&#10;2cy72LJUQqFQCF2MQ8F5aDrjVFj6wVDKPv3oVEzn2HI9qn0qd5ZnQpxzp3pKC50azHVnmq/d5BDs&#10;exjvaxE/5pv2IT498untVm4RT0+kuAIWzSH+wfCrn9ShSk61n0gHZhFyKS4TirA4W6+AJSJfywxY&#10;jZCtcuBVyf+/UP0AUEsDBBQAAAAIAIdO4kDgoAYcFwIAAAkEAAAOAAAAZHJzL2Uyb0RvYy54bWyt&#10;U8GO0zAQvSPxD5bvNGm7XW2rpquyqyKkil2pIM6uYzeRbI+x3SblA+APOO2FO9/V72DsNF0EnBCX&#10;yWRmPOP35nl+22pFDsL5GkxBh4OcEmE4lLXZFfTD+9WrG0p8YKZkCowo6FF4ert4+WLe2JkYQQWq&#10;FI5gE+NnjS1oFYKdZZnnldDMD8AKg0kJTrOAv26XlY412F2rbJTn11kDrrQOuPAeo/ddki5SfykF&#10;Dw9SehGIKijeLSTrkt1Gmy3mbLZzzFY1P1+D/cMtNKsNDr20umeBkb2r/2ila+7AgwwDDjoDKWsu&#10;EgZEM8x/Q7OpmBUJC5Lj7YUm///a8neHR0fqEnd3RYlhGnd0+vb19PTj9P0LwRgS1Fg/w7qNxcrQ&#10;voYWi/u4x2DE3Uqn4xcREcwj1ccLvaINhGNwfDOa5hNKOKbG0+nVcBK7ZM+HrfPhjQBNolNQh9tL&#10;pLLD2oeutC+JswysaqXSBpUhTUGvx5M8HbhksLkyOCNC6K4avdBu2zOuLZRHhOWgU4a3fFXj8DXz&#10;4ZE5lAIiQXmHBzRSAQ6Bs0dJBe7z3+KxHjeEWUoalFZB/ac9c4IS9dbg7qIOe8f1zrZ3zF7fAap1&#10;iA/H8uTiARdU70oH+iOqfhmnYIoZjrMKGnr3LnQCx1fDxXKZilBtloW12VgeW3f0LfcBZJ2YjbR0&#10;XJzZQr2l3ZzfRhT0r/+p6vkFL34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vuKWjNoAAAAKAQAA&#10;DwAAAAAAAAABACAAAAAiAAAAZHJzL2Rvd25yZXYueG1sUEsBAhQAFAAAAAgAh07iQOCgBhwXAgAA&#10;CQQAAA4AAAAAAAAAAQAgAAAAKQEAAGRycy9lMm9Eb2MueG1sUEsFBgAAAAAGAAYAWQEAALIFAAAA&#10;AA==&#10;">
          <v:path/>
          <v:fill on="f" focussize="0,0"/>
          <v:stroke on="f" weight="0.5pt" joinstyle="miter"/>
          <v:imagedata o:title=""/>
          <o:lock v:ext="edit"/>
          <v:textbox inset="0mm,0mm,0mm,0mm">
            <w:txbxContent>
              <w:p>
                <w:pPr>
                  <w:pStyle w:val="5"/>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Pr>
                    <w:rFonts w:ascii="Times New Roman" w:hAnsi="Times New Roman" w:cs="Times New Roman"/>
                    <w:sz w:val="24"/>
                    <w:szCs w:val="24"/>
                  </w:rPr>
                  <w:t>- 19 -</w:t>
                </w:r>
                <w:r>
                  <w:rPr>
                    <w:rFonts w:ascii="Times New Roman" w:hAnsi="Times New Roman" w:cs="Times New Roman"/>
                    <w:sz w:val="24"/>
                    <w:szCs w:val="24"/>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84" o:spid="_x0000_s2084" o:spt="203" style="position:absolute;left:0pt;margin-top:29.75pt;height:32pt;width:157.5pt;mso-position-horizontal:left;mso-position-horizontal-relative:page;mso-position-vertical-relative:page;z-index:251667456;mso-width-relative:page;mso-height-relative:page;" coordorigin="1337,880" coordsize="3150,640203203"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BnKoWpJQ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jTB4x2MBKmgRj++vbp89xbB&#10;AaBTqzwGpWOtztWZbg/yZucSXmW6cv+QClp5XC96XNnKIgqHUKhwsA3wU5CNwp1R2AJPC6iOuxYN&#10;h2OMQDqZ9KJH7e1h1F2Fiy6koPMauOD6WGoFFDLXKJk/Q+m8IIp58I0DoEMJwmxQunr/5urD16tP&#10;r1GLk1dzICG7eihdUg1+JjZweAtW0SiMNpPuABuGE/Dj0NoZeSt9yiRW2thjJivkFgnWQHHPPLI8&#10;MbZBp1NxPoU8KjmHcxJzgWqwOAQ4NyRgnAuA1QHYhOpWdjVf+XKbeC7TC0hLy6Z9jKJHJTg/Icae&#10;EQ39AqWFGWBP4ZNxCU5ku8KokPrlbedOHwoEUoxq6L8EmxcLohlG/LGA0u1GI6g2sn4z2h4PYKPX&#10;JfN1iVhUBxJaHPCE6PzS6VveLTMtq+cwKmbOK4iIoOA7wbZbHthmKsCooWw280rQoorYE3GuqDPd&#10;gDZbWJmVHmkHU4NNix7Qz3XMv+AhzNW2Wz9+ufz+GY07sgFX+07t6tk1TN+mfb9F4WjkbpK4414U&#10;7TbUGw43u+23qWckL1PHPmfe6Hx+wDVaEjeJ/a/t5Q21hqPRYAwjAlFHi4wTKBKtVAoUETnUi+fw&#10;1FCrN1nchHdITNH48Gab1KrSwiPDywrmy7rnW1j/H1PdIdby/u+R3Y9geJv8VG7fUff4re99c1y/&#10;9tOf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lQUAAFtDb250ZW50X1R5cGVzXS54bWxQSwECFAAKAAAAAACHTuJAAAAAAAAAAAAAAAAABgAAAAAA&#10;AAAAABAAAAB3BAAAX3JlbHMvUEsBAhQAFAAAAAgAh07iQIoUZjzRAAAAlAEAAAsAAAAAAAAAAQAg&#10;AAAAmwQAAF9yZWxzLy5yZWxzUEsBAhQACgAAAAAAh07iQAAAAAAAAAAAAAAAAAQAAAAAAAAAAAAQ&#10;AAAAAAAAAGRycy9QSwECFAAUAAAACACHTuJA7Mb3udcAAAAHAQAADwAAAAAAAAABACAAAAAiAAAA&#10;ZHJzL2Rvd25yZXYueG1sUEsBAhQAFAAAAAgAh07iQGcqhaklAwAANQgAAA4AAAAAAAAAAQAgAAAA&#10;JgEAAGRycy9lMm9Eb2MueG1sUEsFBgAAAAAGAAYAWQEAAL0GAAAAAA==&#10;">
          <o:lock v:ext="edit"/>
          <v:shape id="_x0000_s2086" o:spid="_x0000_s2086" o:spt="202" type="#_x0000_t202" style="position:absolute;left:1401;top:880;height:641;width:3087;" filled="f" stroked="f" coordsize="21600,21600" o:gfxdata="UEsDBAoAAAAAAIdO4kAAAAAAAAAAAAAAAAAEAAAAZHJzL1BLAwQUAAAACACHTuJAmRI0VL8AAADb&#10;AAAADwAAAGRycy9kb3ducmV2LnhtbEWPQWvCQBSE7wX/w/IEb3UToVWia5CAtIgeTL14e2afSTD7&#10;Nma3Gvvr3UKhx2FmvmEWaW8acaPO1ZYVxOMIBHFhdc2lgsPX+nUGwnlkjY1lUvAgB+ly8LLARNs7&#10;7+mW+1IECLsEFVTet4mUrqjIoBvbljh4Z9sZ9EF2pdQd3gPcNHISRe/SYM1hocKWsoqKS/5tFGyy&#10;9Q73p4mZ/TTZx/a8aq+H45tSo2EczUF46v1/+K/9qRVMp/D7JfwAuXwC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kSNFS/&#10;AAAA2wAAAA8AAAAAAAAAAQAgAAAAIgAAAGRycy9kb3ducmV2LnhtbFBLAQIUABQAAAAIAIdO4kAz&#10;LwWeOwAAADkAAAAQAAAAAAAAAAEAIAAAAA4BAABkcnMvc2hhcGV4bWwueG1sUEsFBgAAAAAGAAYA&#10;WwEAALgDAAAAAA==&#10;">
            <v:path/>
            <v:fill on="f" focussize="0,0"/>
            <v:stroke on="f" weight="0.5pt" joinstyle="miter"/>
            <v:imagedata o:title=""/>
            <o:lock v:ext="edit"/>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2085" o:spt="1" style="position:absolute;left:1337;top:1044;height:330;width:119;v-text-anchor:middle;" fillcolor="#000000" filled="t" stroked="f" coordsize="21600,21600" o:gfxdata="UEsDBAoAAAAAAIdO4kAAAAAAAAAAAAAAAAAEAAAAZHJzL1BLAwQUAAAACACHTuJAADPS4L0AAADb&#10;AAAADwAAAGRycy9kb3ducmV2LnhtbEWPwU7DMAyG70h7h8iTuKAtKQJWyrIJTUziujLt7DWmrWic&#10;KgndeHt8QOJo/f4/+1tvr35QE8XUB7ZQLA0o4ia4nlsLx4/9ogSVMrLDITBZ+KEE283sZo2VCxc+&#10;0FTnVgmEU4UWupzHSuvUdOQxLcNILNlniB6zjLHVLuJF4H7Q98Y8aY89y4UOR9p11HzV314ox+fX&#10;R/1WnouHu92pjFNRH8ze2tt5YV5AZbrm/+W/9ruzsJJnxUU8QG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AM9LgvQAA&#10;ANsAAAAPAAAAAAAAAAEAIAAAACIAAABkcnMvZG93bnJldi54bWxQSwECFAAUAAAACACHTuJAMy8F&#10;njsAAAA5AAAAEAAAAAAAAAABACAAAAAMAQAAZHJzL3NoYXBleG1sLnhtbFBLBQYAAAAABgAGAFsB&#10;AAC2AwAAAAA=&#10;">
            <v:path/>
            <v:fill on="t" focussize="0,0"/>
            <v:stroke on="f" weight="1pt"/>
            <v:imagedata o:title=""/>
            <o:lock v:ext="edit"/>
          </v:rect>
        </v:group>
      </w:pict>
    </w:r>
    <w:r>
      <w:pict>
        <v:group id="_x0000_s2080" o:spid="_x0000_s2080" o:spt="203" style="position:absolute;left:0pt;margin-left:0pt;margin-top:0pt;height:58.95pt;width:596.5pt;mso-position-horizontal-relative:page;mso-position-vertical-relative:page;z-index:251666432;mso-width-relative:page;mso-height-relative:page;mso-width-percent:1000;" coordorigin="881,505" coordsize="11930,1179203203"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Xy7Qg/IEAACgFAAADgAAAGRycy9lMm9Eb2MueG1s7VjLbiQ1&#10;FN0j8Q9WLZGYrup0V3da6YyihERIgYmUQQxLp96Sq1zY7nTCehbsYM0GCbHhE1AEX0OAz+DYLlc8&#10;SWsqPSCERHrR5cf19fW5j+OqvedXNSOXmZAVb5ZB9CwMSNYkPK2aYhl89vL4w3lApKJNShlvsmVw&#10;ncng+f777+2t20U25iVnaSYIlDRysW6XQalUuxiNZFJmNZXPeJs1mMy5qKlCVxSjVNA1tNdsNA7D&#10;eLTmIm0FTzIpMXpkJ4N9oz/Ps0S9yHOZKcKWAWxT5l+Y/wv9P9rfo4tC0Lasks4M+g5W1LRqsGmv&#10;6ogqSlaieqCqrhLBJc/Vs4TXI57nVZKZM+A0UXjvNCeCr1pzlmKxLtoeJkB7D6d3Vpt8enkmSJUu&#10;g9luQBpaw0d/3Ly+/fZrggGgs26LBYRORHvenoluoLA9feCrXNT6iaOQK4PrdY9rdqVIgsHZdDad&#10;TgF/grnZZB7HUwt8UsI7etl8HgUEk9Own/moWxxFuzvd0iiyNo3ctiNtXW/MukUMyTuY5N+D6byk&#10;bWbQlxqBDqY5bOlg+v6n219+IGOLkpHpIZILCbQ24OMOGk135hYDBxLOOZ5aiKJJrOf6Y9JFK6Q6&#10;yXhNdGMZCMS1CTd6eSqVFXUielPJWZUeV4yZjiguDpkglxQ5cHx8tBvHZi1b1Z/w1A7HIX7WHgxr&#10;pxjpiRuGKdKqMWa9oZ81ZI3UH8+ggSQUSZwzqtCsW4SVbIqAUFagOiRKmI0brk2D1fZcR1SWdjuj&#10;1lpRVwp1gVU1YkMbYYyDFayBAdrRFl/duuDpNZwjuE1u2SbHFVA6pVKdUYFshlmoUOoF/nLGYSvv&#10;WgEpufhq07iWR/RgNiBrVAec48sVFVlA2McN4mo3mkygVpnOZDoboyP8mQt/plnVhxzgI8ZhnWlq&#10;ecVcMxe8/hyF7EDviinaJNjbItZ1DpWtWiiFSXZwYMRQQlqqTpvzNtHKNaANP1gpnlcmKO7Q6UBD&#10;duiM/jfSBGe1afLbzc3vr7+5/fG7P3/9WefLjnawtgE5NZwvURjNZqY0xHOTFHThEmYcRyhZuqTM&#10;Y5OEXr4kK5svGhKXIyjOKbJFDxVpZ1zCm0Yi1F4B9LxmCJYPRmS6OyVrYtSbIH0g/YUvHZGSdAZs&#10;UgwcesVa5YBmXzx8u+bxdpp9cdj7dt07nu5wwGRfdlDxxFM8jLMv7eEMR/eupKWtgHSRXDWde9FC&#10;1oAlQ5MTLZeaY3xfI2hcF860BRSrdGwMLIaD/MXRVovhA3+xi9rH7Qyc/cUmj4DE4xYDSX/xxDfb&#10;Kumw09SiL0vMXJZQxlF2REBwWbrQa1CyqdKQu6au/TYTS5uIeqJGhX3JjYjS0MPTZn+H1t08a3w5&#10;qwiGOp+4afdsjbpe7C7xnYB7WkHkKZQNSd23zulIGJeZjQ19aMN8/ek1aF6RMdS1kXENe7nzvCH2&#10;RJxPxIkC1XGhu1+iRmwmTpOzWxDnJLbE2d+pe+LcmbiLZhSaWyiC2d3j/aDemjnjeD5AFj5zan6L&#10;xu5d4AHLvvK5cEvqjIZ0+2z4CN2+uDZ5wHKfErehz0eo9ilxGG5f2ocEDn9i0P8ig5p82ESh8LUh&#10;M8ckgxQaOUlHZ+55j0NdBiIknIR7+iQ6KHbfQKfkn2HRp/fW//17q/nYg89g5h7WfbLT39n8vnnP&#10;vfuwuP8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YAcAAFtDb250ZW50X1R5cGVzXS54bWxQSwECFAAKAAAAAACHTuJAAAAAAAAAAAAAAAAABgAA&#10;AAAAAAAAABAAAABCBgAAX3JlbHMvUEsBAhQAFAAAAAgAh07iQIoUZjzRAAAAlAEAAAsAAAAAAAAA&#10;AQAgAAAAZgYAAF9yZWxzLy5yZWxzUEsBAhQACgAAAAAAh07iQAAAAAAAAAAAAAAAAAQAAAAAAAAA&#10;AAAQAAAAAAAAAGRycy9QSwECFAAUAAAACACHTuJAvlNG99UAAAAGAQAADwAAAAAAAAABACAAAAAi&#10;AAAAZHJzL2Rvd25yZXYueG1sUEsBAhQAFAAAAAgAh07iQF8u0IPyBAAAoBQAAA4AAAAAAAAAAQAg&#10;AAAAJAEAAGRycy9lMm9Eb2MueG1sUEsFBgAAAAAGAAYAWQEAAIgIAAAAAA==&#10;">
          <o:lock v:ext="edit"/>
          <v:rect id="矩形 2" o:spid="_x0000_s2083" o:spt="1" style="position:absolute;left:881;top:1538;height:146;width:11925;v-text-anchor:middle;" fillcolor="#FFD966" filled="t" stroked="f" coordsize="21600,21600" o:gfxdata="UEsDBAoAAAAAAIdO4kAAAAAAAAAAAAAAAAAEAAAAZHJzL1BLAwQUAAAACACHTuJA6bUllbkAAADb&#10;AAAADwAAAGRycy9kb3ducmV2LnhtbEVPy4rCMBTdC/5DuANuRBMFRTqmXQyKLkYGHx9wae40pc1N&#10;aVIffz9ZCLM8nPe2eLpW3KkPtWcNi7kCQVx6U3Ol4XbdzzYgQkQ22HomDS8KUOTj0RYz4x98pvsl&#10;ViKFcMhQg42xy6QMpSWHYe474sT9+t5hTLCvpOnxkcJdK5dKraXDmlODxY6+LJXNZXAahmBWg/1R&#10;zXdzWnM8uF1TTpXWk4+F+gQR6Rn/xW/30WjYpPXpS/oBMv8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Om1JZW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82" o:spt="100" style="position:absolute;left:10177;top:686;height:862;width:2619;v-text-anchor:middle;" fillcolor="#000000" filled="t" stroked="f" coordsize="2619,862" o:gfxdata="UEsDBAoAAAAAAIdO4kAAAAAAAAAAAAAAAAAEAAAAZHJzL1BLAwQUAAAACACHTuJAAUUeGr4AAADb&#10;AAAADwAAAGRycy9kb3ducmV2LnhtbEWP3WrCQBSE7wu+w3IE7+omIjVGVxF/qFf1Lw9wyB6TaPZs&#10;yG6NfXu3UOjlMDPfMPPl09TiQa2rLCuIhxEI4tzqigsF2WX3noBwHlljbZkU/JCD5aL3NsdU245P&#10;9Dj7QgQIuxQVlN43qZQuL8mgG9qGOHhX2xr0QbaF1C12AW5qOYqiD2mw4rBQYkPrkvL7+dsoWH0d&#10;prtjnmRFfZl02fa2mYw/b0oN+nE0A+Hp6f/Df+29VpDE8Psl/AC5eA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AUUeGr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81" o:spt="100" style="position:absolute;left:10467;top:505;height:1108;width:2345;v-text-anchor:middle;" fillcolor="#FFD966" filled="t" stroked="f" coordsize="2619,1265" o:gfxdata="UEsDBAoAAAAAAIdO4kAAAAAAAAAAAAAAAAAEAAAAZHJzL1BLAwQUAAAACACHTuJA3ZIh3LwAAADb&#10;AAAADwAAAGRycy9kb3ducmV2LnhtbEWPwWrDMBBE74X8g9hAb43kQNvgRDFJIRBCL3X7AYu1sZxY&#10;K9tSHefvq0Khx2Fm3jCbYnKtGGkIjWcN2UKBIK68abjW8PV5eFqBCBHZYOuZNNwpQLGdPWwwN/7G&#10;HzSWsRYJwiFHDTbGLpcyVJYchoXviJN39oPDmORQSzPgLcFdK5dKvUiHDacFix29Waqu5bfT8Dzy&#10;+7W3qsN97DO7yy6n8HrR+nGeqTWISFP8D/+1j0bDagm/X9IPkNs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2SIdy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3" o:spid="_x0000_s2053" o:spt="203" style="position:absolute;left:0pt;margin-left:2.5pt;margin-top:28.75pt;height:35.25pt;width:594.8pt;mso-position-horizontal-relative:page;mso-position-vertical-relative:page;z-index:251683840;mso-width-relative:page;mso-height-relative:page;" coordorigin="881,505" coordsize="11930,1179203203"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v:rect id="矩形 2" o:spid="_x0000_s2056" o:spt="1" style="position:absolute;left:881;top:1538;height:146;width:11925;v-text-anchor:middle;" fillcolor="#FFD966"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path/>
            <v:fill on="t" focussize="0,0"/>
            <v:stroke on="f" weight="1pt"/>
            <v:imagedata o:title=""/>
            <o:lock v:ext="edit"/>
          </v:rect>
          <v:shape id="任意多边形 3" o:spid="_x0000_s2055" o:spt="100" style="position:absolute;left:10177;top:686;height:862;width:2619;v-text-anchor:middle;" fillcolor="#000000"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4" o:spt="100" style="position:absolute;left:10467;top:505;height:1108;width:2345;v-text-anchor:middle;" fillcolor="#FFD966"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adj=",," path="m668,0l2619,10,2619,1265,0,1265,668,0xe">
            <v:path o:connecttype="segments" o:connectlocs="598,0;2345,8;2345,1108;0,1108;598,0" o:connectangles="0,0,0,0,0"/>
            <v:fill on="t" focussize="0,0"/>
            <v:stroke on="f" weight="1pt" joinstyle="miter"/>
            <v:imagedata o:title=""/>
            <o:lock v:ext="edit"/>
          </v:shape>
        </v:group>
      </w:pict>
    </w:r>
    <w:r>
      <w:pict>
        <v:group id="_x0000_s2050" o:spid="_x0000_s2050" o:spt="203" style="position:absolute;left:0pt;margin-left:0pt;margin-top:29.75pt;height:32pt;width:280pt;mso-position-horizontal-relative:page;mso-position-vertical-relative:page;z-index:251684864;mso-width-relative:page;mso-height-relative:page;" coordorigin="1337,880" coordsize="3150,640203203"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v:shape id="_x0000_s2052" o:spid="_x0000_s2052"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2051" o:spt="1" style="position:absolute;left:1337;top:1044;height:330;width:119;v-text-anchor:middle;" fillcolor="#000000"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path/>
            <v:fill on="t" focussize="0,0"/>
            <v:stroke on="f" weight="1pt"/>
            <v:imagedata o:title=""/>
            <o:lock v:ext="edit"/>
          </v:rect>
        </v:group>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76" o:spid="_x0000_s2076" o:spt="203" style="position:absolute;left:0pt;margin-left:2.25pt;margin-top:45.75pt;height:32.05pt;width:239.85pt;mso-position-horizontal-relative:page;mso-position-vertical-relative:page;z-index:251675648;mso-width-relative:page;mso-height-relative:page;" coordorigin="1337,855" coordsize="3206,641203203"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v:shape id="_x0000_s2078" o:spid="_x0000_s2078"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2077" o:spt="1" style="position:absolute;left:1337;top:1044;height:330;width:119;v-text-anchor:middle;" fillcolor="#000000"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path/>
            <v:fill on="t" focussize="0,0"/>
            <v:stroke on="f" weight="1pt"/>
            <v:imagedata o:title=""/>
            <o:lock v:ext="edit"/>
          </v:rect>
        </v:group>
      </w:pict>
    </w:r>
    <w:r>
      <w:pict>
        <v:group id="_x0000_s2072" o:spid="_x0000_s2072" o:spt="203" style="position:absolute;left:0pt;margin-left:2.75pt;margin-top:46.95pt;height:32.8pt;width:596.85pt;mso-position-horizontal-relative:page;mso-position-vertical-relative:page;z-index:251674624;mso-width-relative:page;mso-height-relative:page;" coordorigin="881,505" coordsize="11971,1179203203"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v:rect id="矩形 2" o:spid="_x0000_s2075" o:spt="1" style="position:absolute;left:881;top:1538;height:146;width:11925;v-text-anchor:middle;" fillcolor="#FFD966"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path/>
            <v:fill on="t" focussize="0,0"/>
            <v:stroke on="f" weight="1pt"/>
            <v:imagedata o:title=""/>
            <o:lock v:ext="edit"/>
          </v:rect>
          <v:shape id="任意多边形 3" o:spid="_x0000_s2074" o:spt="100" style="position:absolute;left:10177;top:686;height:862;width:2619;v-text-anchor:middle;" fillcolor="#000000"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adj=",," path="m595,1l2619,0,2619,862,0,862,595,1xe">
            <v:path o:connecttype="segments" o:connectlocs="595,1;2619,0;2619,862;0,862;595,1" o:connectangles="0,0,0,0,0"/>
            <v:fill on="t" focussize="0,0"/>
            <v:stroke on="f" weight="1pt" joinstyle="miter"/>
            <v:imagedata o:title=""/>
            <o:lock v:ext="edit"/>
          </v:shape>
          <v:shape id="任意多边形 4" o:spid="_x0000_s2073" o:spt="100" style="position:absolute;left:10467;top:505;height:1107;width:2385;v-text-anchor:middle;" fillcolor="#FFD966"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adj=",," path="m668,0l2619,10,2619,1265,0,1265,668,0xe">
            <v:path o:connecttype="segments" o:connectlocs="608,0;2385,8;2385,1107;0,1107;608,0" o:connectangles="0,0,0,0,0"/>
            <v:fill on="t" focussize="0,0"/>
            <v:stroke on="f" weight="1pt" joinstyle="miter"/>
            <v:imagedata o:title=""/>
            <o:lock v:ext="edit"/>
          </v:shape>
        </v:group>
      </w:pic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66" o:spid="_x0000_s2066" o:spt="203" style="position:absolute;left:0pt;margin-left:0pt;margin-top:0pt;height:37.85pt;width:594.8pt;mso-position-horizontal-relative:page;mso-position-vertical-relative:page;z-index:251676672;mso-width-relative:page;mso-height-relative:page;" coordorigin="881,505" coordsize="11930,1179203203"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v:rect id="矩形 2" o:spid="_x0000_s2069" o:spt="1" style="position:absolute;left:881;top:1538;height:146;width:11925;v-text-anchor:middle;" fillcolor="#FFD966"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path/>
            <v:fill on="t" focussize="0,0"/>
            <v:stroke on="f" weight="1pt"/>
            <v:imagedata o:title=""/>
            <o:lock v:ext="edit"/>
          </v:rect>
          <v:shape id="任意多边形 3" o:spid="_x0000_s2068" o:spt="100" style="position:absolute;left:10177;top:686;height:862;width:2619;v-text-anchor:middle;" fillcolor="#000000"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adj=",," path="m595,1l2619,0,2619,862,0,862,595,1xe">
            <v:path o:connecttype="segments" o:connectlocs="595,1;2619,0;2619,862;0,862;595,1" o:connectangles="0,0,0,0,0"/>
            <v:fill on="t" focussize="0,0"/>
            <v:stroke on="f" weight="1pt" joinstyle="miter"/>
            <v:imagedata o:title=""/>
            <o:lock v:ext="edit"/>
          </v:shape>
          <v:shape id="任意多边形 4" o:spid="_x0000_s2067" o:spt="100" style="position:absolute;left:10467;top:505;height:1108;width:2345;v-text-anchor:middle;" fillcolor="#FFD966"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adj=",," path="m668,0l2619,10,2619,1265,0,1265,668,0xe">
            <v:path o:connecttype="segments" o:connectlocs="598,0;2345,8;2345,1108;0,1108;598,0" o:connectangles="0,0,0,0,0"/>
            <v:fill on="t" focussize="0,0"/>
            <v:stroke on="f" weight="1pt" joinstyle="miter"/>
            <v:imagedata o:title=""/>
            <o:lock v:ext="edit"/>
          </v:shape>
        </v:group>
      </w:pict>
    </w:r>
    <w:r>
      <w:pict>
        <v:group id="_x0000_s2063" o:spid="_x0000_s2063" o:spt="203" style="position:absolute;left:0pt;margin-left:-2.15pt;margin-top:47.15pt;height:32pt;width:235.7pt;mso-position-horizontal-relative:page;mso-position-vertical-relative:page;z-index:251677696;mso-width-relative:page;mso-height-relative:page;" coordorigin="1337,880" coordsize="3150,640203203"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v:shape id="_x0000_s2065" o:spid="_x0000_s2065"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path/>
            <v:fill on="f" focussize="0,0"/>
            <v:stroke on="f" weight="0.5pt" joinstyle="miter"/>
            <v:imagedata o:title=""/>
            <o:lock v:ext="edit"/>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2064" o:spt="1" style="position:absolute;left:1337;top:1044;height:330;width:119;v-text-anchor:middle;" fillcolor="#000000"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path/>
            <v:fill on="t" focussize="0,0"/>
            <v:stroke on="f" weight="1pt"/>
            <v:imagedata o:title=""/>
            <o:lock v:ext="edit"/>
          </v:rect>
        </v:group>
      </w:pic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r>
      <w:pict>
        <v:group id="_x0000_s2058" o:spid="_x0000_s2058" o:spt="203" style="position:absolute;left:0pt;margin-left:-2.15pt;margin-top:59pt;height:32.8pt;width:596.85pt;mso-position-horizontal-relative:page;mso-position-vertical-relative:page;z-index:251685888;mso-width-relative:page;mso-height-relative:page;" coordorigin="881,505" coordsize="11971,1179203203"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v:rect id="矩形 2" o:spid="_x0000_s2061" o:spt="1" style="position:absolute;left:881;top:1538;height:146;width:11925;v-text-anchor:middle;" fillcolor="#FFD966"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path/>
            <v:fill on="t" focussize="0,0"/>
            <v:stroke on="f" weight="1pt"/>
            <v:imagedata o:title=""/>
            <o:lock v:ext="edit"/>
          </v:rect>
          <v:shape id="任意多边形 3" o:spid="_x0000_s2060" o:spt="100" style="position:absolute;left:10177;top:686;height:862;width:2619;v-text-anchor:middle;" fillcolor="#000000"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adj=",," path="m595,1l2619,0,2619,862,0,862,595,1xe">
            <v:path o:connecttype="segments" o:connectlocs="595,1;2619,0;2619,862;0,862;595,1" o:connectangles="0,0,0,0,0"/>
            <v:fill on="t" focussize="0,0"/>
            <v:stroke on="f" weight="1pt" joinstyle="miter"/>
            <v:imagedata o:title=""/>
            <o:lock v:ext="edit"/>
          </v:shape>
          <v:shape id="任意多边形 4" o:spid="_x0000_s2059" o:spt="100" style="position:absolute;left:10467;top:505;height:1107;width:2385;v-text-anchor:middle;" fillcolor="#FFD966"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adj=",," path="m668,0l2619,10,2619,1265,0,1265,668,0xe">
            <v:path o:connecttype="segments" o:connectlocs="608,0;2385,8;2385,1107;0,1107;608,0" o:connectangles="0,0,0,0,0"/>
            <v:fill on="t" focussize="0,0"/>
            <v:stroke on="f" weight="1pt" joinstyle="miter"/>
            <v:imagedata o:title=""/>
            <o:lock v:ext="edit"/>
          </v:shape>
        </v:group>
      </w:pict>
    </w:r>
    <w:r>
      <w:pict>
        <v:shape id="_x0000_s2057" o:spid="_x0000_s2057" o:spt="202" type="#_x0000_t202" style="position:absolute;left:0pt;margin-left:-84.1pt;margin-top:17.55pt;height:32.05pt;width:231pt;z-index:251686912;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path/>
          <v:fill on="f" focussize="0,0"/>
          <v:stroke on="f" weight="0.5pt" joinstyle="miter"/>
          <v:imagedata o:title=""/>
          <o:lock v:ext="edit"/>
          <v:textbox>
            <w:txbxContent>
              <w:p>
                <w:pPr>
                  <w:rPr>
                    <w:rFonts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attachedTemplate r:id="rId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2"/>
  </w:compat>
  <w:rsids>
    <w:rsidRoot w:val="6AAF1C96"/>
    <w:rsid w:val="0007063E"/>
    <w:rsid w:val="00073392"/>
    <w:rsid w:val="00073F4E"/>
    <w:rsid w:val="00086C89"/>
    <w:rsid w:val="000A39FB"/>
    <w:rsid w:val="00117746"/>
    <w:rsid w:val="00163F95"/>
    <w:rsid w:val="00180A9A"/>
    <w:rsid w:val="001829C0"/>
    <w:rsid w:val="00184809"/>
    <w:rsid w:val="00192112"/>
    <w:rsid w:val="001B0127"/>
    <w:rsid w:val="001C12D5"/>
    <w:rsid w:val="001C69F7"/>
    <w:rsid w:val="001D6F97"/>
    <w:rsid w:val="002650EC"/>
    <w:rsid w:val="002A6C46"/>
    <w:rsid w:val="002C19B5"/>
    <w:rsid w:val="00316EC1"/>
    <w:rsid w:val="003308CF"/>
    <w:rsid w:val="003A4EE8"/>
    <w:rsid w:val="003D0B80"/>
    <w:rsid w:val="00442CC2"/>
    <w:rsid w:val="00446244"/>
    <w:rsid w:val="00473C20"/>
    <w:rsid w:val="004D61CB"/>
    <w:rsid w:val="005011D6"/>
    <w:rsid w:val="00503F2E"/>
    <w:rsid w:val="00552226"/>
    <w:rsid w:val="00566120"/>
    <w:rsid w:val="00582E6D"/>
    <w:rsid w:val="005954D5"/>
    <w:rsid w:val="005A53FA"/>
    <w:rsid w:val="005D1293"/>
    <w:rsid w:val="00615890"/>
    <w:rsid w:val="00644D5F"/>
    <w:rsid w:val="00657F86"/>
    <w:rsid w:val="006727AD"/>
    <w:rsid w:val="00691425"/>
    <w:rsid w:val="006A516E"/>
    <w:rsid w:val="006B0830"/>
    <w:rsid w:val="00716E2B"/>
    <w:rsid w:val="007217D9"/>
    <w:rsid w:val="007668BB"/>
    <w:rsid w:val="00770F18"/>
    <w:rsid w:val="00773B74"/>
    <w:rsid w:val="0078290C"/>
    <w:rsid w:val="007C06CA"/>
    <w:rsid w:val="007F106F"/>
    <w:rsid w:val="008163FB"/>
    <w:rsid w:val="0082605B"/>
    <w:rsid w:val="00855C36"/>
    <w:rsid w:val="00857DBE"/>
    <w:rsid w:val="008701BC"/>
    <w:rsid w:val="00883D92"/>
    <w:rsid w:val="008A5362"/>
    <w:rsid w:val="008F21F1"/>
    <w:rsid w:val="008F221B"/>
    <w:rsid w:val="008F5A2D"/>
    <w:rsid w:val="00921602"/>
    <w:rsid w:val="00957EA1"/>
    <w:rsid w:val="00966E5B"/>
    <w:rsid w:val="009B4EF0"/>
    <w:rsid w:val="009D271F"/>
    <w:rsid w:val="00A929C2"/>
    <w:rsid w:val="00AD097F"/>
    <w:rsid w:val="00B06FF4"/>
    <w:rsid w:val="00B844F4"/>
    <w:rsid w:val="00BA06A1"/>
    <w:rsid w:val="00BA770A"/>
    <w:rsid w:val="00C054DE"/>
    <w:rsid w:val="00C679A9"/>
    <w:rsid w:val="00C7338B"/>
    <w:rsid w:val="00C7541C"/>
    <w:rsid w:val="00CA7080"/>
    <w:rsid w:val="00CC0FAA"/>
    <w:rsid w:val="00CD0736"/>
    <w:rsid w:val="00D1570F"/>
    <w:rsid w:val="00D32830"/>
    <w:rsid w:val="00D97158"/>
    <w:rsid w:val="00DB7153"/>
    <w:rsid w:val="00DB7F05"/>
    <w:rsid w:val="00DE2332"/>
    <w:rsid w:val="00E028C3"/>
    <w:rsid w:val="00E14F77"/>
    <w:rsid w:val="00E3076B"/>
    <w:rsid w:val="00E36978"/>
    <w:rsid w:val="00E82A1E"/>
    <w:rsid w:val="00EA05EC"/>
    <w:rsid w:val="00EC06F4"/>
    <w:rsid w:val="00EE1BC9"/>
    <w:rsid w:val="00EE4E36"/>
    <w:rsid w:val="00F665F4"/>
    <w:rsid w:val="00FD225F"/>
    <w:rsid w:val="05B00A30"/>
    <w:rsid w:val="098A5F5D"/>
    <w:rsid w:val="0B011416"/>
    <w:rsid w:val="0DC63EC9"/>
    <w:rsid w:val="13D97953"/>
    <w:rsid w:val="228F72BF"/>
    <w:rsid w:val="23270962"/>
    <w:rsid w:val="27D66B83"/>
    <w:rsid w:val="31C2036A"/>
    <w:rsid w:val="320D02A5"/>
    <w:rsid w:val="348E566F"/>
    <w:rsid w:val="3A226944"/>
    <w:rsid w:val="3AEE6A48"/>
    <w:rsid w:val="3C1620AA"/>
    <w:rsid w:val="3CF35913"/>
    <w:rsid w:val="3D8F080F"/>
    <w:rsid w:val="44CE1FA4"/>
    <w:rsid w:val="458010F0"/>
    <w:rsid w:val="487F73ED"/>
    <w:rsid w:val="49A51DFE"/>
    <w:rsid w:val="4A347EAE"/>
    <w:rsid w:val="52600405"/>
    <w:rsid w:val="529B4319"/>
    <w:rsid w:val="574C009A"/>
    <w:rsid w:val="57773DD6"/>
    <w:rsid w:val="578B79AB"/>
    <w:rsid w:val="5CCD3FD5"/>
    <w:rsid w:val="61FA5F9D"/>
    <w:rsid w:val="64CD6910"/>
    <w:rsid w:val="671C161C"/>
    <w:rsid w:val="6789158D"/>
    <w:rsid w:val="67D81BA4"/>
    <w:rsid w:val="68A41D6A"/>
    <w:rsid w:val="6AAF1C96"/>
    <w:rsid w:val="73510CE5"/>
    <w:rsid w:val="74BB4E8E"/>
    <w:rsid w:val="75681757"/>
    <w:rsid w:val="75A346A8"/>
    <w:rsid w:val="79B9382C"/>
    <w:rsid w:val="7B043B76"/>
    <w:rsid w:val="7B0604A4"/>
    <w:rsid w:val="7C041A6A"/>
    <w:rsid w:val="7E32757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Body Text"/>
    <w:basedOn w:val="1"/>
    <w:unhideWhenUsed/>
    <w:qFormat/>
    <w:uiPriority w:val="99"/>
    <w:rPr>
      <w:rFonts w:ascii="仿宋_GB2312" w:hAnsi="仿宋_GB2312" w:eastAsia="仿宋_GB2312" w:cs="仿宋_GB2312"/>
      <w:sz w:val="32"/>
      <w:szCs w:val="32"/>
      <w:lang w:val="zh-CN" w:bidi="zh-CN"/>
    </w:rPr>
  </w:style>
  <w:style w:type="paragraph" w:styleId="4">
    <w:name w:val="Balloon Text"/>
    <w:basedOn w:val="1"/>
    <w:link w:val="14"/>
    <w:unhideWhenUsed/>
    <w:qFormat/>
    <w:uiPriority w:val="99"/>
    <w:rPr>
      <w:sz w:val="18"/>
      <w:szCs w:val="18"/>
    </w:rPr>
  </w:style>
  <w:style w:type="paragraph" w:styleId="5">
    <w:name w:val="footer"/>
    <w:basedOn w:val="1"/>
    <w:link w:val="11"/>
    <w:unhideWhenUsed/>
    <w:qFormat/>
    <w:uiPriority w:val="99"/>
    <w:pPr>
      <w:tabs>
        <w:tab w:val="center" w:pos="4153"/>
        <w:tab w:val="right" w:pos="8306"/>
      </w:tabs>
      <w:snapToGrid w:val="0"/>
      <w:jc w:val="left"/>
    </w:pPr>
    <w:rPr>
      <w:sz w:val="18"/>
      <w:szCs w:val="18"/>
    </w:rPr>
  </w:style>
  <w:style w:type="paragraph" w:styleId="6">
    <w:name w:val="header"/>
    <w:basedOn w:val="1"/>
    <w:link w:val="10"/>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8">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customStyle="1" w:styleId="10">
    <w:name w:val="页眉 Char"/>
    <w:basedOn w:val="9"/>
    <w:link w:val="6"/>
    <w:qFormat/>
    <w:uiPriority w:val="99"/>
    <w:rPr>
      <w:rFonts w:asciiTheme="minorHAnsi" w:hAnsiTheme="minorHAnsi" w:eastAsiaTheme="minorEastAsia"/>
      <w:sz w:val="18"/>
      <w:szCs w:val="18"/>
    </w:rPr>
  </w:style>
  <w:style w:type="character" w:customStyle="1" w:styleId="11">
    <w:name w:val="页脚 Char"/>
    <w:basedOn w:val="9"/>
    <w:link w:val="5"/>
    <w:qFormat/>
    <w:uiPriority w:val="99"/>
    <w:rPr>
      <w:sz w:val="18"/>
      <w:szCs w:val="18"/>
    </w:rPr>
  </w:style>
  <w:style w:type="paragraph" w:customStyle="1" w:styleId="12">
    <w:name w:val="列出段落1"/>
    <w:basedOn w:val="1"/>
    <w:qFormat/>
    <w:uiPriority w:val="1"/>
    <w:pPr>
      <w:spacing w:before="2"/>
      <w:ind w:left="119" w:right="434" w:firstLine="643"/>
    </w:pPr>
    <w:rPr>
      <w:rFonts w:ascii="仿宋_GB2312" w:hAnsi="仿宋_GB2312" w:eastAsia="仿宋_GB2312" w:cs="仿宋_GB2312"/>
      <w:lang w:val="zh-CN" w:bidi="zh-CN"/>
    </w:rPr>
  </w:style>
  <w:style w:type="paragraph" w:customStyle="1" w:styleId="13">
    <w:name w:val="列出段落2"/>
    <w:basedOn w:val="1"/>
    <w:qFormat/>
    <w:uiPriority w:val="34"/>
    <w:pPr>
      <w:ind w:firstLine="420" w:firstLineChars="200"/>
    </w:pPr>
  </w:style>
  <w:style w:type="character" w:customStyle="1" w:styleId="14">
    <w:name w:val="批注框文本 Char"/>
    <w:basedOn w:val="9"/>
    <w:link w:val="4"/>
    <w:semiHidden/>
    <w:qFormat/>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2" Type="http://schemas.openxmlformats.org/officeDocument/2006/relationships/fontTable" Target="fontTable.xml"/><Relationship Id="rId31" Type="http://schemas.openxmlformats.org/officeDocument/2006/relationships/customXml" Target="../customXml/item2.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4.png"/><Relationship Id="rId27" Type="http://schemas.openxmlformats.org/officeDocument/2006/relationships/chart" Target="charts/chart1.xml"/><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theme" Target="theme/theme1.xml"/><Relationship Id="rId23" Type="http://schemas.openxmlformats.org/officeDocument/2006/relationships/footer" Target="footer10.xml"/><Relationship Id="rId22" Type="http://schemas.openxmlformats.org/officeDocument/2006/relationships/header" Target="header11.xml"/><Relationship Id="rId21" Type="http://schemas.openxmlformats.org/officeDocument/2006/relationships/header" Target="header10.xml"/><Relationship Id="rId20" Type="http://schemas.openxmlformats.org/officeDocument/2006/relationships/header" Target="header9.xml"/><Relationship Id="rId2" Type="http://schemas.openxmlformats.org/officeDocument/2006/relationships/settings" Target="settings.xml"/><Relationship Id="rId19" Type="http://schemas.openxmlformats.org/officeDocument/2006/relationships/footer" Target="footer9.xml"/><Relationship Id="rId18" Type="http://schemas.openxmlformats.org/officeDocument/2006/relationships/footer" Target="footer8.xml"/><Relationship Id="rId17" Type="http://schemas.openxmlformats.org/officeDocument/2006/relationships/header" Target="header8.xml"/><Relationship Id="rId16" Type="http://schemas.openxmlformats.org/officeDocument/2006/relationships/header" Target="header7.xml"/><Relationship Id="rId15" Type="http://schemas.openxmlformats.org/officeDocument/2006/relationships/footer" Target="footer7.xml"/><Relationship Id="rId14" Type="http://schemas.openxmlformats.org/officeDocument/2006/relationships/footer" Target="footer6.xml"/><Relationship Id="rId13" Type="http://schemas.openxmlformats.org/officeDocument/2006/relationships/header" Target="head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_rels/header9.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wangmingxin\AppData\Roaming\kingsoft\office6\templates\download\5185bd05-a416-9a0b-b3d5-d2d8db942b83\&#31616;&#32422;&#25991;&#26723;&#23553;&#38754;&#27169;&#26495;.docx"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F:\&#27861;&#38498;2019&#24180;&#20915;&#31639;\&#36164;&#26009;\&#27861;&#38498;2017&#24180;&#32456;&#2287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lgn="ctr" defTabSz="914400">
              <a:defRPr lang="zh-CN" sz="1400" b="0" i="0" u="none" strike="noStrike" kern="1200" spc="0" baseline="0">
                <a:solidFill>
                  <a:schemeClr val="tx1">
                    <a:lumMod val="65000"/>
                    <a:lumOff val="35000"/>
                  </a:schemeClr>
                </a:solidFill>
                <a:latin typeface="+mn-lt"/>
                <a:ea typeface="+mn-ea"/>
                <a:cs typeface="+mn-cs"/>
              </a:defRPr>
            </a:pPr>
            <a:r>
              <a:rPr sz="1400" b="0" i="0" u="none" strike="noStrike" kern="1200" cap="none" spc="0" normalizeH="0" baseline="0">
                <a:solidFill>
                  <a:schemeClr val="tx1">
                    <a:lumMod val="65000"/>
                    <a:lumOff val="35000"/>
                  </a:schemeClr>
                </a:solidFill>
                <a:effectLst/>
                <a:latin typeface="+mn-lt"/>
                <a:ea typeface="+mn-ea"/>
                <a:cs typeface="+mn-cs"/>
              </a:rPr>
              <a:t>财政拨款收支对比</a:t>
            </a:r>
            <a:endParaRPr sz="1400" b="0" i="0" u="none" strike="noStrike" kern="1200" cap="none" spc="0" normalizeH="0" baseline="0">
              <a:solidFill>
                <a:schemeClr val="tx1">
                  <a:lumMod val="65000"/>
                  <a:lumOff val="35000"/>
                </a:schemeClr>
              </a:solidFill>
              <a:effectLst/>
              <a:latin typeface="+mn-lt"/>
              <a:ea typeface="+mn-ea"/>
              <a:cs typeface="+mn-cs"/>
            </a:endParaRPr>
          </a:p>
        </c:rich>
      </c:tx>
      <c:layout/>
      <c:overlay val="0"/>
      <c:spPr>
        <a:noFill/>
        <a:ln>
          <a:noFill/>
        </a:ln>
        <a:effectLst/>
      </c:spPr>
    </c:title>
    <c:autoTitleDeleted val="0"/>
    <c:plotArea>
      <c:layout/>
      <c:barChart>
        <c:barDir val="col"/>
        <c:grouping val="clustered"/>
        <c:varyColors val="0"/>
        <c:ser>
          <c:idx val="0"/>
          <c:order val="0"/>
          <c:tx>
            <c:strRef>
              <c:f>[法院2017年终奖.xlsx]Sheet5!$G$36</c:f>
              <c:strCache>
                <c:ptCount val="1"/>
                <c:pt idx="0">
                  <c:v>财政拨款收入</c:v>
                </c:pt>
              </c:strCache>
            </c:strRef>
          </c:tx>
          <c:spPr>
            <a:solidFill>
              <a:schemeClr val="accent1"/>
            </a:solidFill>
            <a:ln>
              <a:noFill/>
            </a:ln>
            <a:effectLst/>
          </c:spPr>
          <c:invertIfNegative val="0"/>
          <c:dLbls>
            <c:delete val="1"/>
          </c:dLbls>
          <c:cat>
            <c:strRef>
              <c:f>[法院2017年终奖.xlsx]Sheet5!$H$35:$I$35</c:f>
              <c:strCache>
                <c:ptCount val="2"/>
                <c:pt idx="0">
                  <c:v>2018年</c:v>
                </c:pt>
                <c:pt idx="1">
                  <c:v>2019年</c:v>
                </c:pt>
              </c:strCache>
            </c:strRef>
          </c:cat>
          <c:val>
            <c:numRef>
              <c:f>[法院2017年终奖.xlsx]Sheet5!$H$36:$I$36</c:f>
              <c:numCache>
                <c:formatCode>General</c:formatCode>
                <c:ptCount val="2"/>
                <c:pt idx="0">
                  <c:v>1362.26</c:v>
                </c:pt>
                <c:pt idx="1">
                  <c:v>1623.83</c:v>
                </c:pt>
              </c:numCache>
            </c:numRef>
          </c:val>
        </c:ser>
        <c:ser>
          <c:idx val="1"/>
          <c:order val="1"/>
          <c:tx>
            <c:strRef>
              <c:f>[法院2017年终奖.xlsx]Sheet5!$G$37</c:f>
              <c:strCache>
                <c:ptCount val="1"/>
                <c:pt idx="0">
                  <c:v>财政拨款支出</c:v>
                </c:pt>
              </c:strCache>
            </c:strRef>
          </c:tx>
          <c:spPr>
            <a:solidFill>
              <a:schemeClr val="accent2"/>
            </a:solidFill>
            <a:ln>
              <a:noFill/>
            </a:ln>
            <a:effectLst/>
          </c:spPr>
          <c:invertIfNegative val="0"/>
          <c:dLbls>
            <c:delete val="1"/>
          </c:dLbls>
          <c:cat>
            <c:strRef>
              <c:f>[法院2017年终奖.xlsx]Sheet5!$H$35:$I$35</c:f>
              <c:strCache>
                <c:ptCount val="2"/>
                <c:pt idx="0">
                  <c:v>2018年</c:v>
                </c:pt>
                <c:pt idx="1">
                  <c:v>2019年</c:v>
                </c:pt>
              </c:strCache>
            </c:strRef>
          </c:cat>
          <c:val>
            <c:numRef>
              <c:f>[法院2017年终奖.xlsx]Sheet5!$H$37:$I$37</c:f>
              <c:numCache>
                <c:formatCode>General</c:formatCode>
                <c:ptCount val="2"/>
                <c:pt idx="0">
                  <c:v>1289.26</c:v>
                </c:pt>
                <c:pt idx="1">
                  <c:v>1663.51</c:v>
                </c:pt>
              </c:numCache>
            </c:numRef>
          </c:val>
        </c:ser>
        <c:dLbls>
          <c:showLegendKey val="0"/>
          <c:showVal val="0"/>
          <c:showCatName val="0"/>
          <c:showSerName val="0"/>
          <c:showPercent val="0"/>
          <c:showBubbleSize val="0"/>
        </c:dLbls>
        <c:gapWidth val="219"/>
        <c:overlap val="-27"/>
        <c:axId val="157046656"/>
        <c:axId val="157048192"/>
      </c:barChart>
      <c:catAx>
        <c:axId val="157046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7048192"/>
        <c:crosses val="autoZero"/>
        <c:auto val="1"/>
        <c:lblAlgn val="ctr"/>
        <c:lblOffset val="100"/>
        <c:noMultiLvlLbl val="0"/>
      </c:catAx>
      <c:valAx>
        <c:axId val="157048192"/>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57046656"/>
        <c:crosses val="autoZero"/>
        <c:crossBetween val="between"/>
      </c:valAx>
      <c:spPr>
        <a:noFill/>
        <a:ln>
          <a:noFill/>
        </a:ln>
        <a:effectLst/>
      </c:spPr>
    </c:plotArea>
    <c:legend>
      <c:legendPos val="b"/>
      <c:layout/>
      <c:overlay val="0"/>
      <c:spPr>
        <a:noFill/>
        <a:ln>
          <a:noFill/>
        </a:ln>
        <a:effectLst/>
      </c:spPr>
      <c:txPr>
        <a:bodyPr rot="0" spcFirstLastPara="0" vertOverflow="ellipsis" horzOverflow="overflow"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rot="0" spcFirstLastPara="0" vertOverflow="ellipsis" horzOverflow="overflow" vert="horz" wrap="square" anchor="ctr" anchorCtr="1"/>
    <a:lstStyle/>
    <a:p>
      <a:pPr>
        <a:defRPr lang="zh-CN" sz="1000" kern="1200">
          <a:solidFill>
            <a:schemeClr val="tx1"/>
          </a:solidFill>
          <a:latin typeface="+mn-lt"/>
          <a:ea typeface="+mn-ea"/>
          <a:cs typeface="+mn-cs"/>
        </a:defRPr>
      </a:pPr>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2086"/>
    <customShpInfo spid="_x0000_s2085"/>
    <customShpInfo spid="_x0000_s2084"/>
    <customShpInfo spid="_x0000_s2083"/>
    <customShpInfo spid="_x0000_s2082"/>
    <customShpInfo spid="_x0000_s2081"/>
    <customShpInfo spid="_x0000_s2080"/>
    <customShpInfo spid="_x0000_s2078"/>
    <customShpInfo spid="_x0000_s2077"/>
    <customShpInfo spid="_x0000_s2076"/>
    <customShpInfo spid="_x0000_s2075"/>
    <customShpInfo spid="_x0000_s2074"/>
    <customShpInfo spid="_x0000_s2073"/>
    <customShpInfo spid="_x0000_s2072"/>
    <customShpInfo spid="_x0000_s2071"/>
    <customShpInfo spid="_x0000_s2079"/>
    <customShpInfo spid="_x0000_s2069"/>
    <customShpInfo spid="_x0000_s2068"/>
    <customShpInfo spid="_x0000_s2067"/>
    <customShpInfo spid="_x0000_s2066"/>
    <customShpInfo spid="_x0000_s2065"/>
    <customShpInfo spid="_x0000_s2064"/>
    <customShpInfo spid="_x0000_s2063"/>
    <customShpInfo spid="_x0000_s2062"/>
    <customShpInfo spid="_x0000_s2070"/>
    <customShpInfo spid="_x0000_s2061"/>
    <customShpInfo spid="_x0000_s2060"/>
    <customShpInfo spid="_x0000_s2059"/>
    <customShpInfo spid="_x0000_s2058"/>
    <customShpInfo spid="_x0000_s2057"/>
    <customShpInfo spid="_x0000_s2056"/>
    <customShpInfo spid="_x0000_s2055"/>
    <customShpInfo spid="_x0000_s2054"/>
    <customShpInfo spid="_x0000_s2053"/>
    <customShpInfo spid="_x0000_s2052"/>
    <customShpInfo spid="_x0000_s2051"/>
    <customShpInfo spid="_x0000_s2050"/>
    <customShpInfo spid="_x0000_s2049"/>
    <customShpInfo spid="_x0000_s1036"/>
    <customShpInfo spid="_x0000_s1035"/>
    <customShpInfo spid="_x0000_s1034"/>
    <customShpInfo spid="_x0000_s1026"/>
    <customShpInfo spid="_x0000_s1039"/>
    <customShpInfo spid="_x0000_s1038"/>
    <customShpInfo spid="_x0000_s1037"/>
    <customShpInfo spid="_x0000_s1033"/>
    <customShpInfo spid="_x0000_s1044"/>
    <customShpInfo spid="_x0000_s1043"/>
    <customShpInfo spid="_x0000_s1040"/>
    <customShpInfo spid="_x0000_s1032"/>
    <customShpInfo spid="_x0000_s1031"/>
    <customShpInfo spid="_x0000_s1030"/>
    <customShpInfo spid="_x0000_s1029"/>
    <customShpInfo spid="_x0000_s1028"/>
    <customShpInfo spid="_x0000_s1027"/>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47FC96-AC3B-449A-8104-E68A064A0369}">
  <ds:schemaRefs/>
</ds:datastoreItem>
</file>

<file path=docProps/app.xml><?xml version="1.0" encoding="utf-8"?>
<Properties xmlns="http://schemas.openxmlformats.org/officeDocument/2006/extended-properties" xmlns:vt="http://schemas.openxmlformats.org/officeDocument/2006/docPropsVTypes">
  <Template>简约文档封面模板.docx</Template>
  <Company>Microsoft</Company>
  <Pages>34</Pages>
  <Words>8870</Words>
  <Characters>5766</Characters>
  <Lines>48</Lines>
  <Paragraphs>29</Paragraphs>
  <TotalTime>20</TotalTime>
  <ScaleCrop>false</ScaleCrop>
  <LinksUpToDate>false</LinksUpToDate>
  <CharactersWithSpaces>14607</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2020-07-29T09:42:00Z</dcterms:created>
  <dc:creator>王明新TIAD</dc:creator>
  <cp:lastModifiedBy>Administrator</cp:lastModifiedBy>
  <cp:lastPrinted>2020-07-30T02:37:00Z</cp:lastPrinted>
  <dcterms:modified xsi:type="dcterms:W3CDTF">2024-01-03T01:22:31Z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ACDB68B06854417DA9D6C2A251DF9418</vt:lpwstr>
  </property>
</Properties>
</file>