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无极县公安局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无极县公安局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numPr>
          <w:ilvl w:val="0"/>
          <w:numId w:val="1"/>
        </w:numPr>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部门职责</w:t>
      </w:r>
    </w:p>
    <w:p>
      <w:pPr>
        <w:spacing w:line="520" w:lineRule="exact"/>
        <w:ind w:firstLine="960" w:firstLineChars="300"/>
        <w:rPr>
          <w:rFonts w:ascii="仿宋" w:hAnsi="仿宋" w:eastAsia="仿宋"/>
          <w:color w:val="000000"/>
          <w:kern w:val="0"/>
          <w:sz w:val="32"/>
          <w:szCs w:val="32"/>
          <w:shd w:val="clear" w:color="auto" w:fill="FFFFFF"/>
        </w:rPr>
      </w:pPr>
      <w:r>
        <w:rPr>
          <w:rFonts w:ascii="仿宋" w:hAnsi="仿宋" w:eastAsia="仿宋"/>
          <w:color w:val="000000"/>
          <w:kern w:val="0"/>
          <w:sz w:val="32"/>
          <w:szCs w:val="32"/>
          <w:shd w:val="clear" w:color="auto" w:fill="FFFFFF"/>
        </w:rPr>
        <w:t>（一）</w:t>
      </w:r>
      <w:r>
        <w:rPr>
          <w:rFonts w:hint="eastAsia" w:ascii="仿宋" w:hAnsi="仿宋" w:eastAsia="仿宋"/>
          <w:color w:val="000000"/>
          <w:kern w:val="0"/>
          <w:sz w:val="32"/>
          <w:szCs w:val="32"/>
          <w:shd w:val="clear" w:color="auto" w:fill="FFFFFF"/>
        </w:rPr>
        <w:t>贯彻执行党和国家关于公安工作的方针、政策、法律、法规、组织部署全县公安工作并指导、监督、检查贯彻执行情况。</w:t>
      </w:r>
      <w:r>
        <w:rPr>
          <w:rFonts w:hint="eastAsia" w:ascii="仿宋" w:eastAsia="仿宋"/>
          <w:color w:val="000000"/>
          <w:kern w:val="0"/>
          <w:sz w:val="32"/>
          <w:szCs w:val="32"/>
          <w:shd w:val="clear" w:color="auto" w:fill="FFFFFF"/>
        </w:rPr>
        <w:t>                          </w:t>
      </w:r>
    </w:p>
    <w:p>
      <w:pPr>
        <w:spacing w:line="520" w:lineRule="exact"/>
        <w:rPr>
          <w:rFonts w:ascii="仿宋" w:hAnsi="仿宋" w:eastAsia="仿宋"/>
          <w:color w:val="000000"/>
          <w:sz w:val="32"/>
          <w:szCs w:val="32"/>
        </w:rPr>
      </w:pPr>
      <w:r>
        <w:rPr>
          <w:rFonts w:hint="eastAsia" w:ascii="仿宋" w:eastAsia="仿宋"/>
          <w:color w:val="000000"/>
          <w:kern w:val="0"/>
          <w:sz w:val="32"/>
          <w:szCs w:val="32"/>
          <w:shd w:val="clear" w:color="auto" w:fill="FFFFFF"/>
        </w:rPr>
        <w:t> </w:t>
      </w:r>
      <w:r>
        <w:rPr>
          <w:rFonts w:hint="eastAsia" w:ascii="仿宋" w:hAnsi="仿宋" w:eastAsia="仿宋"/>
          <w:color w:val="000000"/>
          <w:kern w:val="0"/>
          <w:sz w:val="32"/>
          <w:szCs w:val="32"/>
          <w:shd w:val="clear" w:color="auto" w:fill="FFFFFF"/>
        </w:rPr>
        <w:t>（二）收集、掌握影响社会稳定和社会治安的有关信息，综合分析社会治安动态，为县委、县政府决策提供依据，并研究制定对策措施。</w:t>
      </w:r>
    </w:p>
    <w:p>
      <w:pPr>
        <w:spacing w:line="520" w:lineRule="exact"/>
        <w:rPr>
          <w:rFonts w:ascii="仿宋" w:hAnsi="仿宋" w:eastAsia="仿宋"/>
          <w:color w:val="000000"/>
          <w:kern w:val="0"/>
          <w:sz w:val="32"/>
          <w:szCs w:val="32"/>
          <w:shd w:val="clear" w:color="auto" w:fill="FFFFFF"/>
        </w:rPr>
      </w:pPr>
      <w:r>
        <w:rPr>
          <w:rFonts w:hint="eastAsia" w:ascii="仿宋" w:hAnsi="仿宋" w:eastAsia="仿宋"/>
          <w:color w:val="000000"/>
          <w:kern w:val="0"/>
          <w:sz w:val="32"/>
          <w:szCs w:val="32"/>
          <w:shd w:val="clear" w:color="auto" w:fill="FFFFFF"/>
        </w:rPr>
        <w:t xml:space="preserve">    （三）组织侦破维护国家安全和刑事、经济犯罪案件；打击、防范暴力恐怖活动和邪教活动。</w:t>
      </w:r>
    </w:p>
    <w:p>
      <w:pPr>
        <w:spacing w:line="520" w:lineRule="exact"/>
        <w:rPr>
          <w:rFonts w:ascii="仿宋" w:hAnsi="仿宋" w:eastAsia="仿宋"/>
          <w:color w:val="000000"/>
          <w:kern w:val="0"/>
          <w:sz w:val="32"/>
          <w:szCs w:val="32"/>
          <w:shd w:val="clear" w:color="auto" w:fill="FFFFFF"/>
        </w:rPr>
      </w:pPr>
      <w:r>
        <w:rPr>
          <w:rFonts w:hint="eastAsia" w:ascii="仿宋" w:hAnsi="仿宋" w:eastAsia="仿宋"/>
          <w:color w:val="000000"/>
          <w:kern w:val="0"/>
          <w:sz w:val="32"/>
          <w:szCs w:val="32"/>
          <w:shd w:val="clear" w:color="auto" w:fill="FFFFFF"/>
        </w:rPr>
        <w:t>（四）组织指挥处置重大治安灾害事故、骚乱和群体性事件；组织实施重大活动的安全保卫工作；管理集会、游行、示威活动。</w:t>
      </w:r>
    </w:p>
    <w:p>
      <w:pPr>
        <w:spacing w:line="520" w:lineRule="exact"/>
        <w:rPr>
          <w:rFonts w:ascii="仿宋" w:hAnsi="仿宋" w:eastAsia="仿宋"/>
          <w:color w:val="000000"/>
          <w:sz w:val="32"/>
          <w:szCs w:val="32"/>
        </w:rPr>
      </w:pPr>
      <w:r>
        <w:rPr>
          <w:rFonts w:hint="eastAsia" w:ascii="仿宋" w:hAnsi="仿宋" w:eastAsia="仿宋"/>
          <w:color w:val="000000"/>
          <w:kern w:val="0"/>
          <w:sz w:val="32"/>
          <w:szCs w:val="32"/>
          <w:shd w:val="clear" w:color="auto" w:fill="FFFFFF"/>
        </w:rPr>
        <w:t xml:space="preserve">    （五）维护全县社会治安秩序，依法查处各类治安案件；依法管理特种行业、公共场所；管理枪支弹药、易燃易爆、剧毒、放射性等危险物品；管理常住人口、暂住人口、办理居民身份证、边境证；监督、指导内部单位治安保卫工作。</w:t>
      </w:r>
    </w:p>
    <w:p>
      <w:pPr>
        <w:spacing w:line="520" w:lineRule="exact"/>
        <w:rPr>
          <w:rFonts w:ascii="仿宋" w:hAnsi="仿宋" w:eastAsia="仿宋"/>
          <w:sz w:val="32"/>
          <w:szCs w:val="32"/>
        </w:rPr>
      </w:pPr>
      <w:r>
        <w:rPr>
          <w:rFonts w:hint="eastAsia" w:ascii="仿宋" w:hAnsi="仿宋" w:eastAsia="仿宋"/>
          <w:sz w:val="32"/>
          <w:szCs w:val="32"/>
          <w:shd w:val="clear" w:color="auto" w:fill="FFFFFF"/>
        </w:rPr>
        <w:t>（六）负责全县公安机关依法承担的执行刑罚的指导和监督工作；负责监所管理工作。</w:t>
      </w:r>
    </w:p>
    <w:p>
      <w:pPr>
        <w:spacing w:line="520" w:lineRule="exact"/>
        <w:ind w:firstLine="480" w:firstLineChars="150"/>
        <w:rPr>
          <w:rFonts w:ascii="仿宋" w:hAnsi="仿宋" w:eastAsia="仿宋"/>
          <w:sz w:val="32"/>
          <w:szCs w:val="32"/>
        </w:rPr>
      </w:pPr>
      <w:r>
        <w:rPr>
          <w:rFonts w:hint="eastAsia" w:ascii="仿宋" w:hAnsi="仿宋" w:eastAsia="仿宋"/>
          <w:sz w:val="32"/>
          <w:szCs w:val="32"/>
          <w:shd w:val="clear" w:color="auto" w:fill="FFFFFF"/>
        </w:rPr>
        <w:t>（七）搞好公安法制建设；负责案件审批、行政诉讼和行政复议工作；组织实施执法监督工作。</w:t>
      </w:r>
    </w:p>
    <w:p>
      <w:pPr>
        <w:spacing w:line="520" w:lineRule="exact"/>
        <w:ind w:firstLine="480" w:firstLineChars="150"/>
        <w:rPr>
          <w:rFonts w:ascii="仿宋" w:hAnsi="仿宋" w:eastAsia="仿宋"/>
          <w:sz w:val="32"/>
          <w:szCs w:val="32"/>
        </w:rPr>
      </w:pPr>
      <w:r>
        <w:rPr>
          <w:rFonts w:hint="eastAsia" w:ascii="仿宋" w:hAnsi="仿宋" w:eastAsia="仿宋"/>
          <w:sz w:val="32"/>
          <w:szCs w:val="32"/>
          <w:shd w:val="clear" w:color="auto" w:fill="FFFFFF"/>
        </w:rPr>
        <w:t>组织实施全县消防监督、火灾预防和扑救等工作；维护交通秩序和交通安全。</w:t>
      </w:r>
    </w:p>
    <w:p>
      <w:pPr>
        <w:widowControl/>
        <w:shd w:val="clear" w:color="auto" w:fill="FFFFFF"/>
        <w:spacing w:line="520" w:lineRule="exact"/>
        <w:ind w:firstLine="640" w:firstLineChars="200"/>
        <w:rPr>
          <w:rFonts w:ascii="仿宋" w:hAnsi="仿宋" w:eastAsia="仿宋"/>
          <w:color w:val="000000"/>
          <w:sz w:val="32"/>
          <w:szCs w:val="32"/>
        </w:rPr>
      </w:pPr>
      <w:r>
        <w:rPr>
          <w:rFonts w:hint="eastAsia" w:ascii="仿宋" w:hAnsi="仿宋" w:eastAsia="仿宋" w:cs="仿宋_GB2312"/>
          <w:color w:val="000000"/>
          <w:kern w:val="0"/>
          <w:sz w:val="32"/>
          <w:szCs w:val="32"/>
          <w:shd w:val="clear" w:color="auto" w:fill="FFFFFF"/>
        </w:rPr>
        <w:t>（八）组织指挥县武警中队执行公安任务。</w:t>
      </w:r>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年度本部门决算汇编范围的独立核算单位（以下简称“单位”）共3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rPr>
                <w:rFonts w:ascii="仿宋" w:hAnsi="仿宋" w:eastAsia="仿宋"/>
                <w:sz w:val="32"/>
                <w:szCs w:val="32"/>
              </w:rPr>
            </w:pPr>
            <w:r>
              <w:rPr>
                <w:rFonts w:hint="eastAsia" w:ascii="仿宋" w:hAnsi="仿宋" w:eastAsia="仿宋"/>
                <w:sz w:val="32"/>
                <w:szCs w:val="32"/>
              </w:rPr>
              <w:t>无极县公安局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rPr>
                <w:rFonts w:ascii="仿宋" w:hAnsi="仿宋" w:eastAsia="仿宋"/>
                <w:sz w:val="32"/>
                <w:szCs w:val="32"/>
              </w:rPr>
            </w:pPr>
            <w:r>
              <w:rPr>
                <w:rFonts w:hint="eastAsia" w:ascii="仿宋" w:hAnsi="仿宋" w:eastAsia="仿宋"/>
                <w:sz w:val="32"/>
                <w:szCs w:val="32"/>
              </w:rPr>
              <w:t>派出机构</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rPr>
                <w:rFonts w:ascii="仿宋" w:hAnsi="仿宋" w:eastAsia="仿宋"/>
                <w:sz w:val="32"/>
                <w:szCs w:val="32"/>
              </w:rPr>
            </w:pPr>
            <w:r>
              <w:rPr>
                <w:rFonts w:hint="eastAsia" w:ascii="仿宋" w:hAnsi="仿宋" w:eastAsia="仿宋"/>
                <w:sz w:val="32"/>
                <w:szCs w:val="32"/>
              </w:rPr>
              <w:t>看守所、拘留所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7"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4364.91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4850.1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4364.91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4897.63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918.19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385.47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5283.1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5283.1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4364.91</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4364.91</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公共安全支出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4364.91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4364.91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公安</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4364.91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4364.91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3072.01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3072.01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治安管理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628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628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出入境管理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50" w:firstLineChars="100"/>
              <w:jc w:val="left"/>
              <w:rPr>
                <w:rFonts w:ascii="宋体" w:hAnsi="宋体" w:cs="宋体"/>
                <w:color w:val="000000"/>
                <w:sz w:val="15"/>
                <w:szCs w:val="15"/>
              </w:rPr>
            </w:pPr>
            <w:r>
              <w:rPr>
                <w:rFonts w:hint="eastAsia" w:ascii="宋体" w:hAnsi="宋体" w:cs="宋体"/>
                <w:color w:val="000000"/>
                <w:sz w:val="15"/>
                <w:szCs w:val="15"/>
              </w:rPr>
              <w:t>网络运行及维护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95" w:firstLineChars="150"/>
              <w:jc w:val="left"/>
              <w:rPr>
                <w:rFonts w:ascii="宋体" w:hAnsi="宋体" w:cs="宋体"/>
                <w:color w:val="000000"/>
                <w:sz w:val="13"/>
                <w:szCs w:val="13"/>
              </w:rPr>
            </w:pPr>
            <w:r>
              <w:rPr>
                <w:rFonts w:hint="eastAsia" w:ascii="宋体" w:hAnsi="宋体" w:cs="宋体"/>
                <w:color w:val="000000"/>
                <w:sz w:val="13"/>
                <w:szCs w:val="13"/>
              </w:rPr>
              <w:t>拘押收教场所管理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149.62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419.62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信息化建设</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 xml:space="preserve">  其他公安支出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40.45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40.45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1"/>
                <w:szCs w:val="11"/>
              </w:rPr>
            </w:pPr>
            <w:r>
              <w:rPr>
                <w:rFonts w:hint="eastAsia" w:ascii="宋体" w:hAnsi="宋体" w:cs="宋体"/>
                <w:color w:val="000000"/>
                <w:sz w:val="11"/>
                <w:szCs w:val="11"/>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计划生育服务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271"/>
        <w:gridCol w:w="847"/>
        <w:gridCol w:w="287"/>
        <w:gridCol w:w="833"/>
        <w:gridCol w:w="160"/>
        <w:gridCol w:w="958"/>
        <w:gridCol w:w="176"/>
        <w:gridCol w:w="567"/>
        <w:gridCol w:w="377"/>
        <w:gridCol w:w="190"/>
        <w:gridCol w:w="1188"/>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41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5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567"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188"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88"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417"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417"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4897.63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4033.23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864.4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公共安全支出 </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4850.1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3985.7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864.4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公安</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4850.1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3985.7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864.4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2040201</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3060.01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3060.01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2040204</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治安管理</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537.26</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175.22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362.05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2040208</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出入境管理</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18.01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18.01</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2040216</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网络运行及维护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2040217</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拘留收教场所管理</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188.48</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149.62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38.86</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2040219</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信息化建设</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2040299</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其他公安支出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576.33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130.85</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445.48</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死亡抚恤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医疗卫生与计划生育支出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2100707</w:t>
            </w: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03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4364.91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4850.1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4850.1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4364.91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4897.63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4897.63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918.19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385.47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385.47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918.19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5283.1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5283.1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5283.1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4897.63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4033.23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864.4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公共安全支出 </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4850.1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3985.7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864.4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公安</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4850.1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3985.7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864.4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3060.01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3060.01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治安管理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537.26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175.22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出入境管理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18.01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网络运行及维护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拘留收教场所管理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188.48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149.62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38.86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2040219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信息化建设</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2040299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其他公安支出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576.33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130.85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445.48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2018.81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1548.69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942.65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114.68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976.78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218.15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24.68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18.82</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101.17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79.12</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68.49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118.86</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197.33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247.59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152.36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58.85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1.35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70.45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170.24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2266.39</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1766.84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 w:val="22"/>
                <w:szCs w:val="22"/>
              </w:rPr>
              <w:t>本部门本年度无</w:t>
            </w:r>
            <w:r>
              <w:rPr>
                <w:rFonts w:hint="eastAsia" w:cs="黑体" w:asciiTheme="majorEastAsia" w:hAnsiTheme="majorEastAsia" w:eastAsiaTheme="majorEastAsia"/>
                <w:color w:val="000000"/>
                <w:kern w:val="0"/>
                <w:szCs w:val="21"/>
              </w:rPr>
              <w:t>政府性基金预算财政拨款收入支出决算</w:t>
            </w:r>
            <w:r>
              <w:rPr>
                <w:rFonts w:hint="eastAsia" w:ascii="宋体" w:hAnsi="宋体" w:cs="宋体"/>
                <w:color w:val="000000"/>
                <w:kern w:val="0"/>
                <w:sz w:val="22"/>
                <w:szCs w:val="22"/>
              </w:rPr>
              <w:t>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本部门本年度无</w:t>
            </w:r>
            <w:r>
              <w:rPr>
                <w:rFonts w:hint="eastAsia" w:cs="黑体" w:asciiTheme="majorEastAsia" w:hAnsiTheme="majorEastAsia" w:eastAsiaTheme="majorEastAsia"/>
                <w:color w:val="000000"/>
                <w:kern w:val="0"/>
                <w:szCs w:val="21"/>
              </w:rPr>
              <w:t>国有资本经营预算财政拨款支出决算</w:t>
            </w:r>
            <w:r>
              <w:rPr>
                <w:rFonts w:hint="eastAsia" w:ascii="宋体" w:hAnsi="宋体" w:cs="宋体"/>
                <w:color w:val="000000"/>
                <w:kern w:val="0"/>
                <w:sz w:val="22"/>
                <w:szCs w:val="22"/>
              </w:rPr>
              <w:t>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202.75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202.75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202.75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198.99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198.99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198.99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166.63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166.63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166.63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32.36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32.36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32.36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本部门2018年度收支总计（含结转和结余）5283.1万元。与2017年度决算相比，收支各减少575.21万元，下降9.82%，主要原因是2018年公用支出减少。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本部门2018年度本年收入合计4364.</w:t>
      </w:r>
      <w:r>
        <w:rPr>
          <w:rFonts w:hint="eastAsia" w:ascii="宋体" w:hAnsi="宋体" w:cs="宋体"/>
          <w:sz w:val="32"/>
          <w:szCs w:val="32"/>
        </w:rPr>
        <w:t>9</w:t>
      </w:r>
      <w:r>
        <w:rPr>
          <w:rFonts w:hint="eastAsia" w:ascii="仿宋_GB2312" w:eastAsia="仿宋_GB2312" w:cs="DengXian-Regular"/>
          <w:sz w:val="32"/>
          <w:szCs w:val="32"/>
        </w:rPr>
        <w:t>1万元，其中：财政拨款收入4364.</w:t>
      </w:r>
      <w:r>
        <w:rPr>
          <w:rFonts w:hint="eastAsia" w:ascii="宋体" w:hAnsi="宋体" w:cs="宋体"/>
          <w:sz w:val="32"/>
          <w:szCs w:val="32"/>
        </w:rPr>
        <w:t>9</w:t>
      </w:r>
      <w:r>
        <w:rPr>
          <w:rFonts w:hint="eastAsia" w:ascii="仿宋_GB2312" w:eastAsia="仿宋_GB2312" w:cs="DengXian-Regular"/>
          <w:sz w:val="32"/>
          <w:szCs w:val="32"/>
        </w:rPr>
        <w:t>1万元，占100%；事业收入0万元，占0%；经营收入0万元，占0%；其他收入0万元，占0%。如图所示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3600" behindDoc="0" locked="0" layoutInCell="1" allowOverlap="1">
            <wp:simplePos x="0" y="0"/>
            <wp:positionH relativeFrom="margin">
              <wp:posOffset>803275</wp:posOffset>
            </wp:positionH>
            <wp:positionV relativeFrom="margin">
              <wp:posOffset>3874770</wp:posOffset>
            </wp:positionV>
            <wp:extent cx="3695700" cy="3181350"/>
            <wp:effectExtent l="0" t="0" r="0" b="0"/>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
      <w:pPr>
        <w:pStyle w:val="3"/>
        <w:spacing w:before="0" w:after="0" w:line="580" w:lineRule="exact"/>
        <w:ind w:firstLine="640" w:firstLineChars="200"/>
        <w:rPr>
          <w:rFonts w:ascii="黑体" w:eastAsia="黑体"/>
          <w:b w:val="0"/>
          <w:bCs w:val="0"/>
        </w:rPr>
      </w:pPr>
    </w:p>
    <w:p>
      <w:pPr>
        <w:pStyle w:val="3"/>
        <w:spacing w:before="0" w:after="0" w:line="580" w:lineRule="exact"/>
        <w:rPr>
          <w:rFonts w:ascii="黑体" w:eastAsia="黑体"/>
          <w:b w:val="0"/>
          <w:bCs w:val="0"/>
        </w:rPr>
      </w:pPr>
    </w:p>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本部门2018年度本年支出合计48</w:t>
      </w:r>
      <w:r>
        <w:rPr>
          <w:rFonts w:hint="eastAsia" w:ascii="宋体" w:hAnsi="宋体" w:cs="宋体"/>
          <w:sz w:val="32"/>
          <w:szCs w:val="32"/>
        </w:rPr>
        <w:t>97.63</w:t>
      </w:r>
      <w:r>
        <w:rPr>
          <w:rFonts w:hint="eastAsia" w:ascii="仿宋_GB2312" w:eastAsia="仿宋_GB2312" w:cs="DengXian-Regular"/>
          <w:sz w:val="32"/>
          <w:szCs w:val="32"/>
        </w:rPr>
        <w:t>万元，其中：基本支出4033.23万元，占82%；项目支出864.4万元，占18%；经营支出0万元，占0%。如图所示：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4624" behindDoc="0" locked="0" layoutInCell="1" allowOverlap="1">
            <wp:simplePos x="0" y="0"/>
            <wp:positionH relativeFrom="margin">
              <wp:posOffset>941070</wp:posOffset>
            </wp:positionH>
            <wp:positionV relativeFrom="margin">
              <wp:posOffset>1296035</wp:posOffset>
            </wp:positionV>
            <wp:extent cx="3629025" cy="2690495"/>
            <wp:effectExtent l="0" t="0" r="0" b="0"/>
            <wp:wrapSquare wrapText="bothSides"/>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本部门2018年度形成的财政拨款收支均为一般公共预算财政拨款，其中一般公共预算财政拨款本年收入4364.</w:t>
      </w:r>
      <w:r>
        <w:rPr>
          <w:rFonts w:hint="eastAsia" w:ascii="宋体" w:hAnsi="宋体" w:cs="宋体"/>
          <w:sz w:val="32"/>
          <w:szCs w:val="32"/>
        </w:rPr>
        <w:t>91</w:t>
      </w:r>
      <w:r>
        <w:rPr>
          <w:rFonts w:hint="eastAsia" w:ascii="仿宋_GB2312" w:eastAsia="仿宋_GB2312" w:cs="DengXian-Regular"/>
          <w:sz w:val="32"/>
          <w:szCs w:val="32"/>
        </w:rPr>
        <w:t>万元,比2017年度减少857.02万元，降低1</w:t>
      </w:r>
      <w:r>
        <w:rPr>
          <w:rFonts w:hint="eastAsia" w:ascii="宋体" w:hAnsi="宋体" w:cs="宋体"/>
          <w:sz w:val="32"/>
          <w:szCs w:val="32"/>
        </w:rPr>
        <w:t>4.41</w:t>
      </w:r>
      <w:r>
        <w:rPr>
          <w:rFonts w:hint="eastAsia" w:ascii="仿宋_GB2312" w:eastAsia="仿宋_GB2312" w:cs="DengXian-Regular"/>
          <w:sz w:val="32"/>
          <w:szCs w:val="32"/>
        </w:rPr>
        <w:t>%，主要是201</w:t>
      </w:r>
      <w:r>
        <w:rPr>
          <w:rFonts w:hint="eastAsia" w:ascii="宋体" w:hAnsi="宋体" w:cs="宋体"/>
          <w:sz w:val="32"/>
          <w:szCs w:val="32"/>
        </w:rPr>
        <w:t>8</w:t>
      </w:r>
      <w:r>
        <w:rPr>
          <w:rFonts w:hint="eastAsia" w:ascii="仿宋_GB2312" w:eastAsia="仿宋_GB2312" w:cs="DengXian-Regular"/>
          <w:sz w:val="32"/>
          <w:szCs w:val="32"/>
        </w:rPr>
        <w:t>退休人员转入社保；本年支出48</w:t>
      </w:r>
      <w:r>
        <w:rPr>
          <w:rFonts w:hint="eastAsia" w:ascii="宋体" w:hAnsi="宋体" w:cs="宋体"/>
          <w:sz w:val="32"/>
          <w:szCs w:val="32"/>
        </w:rPr>
        <w:t>97.63</w:t>
      </w:r>
      <w:r>
        <w:rPr>
          <w:rFonts w:hint="eastAsia" w:ascii="仿宋_GB2312" w:eastAsia="仿宋_GB2312" w:cs="DengXian-Regular"/>
          <w:sz w:val="32"/>
          <w:szCs w:val="32"/>
        </w:rPr>
        <w:t>万元，减少42.4</w:t>
      </w:r>
      <w:r>
        <w:rPr>
          <w:rFonts w:hint="eastAsia" w:ascii="宋体" w:hAnsi="宋体" w:cs="宋体"/>
          <w:sz w:val="32"/>
          <w:szCs w:val="32"/>
        </w:rPr>
        <w:t>9</w:t>
      </w:r>
      <w:r>
        <w:rPr>
          <w:rFonts w:hint="eastAsia" w:ascii="仿宋_GB2312" w:eastAsia="仿宋_GB2312" w:cs="DengXian-Regular"/>
          <w:sz w:val="32"/>
          <w:szCs w:val="32"/>
        </w:rPr>
        <w:t>万元，降低0.008%，主要是退休人员转入社保，基本支出减少。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5648" behindDoc="0" locked="0" layoutInCell="1" allowOverlap="1">
            <wp:simplePos x="0" y="0"/>
            <wp:positionH relativeFrom="column">
              <wp:posOffset>519430</wp:posOffset>
            </wp:positionH>
            <wp:positionV relativeFrom="paragraph">
              <wp:posOffset>154940</wp:posOffset>
            </wp:positionV>
            <wp:extent cx="4572000" cy="2743200"/>
            <wp:effectExtent l="0" t="0" r="0" b="0"/>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本部门2018年度一般公共预算财政拨款收入4364.</w:t>
      </w:r>
      <w:r>
        <w:rPr>
          <w:rFonts w:hint="eastAsia" w:ascii="宋体" w:hAnsi="宋体" w:cs="宋体"/>
          <w:sz w:val="32"/>
          <w:szCs w:val="32"/>
        </w:rPr>
        <w:t>91</w:t>
      </w:r>
      <w:r>
        <w:rPr>
          <w:rFonts w:hint="eastAsia" w:ascii="仿宋_GB2312" w:eastAsia="仿宋_GB2312" w:cs="DengXian-Regular"/>
          <w:sz w:val="32"/>
          <w:szCs w:val="32"/>
        </w:rPr>
        <w:t>万元，完成年初预算的82.74%,比年初预算减</w:t>
      </w:r>
      <w:r>
        <w:rPr>
          <w:rFonts w:hint="eastAsia" w:ascii="宋体" w:hAnsi="宋体" w:cs="宋体"/>
          <w:sz w:val="32"/>
          <w:szCs w:val="32"/>
        </w:rPr>
        <w:t>910.8</w:t>
      </w:r>
      <w:r>
        <w:rPr>
          <w:rFonts w:hint="eastAsia" w:ascii="仿宋_GB2312" w:eastAsia="仿宋_GB2312" w:cs="DengXian-Regular"/>
          <w:sz w:val="32"/>
          <w:szCs w:val="32"/>
        </w:rPr>
        <w:t>万元，决算数小于预算数主要原因是网络运行及维护和其他公安支出收入减少；本年支出48</w:t>
      </w:r>
      <w:r>
        <w:rPr>
          <w:rFonts w:hint="eastAsia" w:ascii="宋体" w:hAnsi="宋体" w:cs="宋体"/>
          <w:sz w:val="32"/>
          <w:szCs w:val="32"/>
        </w:rPr>
        <w:t>97.63</w:t>
      </w:r>
      <w:r>
        <w:rPr>
          <w:rFonts w:hint="eastAsia" w:ascii="仿宋_GB2312" w:eastAsia="仿宋_GB2312" w:cs="DengXian-Regular"/>
          <w:sz w:val="32"/>
          <w:szCs w:val="32"/>
        </w:rPr>
        <w:t>万元，完成年初预算的</w:t>
      </w:r>
      <w:r>
        <w:rPr>
          <w:rFonts w:hint="eastAsia" w:ascii="宋体" w:hAnsi="宋体" w:cs="宋体"/>
          <w:sz w:val="32"/>
          <w:szCs w:val="32"/>
        </w:rPr>
        <w:t>92.83</w:t>
      </w:r>
      <w:r>
        <w:rPr>
          <w:rFonts w:hint="eastAsia" w:ascii="仿宋_GB2312" w:eastAsia="仿宋_GB2312" w:cs="DengXian-Regular"/>
          <w:sz w:val="32"/>
          <w:szCs w:val="32"/>
        </w:rPr>
        <w:t>%,比年初预算减少378.08万元，决算数小于预算数主要原因是网络运行及维护和其他公安支出减少。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6672" behindDoc="0" locked="0" layoutInCell="1" allowOverlap="1">
            <wp:simplePos x="0" y="0"/>
            <wp:positionH relativeFrom="margin">
              <wp:posOffset>421005</wp:posOffset>
            </wp:positionH>
            <wp:positionV relativeFrom="margin">
              <wp:posOffset>67945</wp:posOffset>
            </wp:positionV>
            <wp:extent cx="4572000" cy="2743200"/>
            <wp:effectExtent l="0" t="0" r="0" b="0"/>
            <wp:wrapSquare wrapText="bothSides"/>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420" w:firstLineChars="200"/>
        <w:rPr>
          <w:rFonts w:ascii="仿宋_GB2312" w:eastAsia="仿宋_GB2312" w:cs="DengXian-Regular"/>
          <w:sz w:val="32"/>
          <w:szCs w:val="32"/>
          <w:highlight w:val="yellow"/>
        </w:rPr>
      </w:pPr>
      <w:r>
        <w:pict>
          <v:group id="_x0000_s1058" o:spid="_x0000_s1058" o:spt="203" style="position:absolute;left:0pt;margin-left:45.95pt;margin-top:0.4pt;height:208.2pt;width:343.1pt;z-index:-251644928;mso-width-relative:page;mso-height-relative:page;" coordsize="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0" o:title=""/>
              <o:lock v:ext="edit" aspectratio="t"/>
            </v:shape>
            <v:shape id="文本框 28" o:spid="_x0000_s1059" o:spt="202" type="#_x0000_t202" style="position:absolute;left:52;top:2288;height:7;width:63;"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年度财政拨款支出48</w:t>
      </w:r>
      <w:r>
        <w:rPr>
          <w:rFonts w:hint="eastAsia" w:ascii="宋体" w:hAnsi="宋体" w:cs="宋体"/>
          <w:sz w:val="32"/>
          <w:szCs w:val="32"/>
        </w:rPr>
        <w:t>97.63</w:t>
      </w:r>
      <w:r>
        <w:rPr>
          <w:rFonts w:hint="eastAsia" w:ascii="仿宋_GB2312" w:eastAsia="仿宋_GB2312" w:cs="DengXian-Regular"/>
          <w:sz w:val="32"/>
          <w:szCs w:val="32"/>
        </w:rPr>
        <w:t>万元，主要用于以下方面公共安全类支出4850.1万元，占</w:t>
      </w:r>
      <w:r>
        <w:rPr>
          <w:rFonts w:hint="eastAsia" w:ascii="宋体" w:hAnsi="宋体" w:cs="宋体"/>
          <w:sz w:val="32"/>
          <w:szCs w:val="32"/>
        </w:rPr>
        <w:t>99.03</w:t>
      </w:r>
      <w:r>
        <w:rPr>
          <w:rFonts w:hint="eastAsia" w:ascii="仿宋_GB2312" w:eastAsia="仿宋_GB2312" w:cs="DengXian-Regular"/>
          <w:sz w:val="32"/>
          <w:szCs w:val="32"/>
        </w:rPr>
        <w:t>%；社会保障和就业支出 47.23万元，占0.</w:t>
      </w:r>
      <w:r>
        <w:rPr>
          <w:rFonts w:hint="eastAsia" w:ascii="宋体" w:hAnsi="宋体" w:cs="宋体"/>
          <w:sz w:val="32"/>
          <w:szCs w:val="32"/>
        </w:rPr>
        <w:t>96</w:t>
      </w:r>
      <w:r>
        <w:rPr>
          <w:rFonts w:hint="eastAsia" w:ascii="仿宋_GB2312" w:eastAsia="仿宋_GB2312" w:cs="DengXian-Regular"/>
          <w:sz w:val="32"/>
          <w:szCs w:val="32"/>
        </w:rPr>
        <w:t>%；医疗卫生与计划生育支出占0.01%。</w:t>
      </w: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77696" behindDoc="0" locked="0" layoutInCell="1" allowOverlap="1">
            <wp:simplePos x="0" y="0"/>
            <wp:positionH relativeFrom="margin">
              <wp:posOffset>426085</wp:posOffset>
            </wp:positionH>
            <wp:positionV relativeFrom="margin">
              <wp:posOffset>5090160</wp:posOffset>
            </wp:positionV>
            <wp:extent cx="4572000" cy="2988310"/>
            <wp:effectExtent l="0" t="0" r="0" b="2540"/>
            <wp:wrapSquare wrapText="bothSides"/>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rPr>
          <w:rFonts w:ascii="楷体_GB2312" w:eastAsia="楷体_GB2312" w:cs="DengXian-Bold"/>
          <w:b/>
          <w:bCs/>
          <w:sz w:val="32"/>
          <w:szCs w:val="32"/>
        </w:rPr>
      </w:pPr>
      <w:r>
        <w:pict>
          <v:group id="_x0000_s1134" o:spid="_x0000_s1134" o:spt="203" style="position:absolute;left:0pt;margin-left:81.8pt;margin-top:14.05pt;height:195.05pt;width:296.35pt;z-index:-251643904;mso-width-relative:page;mso-height-relative:page;" coordsize="0,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135"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2" cropleft="2131f" croptop="1490f" cropright="1218f" cropbottom="5217f" o:title=""/>
              <o:lock v:ext="edit" aspectratio="t"/>
            </v:shape>
            <v:shape id="文本框 32" o:spid="_x0000_s1136"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r>
        <w:pict>
          <v:group id="_x0000_s1055" o:spid="_x0000_s1055" o:spt="203" style="position:absolute;left:0pt;margin-left:71.15pt;margin-top:5.25pt;height:195.05pt;width:296.35pt;z-index:-251645952;mso-width-relative:page;mso-height-relative:page;" coordsize="0,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2" cropleft="2131f" croptop="1490f" cropright="1218f" cropbottom="5217f" o:title=""/>
              <o:lock v:ext="edit" aspectratio="t"/>
            </v:shape>
            <v:shape id="_x0000_s1056" o:spid="_x0000_s1056"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rPr>
          <w:rFonts w:ascii="黑体" w:hAnsi="黑体" w:eastAsia="黑体"/>
          <w:sz w:val="32"/>
          <w:szCs w:val="32"/>
        </w:rPr>
      </w:pPr>
      <w:r>
        <w:rPr>
          <w:rFonts w:hint="eastAsia" w:ascii="黑体" w:hAnsi="黑体" w:eastAsia="黑体"/>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年度一般公共预算财政拨款基本支出4033.23万元，其中：人员经费 2266.3</w:t>
      </w:r>
      <w:r>
        <w:rPr>
          <w:rFonts w:hint="eastAsia" w:ascii="宋体" w:hAnsi="宋体" w:cs="宋体"/>
          <w:sz w:val="32"/>
          <w:szCs w:val="32"/>
        </w:rPr>
        <w:t>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1766.84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较年初预算无增减变化，</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 w:hAnsi="仿宋" w:eastAsia="仿宋" w:cs="宋体"/>
          <w:bCs/>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w:t>
      </w:r>
      <w:r>
        <w:rPr>
          <w:rFonts w:hint="eastAsia" w:ascii="仿宋" w:hAnsi="仿宋" w:eastAsia="仿宋" w:cs="宋体"/>
          <w:bCs/>
          <w:sz w:val="32"/>
          <w:szCs w:val="32"/>
        </w:rPr>
        <w:t>未发生因公出国出（境）费，与年初预算持平。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w:t>
      </w:r>
      <w:r>
        <w:rPr>
          <w:rFonts w:hint="eastAsia" w:ascii="楷体_GB2312" w:eastAsia="楷体_GB2312" w:cs="DengXian-Bold"/>
          <w:b/>
          <w:bCs/>
          <w:sz w:val="32"/>
          <w:szCs w:val="32"/>
        </w:rPr>
        <w:t>元。</w:t>
      </w:r>
      <w:r>
        <w:rPr>
          <w:rFonts w:hint="eastAsia" w:ascii="仿宋_GB2312" w:eastAsia="仿宋_GB2312" w:cs="DengXian-Regular"/>
          <w:sz w:val="32"/>
          <w:szCs w:val="32"/>
        </w:rPr>
        <w:t>本部门2018年度</w:t>
      </w:r>
      <w:r>
        <w:rPr>
          <w:rFonts w:hint="eastAsia" w:ascii="仿宋" w:hAnsi="仿宋" w:eastAsia="仿宋" w:cs="宋体"/>
          <w:sz w:val="32"/>
          <w:szCs w:val="32"/>
        </w:rPr>
        <w:t>未发生</w:t>
      </w:r>
      <w:r>
        <w:rPr>
          <w:rFonts w:hint="eastAsia" w:ascii="仿宋_GB2312" w:eastAsia="仿宋_GB2312" w:cs="DengXian-Regular"/>
          <w:sz w:val="32"/>
          <w:szCs w:val="32"/>
        </w:rPr>
        <w:t>公务用车购置及运行维护费，</w:t>
      </w:r>
      <w:r>
        <w:rPr>
          <w:rFonts w:hint="eastAsia" w:ascii="仿宋" w:hAnsi="仿宋" w:eastAsia="仿宋" w:cs="宋体"/>
          <w:bCs/>
          <w:sz w:val="32"/>
          <w:szCs w:val="32"/>
        </w:rPr>
        <w:t>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本部门2018年度公务用车购置量0辆，未发生“公务用车购置”经费，与年初预算</w:t>
      </w:r>
      <w:r>
        <w:rPr>
          <w:rFonts w:hint="eastAsia" w:ascii="仿宋" w:hAnsi="仿宋" w:eastAsia="仿宋" w:cs="DengXian-Regular"/>
          <w:sz w:val="32"/>
          <w:szCs w:val="32"/>
        </w:rPr>
        <w:t>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本部门2018年度单位公务用车保有量0辆。未发生公车运行维护费与年初</w:t>
      </w:r>
      <w:r>
        <w:rPr>
          <w:rFonts w:hint="eastAsia" w:ascii="仿宋" w:hAnsi="仿宋" w:eastAsia="仿宋" w:cs="DengXian-Regular"/>
          <w:sz w:val="32"/>
          <w:szCs w:val="32"/>
        </w:rPr>
        <w:t>预算持平。</w:t>
      </w:r>
    </w:p>
    <w:p>
      <w:pPr>
        <w:adjustRightInd w:val="0"/>
        <w:snapToGrid w:val="0"/>
        <w:spacing w:after="0" w:line="580" w:lineRule="exact"/>
        <w:ind w:firstLine="643" w:firstLineChars="200"/>
        <w:rPr>
          <w:rFonts w:ascii="仿宋" w:hAnsi="仿宋" w:eastAsia="仿宋" w:cs="宋体"/>
          <w:bCs/>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w:t>
      </w:r>
      <w:r>
        <w:rPr>
          <w:rFonts w:hint="eastAsia" w:ascii="仿宋" w:hAnsi="仿宋" w:eastAsia="仿宋" w:cs="宋体"/>
          <w:bCs/>
          <w:sz w:val="32"/>
          <w:szCs w:val="32"/>
        </w:rPr>
        <w:t>未发生公务接待费，与年初预算持平。</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治安管理、大要案侦查、有组织犯罪侦查、专项侦查、监所管理、公安信息化建设、公安政务管理等7个项目，涉及资金3630万元。从评价情况看，评价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（三）预算项目绩效自评选例:根据年初设定的绩效目标，公安大要案侦查自评结果为良好。项目全年预算数为140万元，执行数为140万元，完成预算的100%，主要产出和效果是公安情报</w:t>
      </w:r>
      <w:r>
        <w:rPr>
          <w:rFonts w:hint="eastAsia" w:ascii="仿宋" w:hAnsi="仿宋" w:eastAsia="仿宋" w:cs="DengXian-Regular"/>
          <w:sz w:val="32"/>
          <w:szCs w:val="32"/>
        </w:rPr>
        <w:t>研判率有所</w:t>
      </w:r>
      <w:r>
        <w:rPr>
          <w:rFonts w:hint="eastAsia" w:ascii="仿宋_GB2312" w:eastAsia="仿宋_GB2312" w:cs="DengXian-Regular"/>
          <w:sz w:val="32"/>
          <w:szCs w:val="32"/>
        </w:rPr>
        <w:t>提升，</w:t>
      </w:r>
      <w:r>
        <w:rPr>
          <w:rFonts w:hint="eastAsia" w:ascii="仿宋" w:hAnsi="仿宋" w:eastAsia="仿宋" w:cs="DengXian-Regular"/>
          <w:sz w:val="32"/>
          <w:szCs w:val="32"/>
        </w:rPr>
        <w:t>重特大命案数和侵财案件数有所下</w:t>
      </w:r>
      <w:r>
        <w:rPr>
          <w:rFonts w:hint="eastAsia" w:ascii="仿宋_GB2312" w:eastAsia="仿宋_GB2312" w:cs="DengXian-Regular"/>
          <w:sz w:val="32"/>
          <w:szCs w:val="32"/>
        </w:rPr>
        <w:t>降。未发现其他问题。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本部门2018年度机关运行经费支出1766.</w:t>
      </w:r>
      <w:r>
        <w:rPr>
          <w:rFonts w:hint="eastAsia" w:ascii="宋体" w:hAnsi="宋体" w:cs="宋体"/>
          <w:sz w:val="32"/>
          <w:szCs w:val="32"/>
        </w:rPr>
        <w:t>84</w:t>
      </w:r>
      <w:r>
        <w:rPr>
          <w:rFonts w:hint="eastAsia" w:ascii="仿宋_GB2312" w:eastAsia="仿宋_GB2312" w:cs="DengXian-Regular"/>
          <w:sz w:val="32"/>
          <w:szCs w:val="32"/>
        </w:rPr>
        <w:t>万元，比年初预算数减少806.85 万元，降低45%。主要原因是认真贯彻落实中央</w:t>
      </w:r>
      <w:bookmarkStart w:id="0" w:name="_GoBack"/>
      <w:bookmarkEnd w:id="0"/>
      <w:r>
        <w:rPr>
          <w:rFonts w:hint="eastAsia" w:ascii="仿宋_GB2312" w:eastAsia="仿宋_GB2312" w:cs="DengXian-Regular"/>
          <w:sz w:val="32"/>
          <w:szCs w:val="32"/>
        </w:rPr>
        <w:t>八项规定精神和厉行节约要求. 从严控制各项开支。</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w:t>
      </w:r>
      <w:r>
        <w:rPr>
          <w:rFonts w:hint="eastAsia" w:ascii="宋体" w:hAnsi="宋体" w:cs="宋体"/>
          <w:sz w:val="32"/>
          <w:szCs w:val="32"/>
        </w:rPr>
        <w:t>98.99</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16</w:t>
      </w:r>
      <w:r>
        <w:rPr>
          <w:rFonts w:hint="eastAsia" w:ascii="宋体" w:hAnsi="宋体" w:cs="宋体"/>
          <w:color w:val="000000"/>
          <w:kern w:val="0"/>
          <w:sz w:val="32"/>
          <w:szCs w:val="32"/>
        </w:rPr>
        <w:t>6.63</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32.36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宋体" w:hAnsi="宋体" w:cs="宋体"/>
          <w:sz w:val="32"/>
          <w:szCs w:val="32"/>
        </w:rPr>
        <w:t>98</w:t>
      </w:r>
      <w:r>
        <w:rPr>
          <w:rFonts w:hint="eastAsia" w:ascii="仿宋_GB2312" w:eastAsia="仿宋_GB2312" w:cs="DengXian-Regular"/>
          <w:sz w:val="32"/>
          <w:szCs w:val="32"/>
        </w:rPr>
        <w:t>辆，比上年增加0辆。其中，副部（省）级及以上领导用车0辆，主要领导干部用车0辆，机要通信用车0辆，应急保障用车0辆，执法执勤用车</w:t>
      </w:r>
      <w:r>
        <w:rPr>
          <w:rFonts w:hint="eastAsia" w:ascii="宋体" w:hAnsi="宋体" w:cs="宋体"/>
          <w:sz w:val="32"/>
          <w:szCs w:val="32"/>
        </w:rPr>
        <w:t>98</w:t>
      </w:r>
      <w:r>
        <w:rPr>
          <w:rFonts w:hint="eastAsia" w:ascii="仿宋_GB2312" w:eastAsia="仿宋_GB2312" w:cs="DengXian-Regular"/>
          <w:sz w:val="32"/>
          <w:szCs w:val="32"/>
        </w:rPr>
        <w:t>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万元以上通用设备4台（套），比上年增加0套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1、本部门2018年度国有资本经营财政拨款无收支及结转结余情况，无一般公共预算财政拨款“三公”经费支出，故国有资本经营预算财政拨款支出决算表和一般公共预算财政拨款“三公”经费支出决算表以空列示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2E84EB4-4868-400B-A3F7-6B04E74AEF8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012B77E-4F5A-41A0-A970-30345EA9544F}"/>
  </w:font>
  <w:font w:name="Cambria">
    <w:panose1 w:val="02040503050406030204"/>
    <w:charset w:val="00"/>
    <w:family w:val="roman"/>
    <w:pitch w:val="default"/>
    <w:sig w:usb0="E00002FF" w:usb1="400004FF" w:usb2="00000000" w:usb3="00000000" w:csb0="2000019F" w:csb1="00000000"/>
    <w:embedRegular r:id="rId3" w:fontKey="{26700928-4D9A-41E5-A647-18CA5EF50116}"/>
  </w:font>
  <w:font w:name="楷体">
    <w:panose1 w:val="02010609060101010101"/>
    <w:charset w:val="86"/>
    <w:family w:val="modern"/>
    <w:pitch w:val="default"/>
    <w:sig w:usb0="800002BF" w:usb1="38CF7CFA" w:usb2="00000016" w:usb3="00000000" w:csb0="00040001" w:csb1="00000000"/>
    <w:embedRegular r:id="rId4" w:fontKey="{6B11062A-00D3-4B4A-931A-DE185FD37251}"/>
  </w:font>
  <w:font w:name="楷体_GB2312">
    <w:panose1 w:val="02010609030101010101"/>
    <w:charset w:val="86"/>
    <w:family w:val="modern"/>
    <w:pitch w:val="default"/>
    <w:sig w:usb0="00000001" w:usb1="080E0000" w:usb2="00000000" w:usb3="00000000" w:csb0="00040000" w:csb1="00000000"/>
    <w:embedRegular r:id="rId5" w:fontKey="{DB06C343-641D-4396-82A2-49E53835E2A8}"/>
  </w:font>
  <w:font w:name="仿宋_GB2312">
    <w:panose1 w:val="02010609030101010101"/>
    <w:charset w:val="86"/>
    <w:family w:val="modern"/>
    <w:pitch w:val="default"/>
    <w:sig w:usb0="00000001" w:usb1="080E0000" w:usb2="00000000" w:usb3="00000000" w:csb0="00040000" w:csb1="00000000"/>
    <w:embedRegular r:id="rId6" w:fontKey="{F26FF67F-68D8-46AB-958A-B74F2F057750}"/>
  </w:font>
  <w:font w:name="ArialUnicodeMS">
    <w:altName w:val="Malgun Gothic"/>
    <w:panose1 w:val="00000000000000000000"/>
    <w:charset w:val="81"/>
    <w:family w:val="auto"/>
    <w:pitch w:val="default"/>
    <w:sig w:usb0="00000000" w:usb1="00000000" w:usb2="00000010" w:usb3="00000000" w:csb0="00080001" w:csb1="00000000"/>
    <w:embedRegular r:id="rId7" w:fontKey="{1DA65104-95A1-4B1E-A1D1-41E829FA3E0F}"/>
  </w:font>
  <w:font w:name="仿宋">
    <w:panose1 w:val="02010609060101010101"/>
    <w:charset w:val="86"/>
    <w:family w:val="modern"/>
    <w:pitch w:val="default"/>
    <w:sig w:usb0="800002BF" w:usb1="38CF7CFA" w:usb2="00000016" w:usb3="00000000" w:csb0="00040001" w:csb1="00000000"/>
    <w:embedRegular r:id="rId8" w:fontKey="{2FE078E4-2443-40DA-9CEA-D23881AD1327}"/>
  </w:font>
  <w:font w:name="MS-UIGothic,Bold">
    <w:altName w:val="Malgun Gothic"/>
    <w:panose1 w:val="00000000000000000000"/>
    <w:charset w:val="81"/>
    <w:family w:val="auto"/>
    <w:pitch w:val="default"/>
    <w:sig w:usb0="00000000" w:usb1="00000000" w:usb2="00000010" w:usb3="00000000" w:csb0="00080000" w:csb1="00000000"/>
    <w:embedRegular r:id="rId9" w:fontKey="{22861595-9C44-4F57-8B46-C7D5DACDD108}"/>
  </w:font>
  <w:font w:name="Arial">
    <w:panose1 w:val="020B0604020202020204"/>
    <w:charset w:val="00"/>
    <w:family w:val="swiss"/>
    <w:pitch w:val="default"/>
    <w:sig w:usb0="E0002AFF" w:usb1="C0007843" w:usb2="00000009" w:usb3="00000000" w:csb0="400001FF" w:csb1="FFFF0000"/>
    <w:embedRegular r:id="rId10" w:fontKey="{B7BF63E1-0E1B-45A0-8644-7055907EDCAB}"/>
  </w:font>
  <w:font w:name="DengXian-Regular">
    <w:altName w:val="宋体"/>
    <w:panose1 w:val="00000000000000000000"/>
    <w:charset w:val="86"/>
    <w:family w:val="auto"/>
    <w:pitch w:val="default"/>
    <w:sig w:usb0="00000000" w:usb1="00000000" w:usb2="00000010" w:usb3="00000000" w:csb0="00040001" w:csb1="00000000"/>
    <w:embedRegular r:id="rId11" w:fontKey="{9E7208B5-BDFA-4634-BC24-315CF6D31C93}"/>
  </w:font>
  <w:font w:name="DengXian-Bold">
    <w:altName w:val="宋体"/>
    <w:panose1 w:val="00000000000000000000"/>
    <w:charset w:val="86"/>
    <w:family w:val="auto"/>
    <w:pitch w:val="default"/>
    <w:sig w:usb0="00000000" w:usb1="00000000" w:usb2="00000010" w:usb3="00000000" w:csb0="00040001" w:csb1="00000000"/>
    <w:embedRegular r:id="rId12" w:fontKey="{42876593-8544-4DA4-BF86-F4CCCB763938}"/>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A47000"/>
    <w:multiLevelType w:val="multilevel"/>
    <w:tmpl w:val="3DA47000"/>
    <w:lvl w:ilvl="0" w:tentative="0">
      <w:start w:val="1"/>
      <w:numFmt w:val="japaneseCounting"/>
      <w:lvlText w:val="%1、"/>
      <w:lvlJc w:val="left"/>
      <w:pPr>
        <w:ind w:left="660" w:hanging="6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513D5"/>
    <w:rsid w:val="00064FDB"/>
    <w:rsid w:val="00070330"/>
    <w:rsid w:val="0007136B"/>
    <w:rsid w:val="000838C3"/>
    <w:rsid w:val="000A468C"/>
    <w:rsid w:val="000B2446"/>
    <w:rsid w:val="000D7C65"/>
    <w:rsid w:val="000E2F81"/>
    <w:rsid w:val="00117946"/>
    <w:rsid w:val="00117E2C"/>
    <w:rsid w:val="00146C47"/>
    <w:rsid w:val="00152FB8"/>
    <w:rsid w:val="00174461"/>
    <w:rsid w:val="00176658"/>
    <w:rsid w:val="0017723B"/>
    <w:rsid w:val="0018239E"/>
    <w:rsid w:val="00196E75"/>
    <w:rsid w:val="00196ED7"/>
    <w:rsid w:val="001974DF"/>
    <w:rsid w:val="001A60E0"/>
    <w:rsid w:val="001B3410"/>
    <w:rsid w:val="001B6163"/>
    <w:rsid w:val="001C030D"/>
    <w:rsid w:val="001C38F3"/>
    <w:rsid w:val="001C4A84"/>
    <w:rsid w:val="001C5479"/>
    <w:rsid w:val="001D2447"/>
    <w:rsid w:val="001E5902"/>
    <w:rsid w:val="001F450E"/>
    <w:rsid w:val="0022771F"/>
    <w:rsid w:val="00233705"/>
    <w:rsid w:val="00243009"/>
    <w:rsid w:val="00260F63"/>
    <w:rsid w:val="00262071"/>
    <w:rsid w:val="00275CA2"/>
    <w:rsid w:val="002843BA"/>
    <w:rsid w:val="0028520E"/>
    <w:rsid w:val="002A65A5"/>
    <w:rsid w:val="002C04C4"/>
    <w:rsid w:val="002D08B0"/>
    <w:rsid w:val="002D1AE3"/>
    <w:rsid w:val="002F2ECE"/>
    <w:rsid w:val="002F56E3"/>
    <w:rsid w:val="003108CC"/>
    <w:rsid w:val="0031514C"/>
    <w:rsid w:val="0032529E"/>
    <w:rsid w:val="003254DB"/>
    <w:rsid w:val="003408B1"/>
    <w:rsid w:val="00341C8F"/>
    <w:rsid w:val="00345FDC"/>
    <w:rsid w:val="0035463A"/>
    <w:rsid w:val="00355B18"/>
    <w:rsid w:val="00391D9D"/>
    <w:rsid w:val="00391E1D"/>
    <w:rsid w:val="003B0FBC"/>
    <w:rsid w:val="003B3F63"/>
    <w:rsid w:val="003B6C51"/>
    <w:rsid w:val="003C1413"/>
    <w:rsid w:val="003C549F"/>
    <w:rsid w:val="003D5A16"/>
    <w:rsid w:val="003E7DB3"/>
    <w:rsid w:val="003F7EC9"/>
    <w:rsid w:val="00403A9A"/>
    <w:rsid w:val="00431175"/>
    <w:rsid w:val="00450505"/>
    <w:rsid w:val="00484B9F"/>
    <w:rsid w:val="004B6E37"/>
    <w:rsid w:val="004C32BA"/>
    <w:rsid w:val="004C5F99"/>
    <w:rsid w:val="004D2F9E"/>
    <w:rsid w:val="004D74A3"/>
    <w:rsid w:val="00526AD4"/>
    <w:rsid w:val="00572D96"/>
    <w:rsid w:val="00575922"/>
    <w:rsid w:val="005A5023"/>
    <w:rsid w:val="005A6C90"/>
    <w:rsid w:val="005C6645"/>
    <w:rsid w:val="005E3FB0"/>
    <w:rsid w:val="005F4B66"/>
    <w:rsid w:val="005F5208"/>
    <w:rsid w:val="00641318"/>
    <w:rsid w:val="0064405D"/>
    <w:rsid w:val="00653672"/>
    <w:rsid w:val="00677113"/>
    <w:rsid w:val="006778A7"/>
    <w:rsid w:val="0068150C"/>
    <w:rsid w:val="00682AA3"/>
    <w:rsid w:val="00685302"/>
    <w:rsid w:val="00694B71"/>
    <w:rsid w:val="00695557"/>
    <w:rsid w:val="0069579F"/>
    <w:rsid w:val="006A23FA"/>
    <w:rsid w:val="006D4EA7"/>
    <w:rsid w:val="006D5D6C"/>
    <w:rsid w:val="006E15CA"/>
    <w:rsid w:val="006F229A"/>
    <w:rsid w:val="006F352A"/>
    <w:rsid w:val="0070012A"/>
    <w:rsid w:val="00704690"/>
    <w:rsid w:val="0070664B"/>
    <w:rsid w:val="007071B8"/>
    <w:rsid w:val="007161D1"/>
    <w:rsid w:val="00740C5D"/>
    <w:rsid w:val="007414DE"/>
    <w:rsid w:val="00741579"/>
    <w:rsid w:val="0074310B"/>
    <w:rsid w:val="00747D8A"/>
    <w:rsid w:val="00767462"/>
    <w:rsid w:val="007905A9"/>
    <w:rsid w:val="00791AC8"/>
    <w:rsid w:val="007B7C24"/>
    <w:rsid w:val="007C0DF8"/>
    <w:rsid w:val="007E5500"/>
    <w:rsid w:val="007F055B"/>
    <w:rsid w:val="008027E3"/>
    <w:rsid w:val="0080644C"/>
    <w:rsid w:val="00811C2F"/>
    <w:rsid w:val="00833D46"/>
    <w:rsid w:val="00840A97"/>
    <w:rsid w:val="008460C3"/>
    <w:rsid w:val="00847556"/>
    <w:rsid w:val="0087556F"/>
    <w:rsid w:val="008865FE"/>
    <w:rsid w:val="008970FB"/>
    <w:rsid w:val="008A083B"/>
    <w:rsid w:val="008B052C"/>
    <w:rsid w:val="008C0149"/>
    <w:rsid w:val="008D5DED"/>
    <w:rsid w:val="008E25CA"/>
    <w:rsid w:val="008F34FC"/>
    <w:rsid w:val="008F5989"/>
    <w:rsid w:val="00905C72"/>
    <w:rsid w:val="00914A82"/>
    <w:rsid w:val="00925FAB"/>
    <w:rsid w:val="00941CBD"/>
    <w:rsid w:val="00944CD7"/>
    <w:rsid w:val="0094724C"/>
    <w:rsid w:val="00982674"/>
    <w:rsid w:val="009831B2"/>
    <w:rsid w:val="009A1ABE"/>
    <w:rsid w:val="009C0281"/>
    <w:rsid w:val="009D679C"/>
    <w:rsid w:val="009E21A4"/>
    <w:rsid w:val="009F22C6"/>
    <w:rsid w:val="009F5097"/>
    <w:rsid w:val="00A002AE"/>
    <w:rsid w:val="00A07E50"/>
    <w:rsid w:val="00A109A5"/>
    <w:rsid w:val="00A15397"/>
    <w:rsid w:val="00A2309D"/>
    <w:rsid w:val="00A35CE0"/>
    <w:rsid w:val="00A4462E"/>
    <w:rsid w:val="00A44AA4"/>
    <w:rsid w:val="00A61623"/>
    <w:rsid w:val="00A84687"/>
    <w:rsid w:val="00A93902"/>
    <w:rsid w:val="00AA31DA"/>
    <w:rsid w:val="00AB0A0E"/>
    <w:rsid w:val="00AD3B6E"/>
    <w:rsid w:val="00B1751F"/>
    <w:rsid w:val="00B23463"/>
    <w:rsid w:val="00B34261"/>
    <w:rsid w:val="00B37CCD"/>
    <w:rsid w:val="00B56722"/>
    <w:rsid w:val="00B74D39"/>
    <w:rsid w:val="00B91DA4"/>
    <w:rsid w:val="00B92DCD"/>
    <w:rsid w:val="00BB53BB"/>
    <w:rsid w:val="00BE055A"/>
    <w:rsid w:val="00BE5A63"/>
    <w:rsid w:val="00BE6C2D"/>
    <w:rsid w:val="00C07BB6"/>
    <w:rsid w:val="00C12630"/>
    <w:rsid w:val="00C34562"/>
    <w:rsid w:val="00C3774E"/>
    <w:rsid w:val="00C405E6"/>
    <w:rsid w:val="00C56933"/>
    <w:rsid w:val="00C57456"/>
    <w:rsid w:val="00C65387"/>
    <w:rsid w:val="00C87FAB"/>
    <w:rsid w:val="00C91FF7"/>
    <w:rsid w:val="00C94E53"/>
    <w:rsid w:val="00CB4C23"/>
    <w:rsid w:val="00CF3AE7"/>
    <w:rsid w:val="00D0048E"/>
    <w:rsid w:val="00D010FA"/>
    <w:rsid w:val="00D163A7"/>
    <w:rsid w:val="00D23E7A"/>
    <w:rsid w:val="00D31B07"/>
    <w:rsid w:val="00D33EA5"/>
    <w:rsid w:val="00D41C99"/>
    <w:rsid w:val="00D51156"/>
    <w:rsid w:val="00D61063"/>
    <w:rsid w:val="00D9404A"/>
    <w:rsid w:val="00DA44E9"/>
    <w:rsid w:val="00DB35AF"/>
    <w:rsid w:val="00DD72D7"/>
    <w:rsid w:val="00DE7CA9"/>
    <w:rsid w:val="00DF5B88"/>
    <w:rsid w:val="00E0589E"/>
    <w:rsid w:val="00E241FA"/>
    <w:rsid w:val="00E2595E"/>
    <w:rsid w:val="00E31F93"/>
    <w:rsid w:val="00E35374"/>
    <w:rsid w:val="00E367EC"/>
    <w:rsid w:val="00E4108C"/>
    <w:rsid w:val="00E50C19"/>
    <w:rsid w:val="00E64655"/>
    <w:rsid w:val="00E73081"/>
    <w:rsid w:val="00E7791C"/>
    <w:rsid w:val="00E8404E"/>
    <w:rsid w:val="00E856C9"/>
    <w:rsid w:val="00E86BA7"/>
    <w:rsid w:val="00EB3A4F"/>
    <w:rsid w:val="00EB3CFC"/>
    <w:rsid w:val="00EB6A8B"/>
    <w:rsid w:val="00EC3761"/>
    <w:rsid w:val="00EE35D3"/>
    <w:rsid w:val="00EF38C6"/>
    <w:rsid w:val="00F211DF"/>
    <w:rsid w:val="00F2338C"/>
    <w:rsid w:val="00F64FD5"/>
    <w:rsid w:val="00F679C7"/>
    <w:rsid w:val="00F7711A"/>
    <w:rsid w:val="00F82FF7"/>
    <w:rsid w:val="00F901DB"/>
    <w:rsid w:val="00F953C5"/>
    <w:rsid w:val="00FA0D58"/>
    <w:rsid w:val="00FA56F4"/>
    <w:rsid w:val="00FA7FA4"/>
    <w:rsid w:val="00FB4EDA"/>
    <w:rsid w:val="00FD3BD5"/>
    <w:rsid w:val="00FE3DC8"/>
    <w:rsid w:val="00FF0670"/>
    <w:rsid w:val="04073F84"/>
    <w:rsid w:val="0B60750A"/>
    <w:rsid w:val="0EE27509"/>
    <w:rsid w:val="10686488"/>
    <w:rsid w:val="10DF728A"/>
    <w:rsid w:val="1264200E"/>
    <w:rsid w:val="141C5B77"/>
    <w:rsid w:val="153F6282"/>
    <w:rsid w:val="18D8339D"/>
    <w:rsid w:val="1A21388F"/>
    <w:rsid w:val="1A570D2F"/>
    <w:rsid w:val="2298263C"/>
    <w:rsid w:val="28FB0B8D"/>
    <w:rsid w:val="2A9870FC"/>
    <w:rsid w:val="2D2B7942"/>
    <w:rsid w:val="2D46481D"/>
    <w:rsid w:val="2E733B28"/>
    <w:rsid w:val="31852B5A"/>
    <w:rsid w:val="32D01238"/>
    <w:rsid w:val="3CDC7305"/>
    <w:rsid w:val="3D3A4FB4"/>
    <w:rsid w:val="3DFC59A8"/>
    <w:rsid w:val="3ECF245E"/>
    <w:rsid w:val="3FB16318"/>
    <w:rsid w:val="3FB96314"/>
    <w:rsid w:val="47E23B9A"/>
    <w:rsid w:val="4A260B68"/>
    <w:rsid w:val="528B7A51"/>
    <w:rsid w:val="53A44FAF"/>
    <w:rsid w:val="54015228"/>
    <w:rsid w:val="55251D7D"/>
    <w:rsid w:val="582C4A6F"/>
    <w:rsid w:val="58983D7D"/>
    <w:rsid w:val="594329EC"/>
    <w:rsid w:val="59E24435"/>
    <w:rsid w:val="5AFA403D"/>
    <w:rsid w:val="5BEE1540"/>
    <w:rsid w:val="5DE61A5D"/>
    <w:rsid w:val="625C0CDB"/>
    <w:rsid w:val="63C04243"/>
    <w:rsid w:val="649C01C7"/>
    <w:rsid w:val="699A3F60"/>
    <w:rsid w:val="6BF52798"/>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image" Target="media/image4.png"/><Relationship Id="rId11" Type="http://schemas.openxmlformats.org/officeDocument/2006/relationships/chart" Target="charts/chart5.xml"/><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sz="1200" b="0">
                <a:latin typeface="仿宋" panose="02010609060101010101" pitchFamily="3" charset="-122"/>
                <a:ea typeface="仿宋" panose="02010609060101010101" pitchFamily="3" charset="-122"/>
                <a:cs typeface="仿宋" panose="02010609060101010101" pitchFamily="3" charset="-122"/>
              </a:rPr>
              <a:t>图</a:t>
            </a:r>
            <a:r>
              <a:rPr lang="en-US" sz="1200" b="0">
                <a:latin typeface="仿宋" panose="02010609060101010101" pitchFamily="3" charset="-122"/>
                <a:ea typeface="仿宋" panose="02010609060101010101" pitchFamily="3" charset="-122"/>
                <a:cs typeface="仿宋" panose="02010609060101010101" pitchFamily="3" charset="-122"/>
              </a:rPr>
              <a:t>1</a:t>
            </a:r>
            <a:r>
              <a:rPr lang="zh-CN" sz="1200" b="0">
                <a:latin typeface="仿宋" panose="02010609060101010101" pitchFamily="3" charset="-122"/>
                <a:ea typeface="仿宋" panose="02010609060101010101" pitchFamily="3" charset="-122"/>
                <a:cs typeface="仿宋" panose="02010609060101010101" pitchFamily="3" charset="-122"/>
              </a:rPr>
              <a:t>：财政收入构成情况</a:t>
            </a:r>
            <a:endParaRPr lang="zh-CN" sz="1200" b="0">
              <a:latin typeface="仿宋" panose="02010609060101010101" pitchFamily="3" charset="-122"/>
              <a:ea typeface="仿宋" panose="02010609060101010101" pitchFamily="3" charset="-122"/>
              <a:cs typeface="仿宋" panose="02010609060101010101" pitchFamily="3" charset="-122"/>
            </a:endParaRPr>
          </a:p>
        </c:rich>
      </c:tx>
      <c:layout>
        <c:manualLayout>
          <c:xMode val="edge"/>
          <c:yMode val="edge"/>
          <c:x val="0.284693562789187"/>
          <c:y val="0.848341741713423"/>
        </c:manualLayout>
      </c:layout>
      <c:overlay val="0"/>
    </c:title>
    <c:autoTitleDeleted val="0"/>
    <c:plotArea>
      <c:layout>
        <c:manualLayout>
          <c:layoutTarget val="inner"/>
          <c:xMode val="edge"/>
          <c:yMode val="edge"/>
          <c:x val="0.0895806566043286"/>
          <c:y val="0.115034812265233"/>
          <c:w val="0.848611111111111"/>
          <c:h val="0.69282443861184"/>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Lbls>
            <c:dLbl>
              <c:idx val="0"/>
              <c:layout>
                <c:manualLayout>
                  <c:x val="0.0024675926526763"/>
                  <c:y val="-0.31118912126312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Sheet1!$F$5:$K$5</c:f>
              <c:strCache>
                <c:ptCount val="6"/>
                <c:pt idx="0">
                  <c:v>财政拨款收入</c:v>
                </c:pt>
                <c:pt idx="1">
                  <c:v>上级补助收入</c:v>
                </c:pt>
                <c:pt idx="2">
                  <c:v>事业收入</c:v>
                </c:pt>
                <c:pt idx="3">
                  <c:v>经营收入</c:v>
                </c:pt>
                <c:pt idx="4">
                  <c:v>附属单位上缴收入</c:v>
                </c:pt>
                <c:pt idx="5">
                  <c:v>其他收入</c:v>
                </c:pt>
              </c:strCache>
            </c:strRef>
          </c:cat>
          <c:val>
            <c:numRef>
              <c:f>Sheet1!$F$6:$K$6</c:f>
              <c:numCache>
                <c:formatCode>#,##0.00</c:formatCode>
                <c:ptCount val="6"/>
                <c:pt idx="0">
                  <c:v>4364.91</c:v>
                </c:pt>
                <c:pt idx="1">
                  <c:v>0</c:v>
                </c:pt>
                <c:pt idx="2">
                  <c:v>0</c:v>
                </c:pt>
                <c:pt idx="3">
                  <c:v>0</c:v>
                </c:pt>
                <c:pt idx="4">
                  <c:v>0</c:v>
                </c:pt>
                <c:pt idx="5">
                  <c:v>0</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b="0">
                <a:latin typeface="仿宋" panose="02010609060101010101" pitchFamily="3" charset="-122"/>
                <a:ea typeface="仿宋" panose="02010609060101010101" pitchFamily="3" charset="-122"/>
                <a:cs typeface="仿宋" panose="02010609060101010101" pitchFamily="3" charset="-122"/>
              </a:rPr>
              <a:t>图</a:t>
            </a:r>
            <a:r>
              <a:rPr lang="en-US" altLang="zh-CN" sz="1200" b="0">
                <a:latin typeface="仿宋" panose="02010609060101010101" pitchFamily="3" charset="-122"/>
                <a:ea typeface="仿宋" panose="02010609060101010101" pitchFamily="3" charset="-122"/>
                <a:cs typeface="仿宋" panose="02010609060101010101" pitchFamily="3" charset="-122"/>
              </a:rPr>
              <a:t>2</a:t>
            </a:r>
            <a:r>
              <a:rPr lang="zh-CN" altLang="en-US" sz="1200" b="0">
                <a:latin typeface="仿宋" panose="02010609060101010101" pitchFamily="3" charset="-122"/>
                <a:ea typeface="仿宋" panose="02010609060101010101" pitchFamily="3" charset="-122"/>
                <a:cs typeface="仿宋" panose="02010609060101010101" pitchFamily="3" charset="-122"/>
              </a:rPr>
              <a:t>：支出构成情况</a:t>
            </a:r>
            <a:endParaRPr lang="zh-CN" altLang="en-US" sz="1200" b="0">
              <a:latin typeface="仿宋" panose="02010609060101010101" pitchFamily="3" charset="-122"/>
              <a:ea typeface="仿宋" panose="02010609060101010101" pitchFamily="3" charset="-122"/>
              <a:cs typeface="仿宋" panose="02010609060101010101" pitchFamily="3" charset="-122"/>
            </a:endParaRPr>
          </a:p>
        </c:rich>
      </c:tx>
      <c:layout>
        <c:manualLayout>
          <c:xMode val="edge"/>
          <c:yMode val="edge"/>
          <c:x val="0.318968042380529"/>
          <c:y val="0.867919379164175"/>
        </c:manualLayout>
      </c:layout>
      <c:overlay val="0"/>
    </c:title>
    <c:autoTitleDeleted val="0"/>
    <c:plotArea>
      <c:layout>
        <c:manualLayout>
          <c:layoutTarget val="inner"/>
          <c:xMode val="edge"/>
          <c:yMode val="edge"/>
          <c:x val="0.0939984640404771"/>
          <c:y val="0.260239100983276"/>
          <c:w val="0.798009658241539"/>
          <c:h val="0.537902856868909"/>
        </c:manualLayout>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Sheet2!$C$3:$D$3</c:f>
              <c:strCache>
                <c:ptCount val="2"/>
                <c:pt idx="0">
                  <c:v>基本支出</c:v>
                </c:pt>
                <c:pt idx="1">
                  <c:v>项目支出</c:v>
                </c:pt>
              </c:strCache>
            </c:strRef>
          </c:cat>
          <c:val>
            <c:numRef>
              <c:f>Sheet2!$C$4:$D$4</c:f>
              <c:numCache>
                <c:formatCode>General</c:formatCode>
                <c:ptCount val="2"/>
                <c:pt idx="0">
                  <c:v>4033.23</c:v>
                </c:pt>
                <c:pt idx="1">
                  <c:v>864.4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0.291298194311"/>
          <c:y val="0.101014869011093"/>
          <c:w val="0.424399995151921"/>
          <c:h val="0.0831485723658592"/>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5185476815398"/>
          <c:y val="0.183345727617381"/>
          <c:w val="0.864814523184602"/>
          <c:h val="0.720204141149023"/>
        </c:manualLayout>
      </c:layout>
      <c:barChart>
        <c:barDir val="col"/>
        <c:grouping val="clustered"/>
        <c:varyColors val="0"/>
        <c:ser>
          <c:idx val="0"/>
          <c:order val="0"/>
          <c:tx>
            <c:strRef>
              <c:f>Sheet4!$A$3</c:f>
              <c:strCache>
                <c:ptCount val="1"/>
                <c:pt idx="0">
                  <c:v>2018年</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Sheet4!$B$2:$C$2</c:f>
              <c:strCache>
                <c:ptCount val="2"/>
                <c:pt idx="0">
                  <c:v>收入</c:v>
                </c:pt>
                <c:pt idx="1">
                  <c:v>支出</c:v>
                </c:pt>
              </c:strCache>
            </c:strRef>
          </c:cat>
          <c:val>
            <c:numRef>
              <c:f>Sheet4!$B$3:$C$3</c:f>
              <c:numCache>
                <c:formatCode>General</c:formatCode>
                <c:ptCount val="2"/>
                <c:pt idx="0">
                  <c:v>4364.91</c:v>
                </c:pt>
                <c:pt idx="1">
                  <c:v>4897.63</c:v>
                </c:pt>
              </c:numCache>
            </c:numRef>
          </c:val>
        </c:ser>
        <c:ser>
          <c:idx val="1"/>
          <c:order val="1"/>
          <c:tx>
            <c:strRef>
              <c:f>Sheet4!$A$4</c:f>
              <c:strCache>
                <c:ptCount val="1"/>
                <c:pt idx="0">
                  <c:v>2017年</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Sheet4!$B$2:$C$2</c:f>
              <c:strCache>
                <c:ptCount val="2"/>
                <c:pt idx="0">
                  <c:v>收入</c:v>
                </c:pt>
                <c:pt idx="1">
                  <c:v>支出</c:v>
                </c:pt>
              </c:strCache>
            </c:strRef>
          </c:cat>
          <c:val>
            <c:numRef>
              <c:f>Sheet4!$B$4:$C$4</c:f>
              <c:numCache>
                <c:formatCode>General</c:formatCode>
                <c:ptCount val="2"/>
                <c:pt idx="0">
                  <c:v>5221.93</c:v>
                </c:pt>
                <c:pt idx="1">
                  <c:v>4940.12</c:v>
                </c:pt>
              </c:numCache>
            </c:numRef>
          </c:val>
        </c:ser>
        <c:dLbls>
          <c:showLegendKey val="0"/>
          <c:showVal val="1"/>
          <c:showCatName val="0"/>
          <c:showSerName val="0"/>
          <c:showPercent val="0"/>
          <c:showBubbleSize val="0"/>
        </c:dLbls>
        <c:gapWidth val="75"/>
        <c:axId val="223984640"/>
        <c:axId val="224006144"/>
      </c:barChart>
      <c:catAx>
        <c:axId val="2239846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006144"/>
        <c:crosses val="autoZero"/>
        <c:auto val="1"/>
        <c:lblAlgn val="ctr"/>
        <c:lblOffset val="100"/>
        <c:noMultiLvlLbl val="0"/>
      </c:catAx>
      <c:valAx>
        <c:axId val="2240061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3984640"/>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5185476815398"/>
          <c:y val="0.0509259259259259"/>
          <c:w val="0.864814523184602"/>
          <c:h val="0.720204141149023"/>
        </c:manualLayout>
      </c:layout>
      <c:barChart>
        <c:barDir val="col"/>
        <c:grouping val="clustered"/>
        <c:varyColors val="0"/>
        <c:ser>
          <c:idx val="0"/>
          <c:order val="0"/>
          <c:tx>
            <c:strRef>
              <c:f>Sheet5!$A$4</c:f>
              <c:strCache>
                <c:ptCount val="1"/>
                <c:pt idx="0">
                  <c:v>决算</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Sheet5!$B$3:$C$3</c:f>
              <c:strCache>
                <c:ptCount val="2"/>
                <c:pt idx="0">
                  <c:v>收入</c:v>
                </c:pt>
                <c:pt idx="1">
                  <c:v>支出</c:v>
                </c:pt>
              </c:strCache>
            </c:strRef>
          </c:cat>
          <c:val>
            <c:numRef>
              <c:f>Sheet5!$B$4:$C$4</c:f>
              <c:numCache>
                <c:formatCode>General</c:formatCode>
                <c:ptCount val="2"/>
                <c:pt idx="0">
                  <c:v>4364.91</c:v>
                </c:pt>
                <c:pt idx="1">
                  <c:v>4897.63</c:v>
                </c:pt>
              </c:numCache>
            </c:numRef>
          </c:val>
        </c:ser>
        <c:ser>
          <c:idx val="1"/>
          <c:order val="1"/>
          <c:tx>
            <c:strRef>
              <c:f>Sheet5!$A$5</c:f>
              <c:strCache>
                <c:ptCount val="1"/>
                <c:pt idx="0">
                  <c:v>预算</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Sheet5!$B$3:$C$3</c:f>
              <c:strCache>
                <c:ptCount val="2"/>
                <c:pt idx="0">
                  <c:v>收入</c:v>
                </c:pt>
                <c:pt idx="1">
                  <c:v>支出</c:v>
                </c:pt>
              </c:strCache>
            </c:strRef>
          </c:cat>
          <c:val>
            <c:numRef>
              <c:f>Sheet5!$B$5:$C$5</c:f>
              <c:numCache>
                <c:formatCode>General</c:formatCode>
                <c:ptCount val="2"/>
                <c:pt idx="0">
                  <c:v>5275.71</c:v>
                </c:pt>
                <c:pt idx="1">
                  <c:v>5275.71</c:v>
                </c:pt>
              </c:numCache>
            </c:numRef>
          </c:val>
        </c:ser>
        <c:dLbls>
          <c:showLegendKey val="0"/>
          <c:showVal val="1"/>
          <c:showCatName val="0"/>
          <c:showSerName val="0"/>
          <c:showPercent val="0"/>
          <c:showBubbleSize val="0"/>
        </c:dLbls>
        <c:gapWidth val="75"/>
        <c:axId val="224064640"/>
        <c:axId val="224066176"/>
      </c:barChart>
      <c:catAx>
        <c:axId val="2240646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066176"/>
        <c:crosses val="autoZero"/>
        <c:auto val="1"/>
        <c:lblAlgn val="ctr"/>
        <c:lblOffset val="100"/>
        <c:noMultiLvlLbl val="0"/>
      </c:catAx>
      <c:valAx>
        <c:axId val="2240661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064640"/>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0" i="0" baseline="0">
                <a:latin typeface="仿宋" panose="02010609060101010101" pitchFamily="3" charset="-122"/>
                <a:ea typeface="仿宋" panose="02010609060101010101" pitchFamily="3" charset="-122"/>
              </a:rPr>
              <a:t>图五：财政拨款支出结构</a:t>
            </a:r>
            <a:endParaRPr lang="zh-CN" altLang="en-US" sz="1600" b="0" i="0" baseline="0">
              <a:latin typeface="仿宋" panose="02010609060101010101" pitchFamily="3" charset="-122"/>
              <a:ea typeface="仿宋" panose="02010609060101010101" pitchFamily="3" charset="-122"/>
            </a:endParaRPr>
          </a:p>
        </c:rich>
      </c:tx>
      <c:layout>
        <c:manualLayout>
          <c:xMode val="edge"/>
          <c:yMode val="edge"/>
          <c:x val="0.246833333333333"/>
          <c:y val="0.896570302277876"/>
        </c:manualLayout>
      </c:layout>
      <c:overlay val="0"/>
    </c:title>
    <c:autoTitleDeleted val="0"/>
    <c:plotArea>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99.03%</a:t>
                    </a:r>
                    <a:endParaRPr lang="en-US" altLang="zh-CN"/>
                  </a:p>
                </c:rich>
              </c:tx>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0.0548310367454068"/>
                  <c:y val="-0.0211169437153689"/>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0.96%</a:t>
                    </a:r>
                    <a:endParaRPr lang="en-US" altLang="zh-CN"/>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47223315835521"/>
                  <c:y val="0.00203120443277924"/>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0.01%</a:t>
                    </a:r>
                    <a:endParaRPr lang="en-US" altLang="zh-CN"/>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Sheet6!$B$4:$B$6</c:f>
              <c:strCache>
                <c:ptCount val="3"/>
                <c:pt idx="0">
                  <c:v>公共安全支出</c:v>
                </c:pt>
                <c:pt idx="1">
                  <c:v>社会保障和就业支出</c:v>
                </c:pt>
                <c:pt idx="2">
                  <c:v>医疗卫生与计划生育支出</c:v>
                </c:pt>
              </c:strCache>
            </c:strRef>
          </c:cat>
          <c:val>
            <c:numRef>
              <c:f>Sheet6!$C$4:$C$6</c:f>
              <c:numCache>
                <c:formatCode>General</c:formatCode>
                <c:ptCount val="3"/>
                <c:pt idx="0">
                  <c:v>4850.1</c:v>
                </c:pt>
                <c:pt idx="1">
                  <c:v>47.23</c:v>
                </c:pt>
                <c:pt idx="2">
                  <c:v>0.3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17"/>
    <customShpInfo spid="_x0000_s1113"/>
    <customShpInfo spid="_x0000_s1082"/>
    <customShpInfo spid="_x0000_s1060"/>
    <customShpInfo spid="_x0000_s1059"/>
    <customShpInfo spid="_x0000_s1058"/>
    <customShpInfo spid="_x0000_s1135"/>
    <customShpInfo spid="_x0000_s1136"/>
    <customShpInfo spid="_x0000_s1134"/>
    <customShpInfo spid="_x0000_s1057"/>
    <customShpInfo spid="_x0000_s1056"/>
    <customShpInfo spid="_x0000_s1055"/>
    <customShpInfo spid="_x0000_s103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BF0E68-7240-4132-BF01-72D70F93DCA1}">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1693</Words>
  <Characters>9655</Characters>
  <Lines>80</Lines>
  <Paragraphs>22</Paragraphs>
  <TotalTime>50</TotalTime>
  <ScaleCrop>false</ScaleCrop>
  <LinksUpToDate>false</LinksUpToDate>
  <CharactersWithSpaces>11326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2024-01-03T07:03:01Z</dcterms:modified>
  <dc:subject>石家庄市xxx部门</dc:subject>
  <dc:title>2017年度部门决算</dc:title>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C10D9B75C4E84C08AEA19C75EBC3BA5E</vt:lpwstr>
  </property>
</Properties>
</file>