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中共无极县纪检委</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无极县纪检委</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无极县纪检委</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无极县纪检委</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1、组织协调党内监督工作，组织开展对党内监督工作的督促检查；</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2、对党员领导干部履行职责和行使权力情况进行监督；</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3、检查和处理党的组织和党员违反党的章程和其他党内法规的案件；</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4、向无极县委和石家庄市纪委报告党内监督工作情况，提出建议，依照权限组织起草、制定有关规定和制度，作出关于维护党纪的决定；</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5、受理对党的组织和党员违犯党纪行为的检举和党员的控告、申诉、保障党员的权利；</w:t>
      </w:r>
    </w:p>
    <w:p>
      <w:pPr>
        <w:spacing w:line="4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6、承办上级纪委及县委、县政府赋予的其他任务。</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年度，纳入本部门决算汇编范围的独立核算单位共1个，中共无极县纪律检查委员会 ，单位基本性质行政单位。</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位，预算管理级次为一级预算单位，执行行政事业单位会计制度，</w:t>
      </w:r>
    </w:p>
    <w:p>
      <w:pPr>
        <w:spacing w:after="0" w:line="560" w:lineRule="exac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sz w:val="32"/>
          <w:szCs w:val="32"/>
        </w:rPr>
      </w:pPr>
      <w:r>
        <w:rPr>
          <w:rFonts w:hint="eastAsia"/>
          <w:sz w:val="32"/>
          <w:szCs w:val="32"/>
        </w:rPr>
        <w:t>（见附件）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29.41万元，本年收入557.01万元；本年支出586.22万元、年末结转和结余0.19万元。与2016年度决算相比，本年收入增加39.99万元，增长7.73%，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款数；本年支出增加93.03万元，增长18.86%，主要是人员工资增长、巡视巡察、一问责八清理等业务的增加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本部门2017年度本年收入合计557.01万元，其中：财政拨款收入557.01万元，占100%；事业收入0万元；经营收入0万元；其他收入0万元。</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本部门2017年度本年支出合计586.22万元，其中：基本支出586.22万元，占100%。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29.41万元、本年收入557.01万元；本年支出586.22万元、年末结转和结余0.19万元。与2016年度决算相比，一般公共预算财政拨款本年收入增加39.99万元，增长7.73%，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款数；本年支出增加93.03万元，增长18.86%，主要是人员工资增长、巡视巡察、一问责八清理等业务支出的增加。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29.41万元、本年收入557.01万元；本年支出586.22万元、年末结转和结余0.19万元。与2016年度决算相比，一般公共预算财政拨款本年收入增加39.99万元，增长7.73%，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款数；本年支出增加93.03万元，增长18.86%，主要是人员工资增长、巡视巡察、一问责八清理等业务支出的增加。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本部门2017年度一般公共预算财政拨款本年收入较2017年初预算增加13.42万元，增长2.5x%，主要是人员工资增长、巡视巡察、一问责八清理等业务的增加财政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款数；本年支出增加42.63万元，增长7.84%，主要是人员工资增长、巡视巡察、一问责八清理等业务的增加财政</w:t>
      </w:r>
      <w:r>
        <w:rPr>
          <w:rFonts w:hint="eastAsia" w:ascii="仿宋_GB2312" w:eastAsia="仿宋_GB2312" w:cs="DengXian-Regular"/>
          <w:sz w:val="32"/>
          <w:szCs w:val="32"/>
          <w:lang w:eastAsia="zh-CN"/>
        </w:rPr>
        <w:t>拨</w:t>
      </w:r>
      <w:bookmarkStart w:id="0" w:name="_GoBack"/>
      <w:bookmarkEnd w:id="0"/>
      <w:r>
        <w:rPr>
          <w:rFonts w:hint="eastAsia" w:ascii="仿宋_GB2312" w:eastAsia="仿宋_GB2312" w:cs="DengXian-Regular"/>
          <w:sz w:val="32"/>
          <w:szCs w:val="32"/>
        </w:rPr>
        <w:t>款数。</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其中，本部门2017年度一般公共预算财政拨款本年收入较2017年初预算增加13.42万元，增长2.5x%，主要是人员工资增长、巡视巡察、一问责八清理等业务的增加财政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款数；本年支出增加42.63万元，增长7.84%，主要是人员工资增长、巡视巡察、一问责八清理等业务的增加财政</w:t>
      </w:r>
      <w:r>
        <w:rPr>
          <w:rFonts w:hint="eastAsia" w:ascii="仿宋_GB2312" w:eastAsia="仿宋_GB2312" w:cs="DengXian-Regular"/>
          <w:sz w:val="32"/>
          <w:szCs w:val="32"/>
          <w:lang w:eastAsia="zh-CN"/>
        </w:rPr>
        <w:t>拨</w:t>
      </w:r>
      <w:r>
        <w:rPr>
          <w:rFonts w:hint="eastAsia" w:ascii="仿宋_GB2312" w:eastAsia="仿宋_GB2312" w:cs="DengXian-Regular"/>
          <w:sz w:val="32"/>
          <w:szCs w:val="32"/>
        </w:rPr>
        <w:t>款数。</w:t>
      </w:r>
    </w:p>
    <w:p>
      <w:pPr>
        <w:pStyle w:val="3"/>
        <w:spacing w:before="0" w:after="0" w:line="560" w:lineRule="exact"/>
        <w:rPr>
          <w:rFonts w:ascii="黑体" w:eastAsia="黑体"/>
        </w:rPr>
      </w:pPr>
      <w:r>
        <w:rPr>
          <w:rFonts w:hint="eastAsia" w:ascii="黑体" w:eastAsia="黑体"/>
        </w:rPr>
        <w:t xml:space="preserve">    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本部门2017年度“三公”经费支出共计14.91元，较年初预算减少1.59万元，降低6%，主要是公务招待费支出减少；较2016年度决算增加6.35万元，增长74.18%，主要是公务用车费用增加。具体情况如下：</w:t>
      </w:r>
    </w:p>
    <w:p>
      <w:pPr>
        <w:numPr>
          <w:ilvl w:val="0"/>
          <w:numId w:val="1"/>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主要是未发生出国业务；较2016年度决算无增减变化,主要是未发生出国业务。</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（二）公务用车购置及运行维护费支出14.91万元。</w:t>
      </w:r>
      <w:r>
        <w:rPr>
          <w:rFonts w:hint="eastAsia" w:ascii="仿宋_GB2312" w:eastAsia="仿宋_GB2312" w:cs="DengXian-Regular"/>
          <w:sz w:val="32"/>
          <w:szCs w:val="32"/>
        </w:rPr>
        <w:t>本部门2017年度公务用车购置及运行维护费较年初预算减少0.09万元，降低0.06%,主要是维修费减少；较2016年度决算增加6.8万元，增长83.85%,主要是外出执纪监督审查调查业务增多，增加执法车辆费用</w:t>
      </w:r>
      <w:r>
        <w:rPr>
          <w:rFonts w:hint="eastAsia" w:ascii="仿宋_GB2312" w:eastAsia="仿宋_GB2312" w:cs="DengXian-Regular"/>
          <w:i/>
          <w:iCs/>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本部门2017年度公务用车购置量0辆，发生“公务用车购置”经费支出0万元。公务用车购置费支出较年初预算无增减少变化，主要是未发生公务用车购置；较2016年度决算无增减变化。</w:t>
      </w:r>
    </w:p>
    <w:p>
      <w:pPr>
        <w:adjustRightInd w:val="0"/>
        <w:snapToGrid w:val="0"/>
        <w:spacing w:after="0" w:line="560" w:lineRule="exact"/>
        <w:ind w:firstLine="643" w:firstLineChars="200"/>
        <w:rPr>
          <w:rFonts w:ascii="仿宋_GB2312" w:eastAsia="仿宋_GB2312" w:cs="DengXian-Regular"/>
          <w:i/>
          <w:iCs/>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5辆。公车运行维护费支出较年初预算减少0.09万元，降低0.06%,主要是维修费减少；较2016年度决算增加6.8万元，增长83.85%，主要是外出执纪监督审查调查业务增多，增加执法车辆费用</w:t>
      </w:r>
      <w:r>
        <w:rPr>
          <w:rFonts w:hint="eastAsia" w:ascii="仿宋_GB2312" w:eastAsia="仿宋_GB2312" w:cs="DengXian-Regular"/>
          <w:i/>
          <w:iCs/>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楷体_GB2312" w:eastAsia="楷体_GB2312" w:cs="DengXian-Bold"/>
          <w:b/>
          <w:bCs/>
          <w:i/>
          <w:iCs/>
          <w:sz w:val="32"/>
          <w:szCs w:val="32"/>
        </w:rPr>
        <w:t>。</w:t>
      </w:r>
      <w:r>
        <w:rPr>
          <w:rFonts w:hint="eastAsia" w:ascii="仿宋_GB2312" w:eastAsia="仿宋_GB2312" w:cs="DengXian-Regular"/>
          <w:sz w:val="32"/>
          <w:szCs w:val="32"/>
        </w:rPr>
        <w:t>本部门2017年度公务接待共0批次、0人次。公务接待费支出较年初预算减少1.5万元，降低100%,主要是未发生公务接待；较2016年度决算减少0.45万元，降低100%,主要是未发生公务接待。</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本部门2017年度机关运行经费支出220.96万元，比2016年度增加89.57万元，增长68.17%。主要原因是巡视巡察活动和“一问责八清理”活动增加支出。</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截至2017年12月31日，本部门共有车辆5辆，其中一般公务用车1辆、一般执法执勤用车4辆</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adjustRightInd w:val="0"/>
        <w:snapToGrid w:val="0"/>
        <w:spacing w:after="0" w:line="560" w:lineRule="exact"/>
        <w:ind w:firstLine="640" w:firstLineChars="200"/>
        <w:rPr>
          <w:rFonts w:hint="eastAsia" w:ascii="仿宋_GB2312" w:eastAsia="仿宋_GB2312" w:cs="DengXian-Regular"/>
          <w:sz w:val="32"/>
          <w:szCs w:val="32"/>
          <w:lang w:eastAsia="zh-CN"/>
        </w:rPr>
      </w:pP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ind w:firstLine="640"/>
        <w:rPr>
          <w:rFonts w:ascii="仿宋_GB2312" w:hAnsi="仿宋" w:eastAsia="仿宋_GB2312" w:cs="仿宋"/>
          <w:sz w:val="32"/>
          <w:szCs w:val="32"/>
        </w:rPr>
      </w:pPr>
      <w:r>
        <w:rPr>
          <w:rFonts w:hint="eastAsia" w:ascii="仿宋_GB2312" w:eastAsia="仿宋_GB2312" w:cs="DengXian-Regular"/>
          <w:sz w:val="32"/>
          <w:szCs w:val="32"/>
        </w:rPr>
        <w:t>1、本部门2017年度</w:t>
      </w:r>
      <w:r>
        <w:rPr>
          <w:rFonts w:hint="eastAsia" w:ascii="仿宋_GB2312" w:hAnsi="仿宋" w:eastAsia="仿宋_GB2312" w:cs="仿宋"/>
          <w:sz w:val="32"/>
          <w:szCs w:val="32"/>
        </w:rPr>
        <w:t>政府性基金预算财政拨款收入支出、国有资本经营预算财政拨款收入支出、政府采购情况</w:t>
      </w:r>
      <w:r>
        <w:rPr>
          <w:rFonts w:hint="eastAsia" w:ascii="仿宋_GB2312" w:eastAsia="仿宋_GB2312" w:cs="DengXian-Regular"/>
          <w:sz w:val="32"/>
          <w:szCs w:val="32"/>
        </w:rPr>
        <w:t>无收支及结转结余情况，故</w:t>
      </w:r>
      <w:r>
        <w:rPr>
          <w:rFonts w:hint="eastAsia" w:ascii="仿宋_GB2312" w:hAnsi="仿宋" w:eastAsia="仿宋_GB2312" w:cs="仿宋"/>
          <w:sz w:val="32"/>
          <w:szCs w:val="32"/>
        </w:rPr>
        <w:t>政府性基金预算财政拨款收入支出决算表、国有资本经营预算财政拨款收入支出决算表、政府采购情况表</w:t>
      </w:r>
      <w:r>
        <w:rPr>
          <w:rFonts w:hint="eastAsia" w:ascii="仿宋_GB2312" w:eastAsia="仿宋_GB2312" w:cs="DengXian-Regular"/>
          <w:sz w:val="32"/>
          <w:szCs w:val="32"/>
        </w:rPr>
        <w:t>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SimSun,Bold">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2"/>
      <w:numFmt w:val="chineseCounting"/>
      <w:suff w:val="nothing"/>
      <w:lvlText w:val="（%1）"/>
      <w:lvlJc w:val="left"/>
      <w:rPr>
        <w:rFonts w:hint="eastAsia"/>
      </w:rPr>
    </w:lvl>
  </w:abstractNum>
  <w:abstractNum w:abstractNumId="1">
    <w:nsid w:val="5B97405E"/>
    <w:multiLevelType w:val="singleLevel"/>
    <w:tmpl w:val="5B97405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E2F81"/>
    <w:rsid w:val="00152FB8"/>
    <w:rsid w:val="001B3410"/>
    <w:rsid w:val="001C030D"/>
    <w:rsid w:val="002C04C4"/>
    <w:rsid w:val="002D08B0"/>
    <w:rsid w:val="00341C8F"/>
    <w:rsid w:val="00391D9D"/>
    <w:rsid w:val="00396035"/>
    <w:rsid w:val="003B6C51"/>
    <w:rsid w:val="003C1413"/>
    <w:rsid w:val="003C549F"/>
    <w:rsid w:val="003D5A16"/>
    <w:rsid w:val="004664D3"/>
    <w:rsid w:val="005F4B66"/>
    <w:rsid w:val="00641318"/>
    <w:rsid w:val="006E6C79"/>
    <w:rsid w:val="0070664B"/>
    <w:rsid w:val="007071B8"/>
    <w:rsid w:val="00733E3E"/>
    <w:rsid w:val="007414DE"/>
    <w:rsid w:val="007905A9"/>
    <w:rsid w:val="007E5500"/>
    <w:rsid w:val="00837EF2"/>
    <w:rsid w:val="00840A97"/>
    <w:rsid w:val="00852C8F"/>
    <w:rsid w:val="008C0149"/>
    <w:rsid w:val="008E3D2F"/>
    <w:rsid w:val="009A1ABE"/>
    <w:rsid w:val="00A35CE0"/>
    <w:rsid w:val="00A44AA4"/>
    <w:rsid w:val="00A50E46"/>
    <w:rsid w:val="00A61623"/>
    <w:rsid w:val="00A84687"/>
    <w:rsid w:val="00AD3B6E"/>
    <w:rsid w:val="00B018B0"/>
    <w:rsid w:val="00B56722"/>
    <w:rsid w:val="00C3774E"/>
    <w:rsid w:val="00C87FAB"/>
    <w:rsid w:val="00C91FF7"/>
    <w:rsid w:val="00C94E53"/>
    <w:rsid w:val="00DB35AF"/>
    <w:rsid w:val="00DF5B88"/>
    <w:rsid w:val="00E2595E"/>
    <w:rsid w:val="00E35374"/>
    <w:rsid w:val="00E50C19"/>
    <w:rsid w:val="00E56CC9"/>
    <w:rsid w:val="00E856C9"/>
    <w:rsid w:val="00EB6A8B"/>
    <w:rsid w:val="00EF38C6"/>
    <w:rsid w:val="00F61BC6"/>
    <w:rsid w:val="00FE3DC8"/>
    <w:rsid w:val="07D84E95"/>
    <w:rsid w:val="177E398A"/>
    <w:rsid w:val="256050E5"/>
    <w:rsid w:val="5AA066B9"/>
    <w:rsid w:val="602E7C7B"/>
    <w:rsid w:val="6485661B"/>
    <w:rsid w:val="6651102C"/>
    <w:rsid w:val="74640804"/>
    <w:rsid w:val="7C853057"/>
    <w:rsid w:val="7EF83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8"/>
    <w:unhideWhenUsed/>
    <w:qFormat/>
    <w:uiPriority w:val="99"/>
    <w:rPr>
      <w:sz w:val="18"/>
      <w:szCs w:val="18"/>
    </w:rPr>
  </w:style>
  <w:style w:type="paragraph" w:styleId="7">
    <w:name w:val="footer"/>
    <w:basedOn w:val="1"/>
    <w:link w:val="15"/>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2">
    <w:name w:val="Table Grid"/>
    <w:basedOn w:val="11"/>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4">
    <w:name w:val="页眉 Char"/>
    <w:basedOn w:val="13"/>
    <w:link w:val="8"/>
    <w:uiPriority w:val="99"/>
    <w:rPr>
      <w:sz w:val="18"/>
      <w:szCs w:val="18"/>
    </w:rPr>
  </w:style>
  <w:style w:type="character" w:customStyle="1" w:styleId="15">
    <w:name w:val="页脚 Char"/>
    <w:basedOn w:val="13"/>
    <w:link w:val="7"/>
    <w:qFormat/>
    <w:uiPriority w:val="99"/>
    <w:rPr>
      <w:sz w:val="18"/>
      <w:szCs w:val="18"/>
    </w:rPr>
  </w:style>
  <w:style w:type="paragraph" w:customStyle="1" w:styleId="16">
    <w:name w:val="无间隔1"/>
    <w:link w:val="17"/>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7">
    <w:name w:val="无间隔 Char"/>
    <w:basedOn w:val="13"/>
    <w:link w:val="16"/>
    <w:uiPriority w:val="1"/>
    <w:rPr>
      <w:kern w:val="0"/>
      <w:sz w:val="22"/>
    </w:rPr>
  </w:style>
  <w:style w:type="character" w:customStyle="1" w:styleId="18">
    <w:name w:val="批注框文本 Char"/>
    <w:basedOn w:val="13"/>
    <w:link w:val="6"/>
    <w:semiHidden/>
    <w:uiPriority w:val="99"/>
    <w:rPr>
      <w:rFonts w:ascii="Times New Roman" w:hAnsi="Times New Roman" w:eastAsia="宋体" w:cs="Times New Roman"/>
      <w:sz w:val="18"/>
      <w:szCs w:val="18"/>
    </w:rPr>
  </w:style>
  <w:style w:type="character" w:customStyle="1" w:styleId="19">
    <w:name w:val="标题 Char"/>
    <w:basedOn w:val="13"/>
    <w:link w:val="10"/>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0">
    <w:name w:val="副标题 Char"/>
    <w:basedOn w:val="13"/>
    <w:link w:val="9"/>
    <w:uiPriority w:val="11"/>
    <w:rPr>
      <w:rFonts w:asciiTheme="majorHAnsi" w:hAnsiTheme="majorHAnsi" w:eastAsiaTheme="majorEastAsia" w:cstheme="majorBidi"/>
      <w:i/>
      <w:iCs/>
      <w:color w:val="F0A22E" w:themeColor="accent1"/>
      <w:spacing w:val="15"/>
      <w:kern w:val="0"/>
      <w:sz w:val="24"/>
      <w:szCs w:val="24"/>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uiPriority w:val="1"/>
    <w:rPr>
      <w:rFonts w:asciiTheme="minorHAnsi" w:hAnsiTheme="minorEastAsia" w:eastAsiaTheme="minorEastAsia" w:cstheme="minorBidi"/>
      <w:sz w:val="22"/>
      <w:szCs w:val="22"/>
      <w:lang w:eastAsia="zh-CN"/>
    </w:rPr>
  </w:style>
  <w:style w:type="character" w:customStyle="1" w:styleId="23">
    <w:name w:val="Style3"/>
    <w:basedOn w:val="13"/>
    <w:uiPriority w:val="1"/>
    <w:rPr>
      <w:rFonts w:asciiTheme="minorHAnsi" w:hAnsiTheme="minorEastAsia" w:eastAsiaTheme="minorEastAsia" w:cstheme="minorBidi"/>
      <w:szCs w:val="22"/>
      <w:lang w:eastAsia="zh-CN"/>
    </w:rPr>
  </w:style>
  <w:style w:type="character" w:customStyle="1" w:styleId="24">
    <w:name w:val="Style4"/>
    <w:basedOn w:val="13"/>
    <w:uiPriority w:val="1"/>
    <w:rPr>
      <w:rFonts w:asciiTheme="minorHAnsi" w:hAnsiTheme="minorEastAsia" w:eastAsiaTheme="minorEastAsia" w:cstheme="minorBidi"/>
      <w:szCs w:val="22"/>
      <w:lang w:eastAsia="zh-CN"/>
    </w:rPr>
  </w:style>
  <w:style w:type="character" w:customStyle="1" w:styleId="25">
    <w:name w:val="Style5"/>
    <w:basedOn w:val="13"/>
    <w:uiPriority w:val="1"/>
    <w:rPr>
      <w:rFonts w:asciiTheme="minorHAnsi" w:hAnsiTheme="minorEastAsia" w:eastAsiaTheme="minorEastAsia" w:cstheme="minorBidi"/>
      <w:sz w:val="22"/>
      <w:szCs w:val="22"/>
      <w:lang w:eastAsia="zh-CN"/>
    </w:rPr>
  </w:style>
  <w:style w:type="character" w:customStyle="1" w:styleId="26">
    <w:name w:val="标题 1 Char"/>
    <w:basedOn w:val="13"/>
    <w:link w:val="2"/>
    <w:qFormat/>
    <w:uiPriority w:val="9"/>
    <w:rPr>
      <w:rFonts w:ascii="Times New Roman" w:hAnsi="Times New Roman" w:eastAsia="宋体" w:cs="Times New Roman"/>
      <w:b/>
      <w:bCs/>
      <w:kern w:val="44"/>
      <w:sz w:val="44"/>
      <w:szCs w:val="44"/>
    </w:rPr>
  </w:style>
  <w:style w:type="character" w:customStyle="1" w:styleId="27">
    <w:name w:val="标题 2 Char"/>
    <w:basedOn w:val="13"/>
    <w:link w:val="3"/>
    <w:uiPriority w:val="9"/>
    <w:rPr>
      <w:rFonts w:asciiTheme="majorHAnsi" w:hAnsiTheme="majorHAnsi" w:eastAsiaTheme="majorEastAsia" w:cstheme="majorBidi"/>
      <w:b/>
      <w:bCs/>
      <w:sz w:val="32"/>
      <w:szCs w:val="32"/>
    </w:rPr>
  </w:style>
  <w:style w:type="character" w:customStyle="1" w:styleId="28">
    <w:name w:val="标题 3 Char"/>
    <w:basedOn w:val="13"/>
    <w:link w:val="4"/>
    <w:uiPriority w:val="9"/>
    <w:rPr>
      <w:rFonts w:ascii="Times New Roman" w:hAnsi="Times New Roman" w:eastAsia="宋体" w:cs="Times New Roman"/>
      <w:b/>
      <w:bCs/>
      <w:sz w:val="32"/>
      <w:szCs w:val="32"/>
    </w:rPr>
  </w:style>
  <w:style w:type="character" w:customStyle="1" w:styleId="29">
    <w:name w:val="标题 4 Char"/>
    <w:basedOn w:val="13"/>
    <w:link w:val="5"/>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123\AppData\Local\Packages\Microsoft.MicrosoftEdge_8wekyb3d8bbwe\TempState\Downloads\20180926105217651765%20(1).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123\AppData\Local\Packages\Microsoft.MicrosoftEdge_8wekyb3d8bbwe\TempState\Downloads\20180926105217651765%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'[20180926105217651765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'[20180926105217651765 (1).xls]Z03 收入决算表(公开02表)'!$F$9:$K$9</c:f>
              <c:numCache>
                <c:formatCode>#,##0.00</c:formatCode>
                <c:ptCount val="6"/>
                <c:pt idx="0">
                  <c:v>557.01</c:v>
                </c:pt>
                <c:pt idx="1">
                  <c:v>0</c:v>
                </c:pt>
                <c:pt idx="2">
                  <c:v>0</c:v>
                </c:pt>
                <c:pt idx="3">
                  <c:v>0</c:v>
                </c:pt>
                <c:pt idx="4">
                  <c:v>0</c:v>
                </c:pt>
                <c:pt idx="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'[20180926105217651765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'[20180926105217651765 (1).xls]Z04 支出决算表(公开03表)'!$F$9:$J$9</c:f>
              <c:numCache>
                <c:formatCode>#,##0.00</c:formatCode>
                <c:ptCount val="5"/>
                <c:pt idx="0">
                  <c:v>586.22</c:v>
                </c:pt>
                <c:pt idx="1">
                  <c:v>0</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F5E4036-04E2-4765-A6DD-31F8448ED4D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700</Words>
  <Characters>3996</Characters>
  <Lines>33</Lines>
  <Paragraphs>9</Paragraphs>
  <TotalTime>2</TotalTime>
  <ScaleCrop>false</ScaleCrop>
  <LinksUpToDate>false</LinksUpToDate>
  <CharactersWithSpaces>4687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Administrator</cp:lastModifiedBy>
  <dcterms:modified xsi:type="dcterms:W3CDTF">2024-01-03T01:44:53Z</dcterms:modified>
  <dc:subject>石家庄市xxx部门</dc:subject>
  <dc:title>2017年度部门决算</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