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r>
        <w:rPr>
          <w:rFonts w:ascii="黑体" w:hAnsi="宋体" w:eastAsia="黑体"/>
          <w:color w:val="002060"/>
          <w:sz w:val="72"/>
          <w:szCs w:val="72"/>
        </w:rPr>
        <w:pict>
          <v:shape id="图片 7" o:spid="_x0000_s1041" o:spt="75" type="#_x0000_t75" style="position:absolute;left:0pt;margin-left:-78.6pt;margin-top:-106.55pt;height:850.15pt;width:596.6pt;z-index:-251658240;mso-width-relative:page;mso-height-relative:page;" filled="f" o:preferrelative="t" stroked="f" coordsize="21600,21600">
            <v:path/>
            <v:fill on="f" focussize="0,0"/>
            <v:stroke on="f" joinstyle="miter"/>
            <v:imagedata r:id="rId4" o:title=""/>
            <o:lock v:ext="edit" aspectratio="t"/>
          </v:shape>
        </w:pict>
      </w:r>
    </w:p>
    <w:p>
      <w:pPr>
        <w:widowControl/>
        <w:jc w:val="center"/>
        <w:rPr>
          <w:rFonts w:ascii="黑体" w:hAnsi="宋体" w:eastAsia="黑体"/>
          <w:color w:val="002060"/>
          <w:sz w:val="72"/>
          <w:szCs w:val="72"/>
        </w:rPr>
      </w:pPr>
      <w:r>
        <w:rPr>
          <w:sz w:val="72"/>
        </w:rPr>
        <w:pict>
          <v:rect id="文本框 8" o:spid="_x0000_s1031" o:spt="1" style="position:absolute;left:0pt;margin-left:-82.95pt;margin-top:43.25pt;height:166.25pt;width:596.2pt;z-index:251653120;mso-width-relative:page;mso-height-relative:page;" filled="f" o:preferrelative="t" stroked="f" coordsize="21600,21600">
            <v:path/>
            <v:fill on="f" focussize="0,0"/>
            <v:stroke on="f"/>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无极县人民检察院</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w:t>
                  </w:r>
                </w:p>
                <w:p>
                  <w:pPr>
                    <w:rPr>
                      <w:color w:val="FDEFBE"/>
                      <w:sz w:val="96"/>
                      <w:szCs w:val="96"/>
                    </w:rPr>
                  </w:pPr>
                </w:p>
              </w:txbxContent>
            </v:textbox>
          </v:rect>
        </w:pic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楷体" w:hAnsi="楷体" w:eastAsia="楷体" w:cs="楷体"/>
          <w:b/>
          <w:sz w:val="40"/>
          <w:szCs w:val="40"/>
        </w:rPr>
      </w:pPr>
    </w:p>
    <w:p>
      <w:pPr>
        <w:widowControl/>
        <w:jc w:val="center"/>
        <w:sectPr>
          <w:pgSz w:w="11906" w:h="16838"/>
          <w:pgMar w:top="2098" w:right="1474" w:bottom="1985" w:left="1588" w:header="851" w:footer="992" w:gutter="0"/>
          <w:pgBorders w:offsetFrom="page">
            <w:top w:val="dotted" w:color="FFFFFF" w:themeColor="background1" w:sz="4" w:space="24"/>
            <w:left w:val="dotted" w:color="FFFFFF" w:themeColor="background1" w:sz="4" w:space="24"/>
            <w:bottom w:val="dotted" w:color="FFFFFF" w:themeColor="background1" w:sz="4" w:space="24"/>
            <w:right w:val="dotted" w:color="FFFFFF" w:themeColor="background1" w:sz="4" w:space="24"/>
          </w:pgBorders>
          <w:cols w:space="720"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检察院</w:t>
      </w:r>
      <w:r>
        <w:rPr>
          <w:rFonts w:eastAsia="黑体"/>
          <w:sz w:val="32"/>
          <w:szCs w:val="32"/>
        </w:rPr>
        <w:t>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检察院</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ascii="宋体" w:hAnsi="宋体" w:cs="ArialUnicodeMS"/>
          <w:color w:val="000000"/>
          <w:kern w:val="0"/>
        </w:rPr>
        <w:pict>
          <v:shape id="图片 12" o:spid="_x0000_s1026" o:spt="75" type="#_x0000_t75" style="position:absolute;left:0pt;margin-left:-80.55pt;margin-top:-106.3pt;height:844.65pt;width:597.3pt;z-index:-251658240;mso-width-relative:page;mso-height-relative:page;" filled="f" o:preferrelative="t" stroked="f" coordsize="21600,21600">
            <v:path/>
            <v:fill on="f" focussize="0,0"/>
            <v:stroke on="f" joinstyle="miter"/>
            <v:imagedata r:id="rId5" o:title=""/>
            <o:lock v:ext="edit" aspectratio="t"/>
          </v:shape>
        </w:pict>
      </w:r>
      <w:r>
        <w:rPr>
          <w:sz w:val="72"/>
        </w:rPr>
        <w:pict>
          <v:rect id="文本框 118" o:spid="_x0000_s1032" o:spt="1" style="position:absolute;left:0pt;margin-left:-97.15pt;margin-top:259.1pt;height:81.7pt;width:613.65pt;z-index:251654144;mso-width-relative:page;mso-height-relative:page;" filled="f" o:preferrelative="t" stroked="f" coordsize="21600,21600">
            <v:path/>
            <v:fill on="f" focussize="0,0"/>
            <v:stroke on="f"/>
            <v:imagedata o:title=""/>
            <o:lock v:ext="edit"/>
            <v:textbox>
              <w:txbxContent>
                <w:p>
                  <w:pPr>
                    <w:widowControl/>
                    <w:jc w:val="center"/>
                    <w:rPr>
                      <w:color w:val="FDEFBE"/>
                      <w:sz w:val="96"/>
                      <w:szCs w:val="96"/>
                    </w:rPr>
                  </w:pPr>
                  <w:r>
                    <w:rPr>
                      <w:rFonts w:hint="eastAsia" w:ascii="黑体" w:hAnsi="宋体" w:eastAsia="黑体"/>
                      <w:color w:val="FDEFBE"/>
                      <w:sz w:val="96"/>
                      <w:szCs w:val="96"/>
                    </w:rPr>
                    <w:t>第一部分  部门概况</w:t>
                  </w:r>
                </w:p>
              </w:txbxContent>
            </v:textbox>
          </v:rect>
        </w:pict>
      </w:r>
    </w:p>
    <w:p/>
    <w:p/>
    <w:p/>
    <w:p/>
    <w:p/>
    <w:p/>
    <w:p/>
    <w:p/>
    <w:p/>
    <w:p/>
    <w:p/>
    <w:p/>
    <w:p/>
    <w:p/>
    <w:p/>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一、部门职责</w:t>
      </w:r>
    </w:p>
    <w:p>
      <w:pPr>
        <w:spacing w:after="0"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 xml:space="preserve">    </w:t>
      </w:r>
      <w:r>
        <w:rPr>
          <w:rFonts w:ascii="仿宋_GB2312" w:hAnsi="Cambria" w:eastAsia="仿宋_GB2312" w:cs="ArialUnicodeMS"/>
          <w:kern w:val="0"/>
          <w:sz w:val="32"/>
          <w:szCs w:val="32"/>
        </w:rPr>
        <w:t>我院是国家的法律监督机关,依法行使检察权。对依照法律规定由其办理的刑事案件行使侦查权；对刑事案件进行审查，决定是否逮捕犯罪嫌疑人；对侦查终结的刑事案件进行审查，决定是否提起公诉；对刑事、民事、行政诉讼实行法律监督；对刑事、民事、行政判决、裁定等生效法律文书的执行工作实行法律监督；对社区矫正机构、看守所的执法工作实行法律监督；依照法律规定提起公益诉讼；法律规定的其他职权。</w:t>
      </w:r>
    </w:p>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二、机构设置</w:t>
      </w:r>
    </w:p>
    <w:p>
      <w:pPr>
        <w:spacing w:after="0"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从决算编报单位构成看，纳入2018 年度本部门决算汇编范围的独立核算单位（以下简称“单位”）共1个，具体情况如下：</w:t>
      </w:r>
    </w:p>
    <w:tbl>
      <w:tblPr>
        <w:tblStyle w:val="10"/>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11" w:hRule="atLeast"/>
          <w:jc w:val="center"/>
        </w:trPr>
        <w:tc>
          <w:tcPr>
            <w:tcW w:w="9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34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244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266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1</w:t>
            </w:r>
          </w:p>
        </w:tc>
        <w:tc>
          <w:tcPr>
            <w:tcW w:w="3485" w:type="dxa"/>
          </w:tcPr>
          <w:p>
            <w:pPr>
              <w:spacing w:after="0" w:line="560" w:lineRule="exact"/>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无极县人民检察院(本级)</w:t>
            </w:r>
          </w:p>
        </w:tc>
        <w:tc>
          <w:tcPr>
            <w:tcW w:w="244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行政单位</w:t>
            </w:r>
          </w:p>
        </w:tc>
        <w:tc>
          <w:tcPr>
            <w:tcW w:w="266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hAnsi="Cambria" w:eastAsia="仿宋_GB2312" w:cs="ArialUnicodeMS"/>
                <w:kern w:val="0"/>
                <w:sz w:val="28"/>
                <w:szCs w:val="28"/>
              </w:rPr>
            </w:pPr>
          </w:p>
        </w:tc>
      </w:tr>
    </w:tbl>
    <w:p>
      <w:pPr>
        <w:spacing w:after="0" w:line="560" w:lineRule="exact"/>
        <w:rPr>
          <w:rFonts w:ascii="仿宋_GB2312" w:hAnsi="Cambria" w:eastAsia="仿宋_GB2312" w:cs="ArialUnicodeMS"/>
          <w:kern w:val="0"/>
          <w:sz w:val="32"/>
          <w:szCs w:val="3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sectPr>
          <w:pgSz w:w="11906" w:h="16838"/>
          <w:pgMar w:top="2098" w:right="1474" w:bottom="1984" w:left="1588" w:header="851" w:footer="992" w:gutter="0"/>
          <w:pgBorders w:offsetFrom="page">
            <w:top w:val="dotted" w:color="FFFFFF" w:themeColor="background1" w:sz="4" w:space="24"/>
            <w:left w:val="dotted" w:color="FFFFFF" w:themeColor="background1" w:sz="4" w:space="24"/>
            <w:bottom w:val="dotted" w:color="FFFFFF" w:themeColor="background1" w:sz="4" w:space="24"/>
            <w:right w:val="dotted" w:color="FFFFFF" w:themeColor="background1" w:sz="4" w:space="24"/>
          </w:pgBorders>
          <w:cols w:space="720" w:num="1"/>
          <w:docGrid w:type="lines" w:linePitch="312" w:charSpace="0"/>
        </w:sectPr>
      </w:pPr>
    </w:p>
    <w:p>
      <w:pPr>
        <w:widowControl/>
        <w:spacing w:line="560" w:lineRule="exact"/>
        <w:jc w:val="center"/>
        <w:rPr>
          <w:rFonts w:ascii="黑体" w:hAnsi="Cambria" w:eastAsia="黑体" w:cs="MS-UIGothic,Bold"/>
          <w:bCs/>
          <w:kern w:val="0"/>
          <w:sz w:val="52"/>
          <w:szCs w:val="52"/>
        </w:rPr>
      </w:pPr>
      <w:r>
        <w:rPr>
          <w:rFonts w:ascii="宋体" w:hAnsi="宋体" w:cs="ArialUnicodeMS"/>
          <w:color w:val="000000"/>
          <w:kern w:val="0"/>
        </w:rPr>
        <w:pict>
          <v:shape id="图片 16" o:spid="_x0000_s1027" o:spt="75" type="#_x0000_t75" style="position:absolute;left:0pt;margin-left:-80.45pt;margin-top:-104.35pt;height:840.95pt;width:596.15pt;z-index:-251657216;mso-width-relative:page;mso-height-relative:page;" filled="f" o:preferrelative="t" stroked="f" coordsize="21600,21600">
            <v:path/>
            <v:fill on="f" focussize="0,0"/>
            <v:stroke on="f" joinstyle="miter"/>
            <v:imagedata r:id="rId5" o:title=""/>
            <o:lock v:ext="edit" aspectratio="t"/>
          </v:shape>
        </w:pict>
      </w:r>
    </w:p>
    <w:p>
      <w:pPr>
        <w:widowControl/>
        <w:spacing w:line="560" w:lineRule="exact"/>
        <w:jc w:val="center"/>
        <w:rPr>
          <w:rFonts w:ascii="黑体" w:hAnsi="Cambria" w:eastAsia="黑体" w:cs="MS-UIGothic,Bold"/>
          <w:bCs/>
          <w:kern w:val="0"/>
          <w:sz w:val="52"/>
          <w:szCs w:val="52"/>
        </w:rPr>
      </w:pPr>
    </w:p>
    <w:p>
      <w:pPr>
        <w:rPr>
          <w:rFonts w:ascii="宋体" w:hAnsi="宋体" w:cs="ArialUnicodeMS"/>
          <w:color w:val="000000"/>
          <w:kern w:val="0"/>
        </w:rPr>
      </w:pPr>
    </w:p>
    <w:p>
      <w:pPr>
        <w:sectPr>
          <w:pgSz w:w="11906" w:h="16838"/>
          <w:pgMar w:top="2098" w:right="1474" w:bottom="1984" w:left="1588" w:header="851" w:footer="992" w:gutter="0"/>
          <w:pgBorders w:offsetFrom="page">
            <w:top w:val="dotted" w:color="FFFFFF" w:themeColor="background1" w:sz="4" w:space="24"/>
            <w:left w:val="dotted" w:color="FFFFFF" w:themeColor="background1" w:sz="4" w:space="24"/>
            <w:bottom w:val="dotted" w:color="FFFFFF" w:themeColor="background1" w:sz="4" w:space="24"/>
            <w:right w:val="dotted" w:color="FFFFFF" w:themeColor="background1" w:sz="4" w:space="24"/>
          </w:pgBorders>
          <w:cols w:space="720" w:num="1"/>
          <w:docGrid w:type="lines" w:linePitch="312" w:charSpace="0"/>
        </w:sectPr>
      </w:pPr>
      <w:r>
        <w:rPr>
          <w:sz w:val="72"/>
        </w:rPr>
        <w:pict>
          <v:rect id="文本框 17" o:spid="_x0000_s1033" o:spt="1" style="position:absolute;left:0pt;margin-left:-74.05pt;margin-top:120.3pt;height:159.1pt;width:596.2pt;z-index:251655168;mso-width-relative:page;mso-height-relative:page;" filled="f" o:preferrelative="t" stroked="f" coordsize="21600,21600">
            <v:path/>
            <v:fill on="f" focussize="0,0"/>
            <v:stroke on="f"/>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2018年度部门决算报表</w:t>
                  </w:r>
                </w:p>
              </w:txbxContent>
            </v:textbox>
          </v:rect>
        </w:pict>
      </w:r>
    </w:p>
    <w:tbl>
      <w:tblPr>
        <w:tblStyle w:val="10"/>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rPr>
              <w:t>无极县人民检察院</w:t>
            </w: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980.77</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892.53</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6.53</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16.79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0.30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987.31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909.62</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53.94</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131.62</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1041.24</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1041.24</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sectPr>
          <w:pgSz w:w="11906" w:h="16838"/>
          <w:pgMar w:top="2098" w:right="1474" w:bottom="1984" w:left="1588" w:header="851" w:footer="992" w:gutter="0"/>
          <w:pgBorders w:offsetFrom="page">
            <w:top w:val="dotted" w:color="FFFFFF" w:themeColor="background1" w:sz="4" w:space="24"/>
            <w:left w:val="dotted" w:color="FFFFFF" w:themeColor="background1" w:sz="4" w:space="24"/>
            <w:bottom w:val="dotted" w:color="FFFFFF" w:themeColor="background1" w:sz="4" w:space="24"/>
            <w:right w:val="dotted" w:color="FFFFFF" w:themeColor="background1" w:sz="4" w:space="24"/>
          </w:pgBorders>
          <w:cols w:space="720" w:num="1"/>
          <w:docGrid w:type="lines" w:linePitch="312" w:charSpace="0"/>
        </w:sectPr>
      </w:pPr>
    </w:p>
    <w:tbl>
      <w:tblPr>
        <w:tblStyle w:val="10"/>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rPr>
              <w:t>无极县人民检察院</w:t>
            </w:r>
          </w:p>
        </w:tc>
        <w:tc>
          <w:tcPr>
            <w:tcW w:w="26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栏次</w:t>
            </w:r>
          </w:p>
        </w:tc>
        <w:tc>
          <w:tcPr>
            <w:tcW w:w="920"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1</w:t>
            </w:r>
          </w:p>
        </w:tc>
        <w:tc>
          <w:tcPr>
            <w:tcW w:w="92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2</w:t>
            </w:r>
          </w:p>
        </w:tc>
        <w:tc>
          <w:tcPr>
            <w:tcW w:w="92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3</w:t>
            </w:r>
          </w:p>
        </w:tc>
        <w:tc>
          <w:tcPr>
            <w:tcW w:w="92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4</w:t>
            </w:r>
          </w:p>
        </w:tc>
        <w:tc>
          <w:tcPr>
            <w:tcW w:w="92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5</w:t>
            </w:r>
          </w:p>
        </w:tc>
        <w:tc>
          <w:tcPr>
            <w:tcW w:w="9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6</w:t>
            </w:r>
          </w:p>
        </w:tc>
        <w:tc>
          <w:tcPr>
            <w:tcW w:w="9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合计</w:t>
            </w:r>
          </w:p>
        </w:tc>
        <w:tc>
          <w:tcPr>
            <w:tcW w:w="920"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987.31</w:t>
            </w:r>
          </w:p>
        </w:tc>
        <w:tc>
          <w:tcPr>
            <w:tcW w:w="920"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980.77</w:t>
            </w:r>
          </w:p>
        </w:tc>
        <w:tc>
          <w:tcPr>
            <w:tcW w:w="921"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6.53</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204</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公共安全支出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970.21</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963.68</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6.53</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20404</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检察</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970.21</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963.68</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6.53</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2040401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行政运行</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784.41</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784.41</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2040402</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一般行政</w:t>
            </w:r>
          </w:p>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管理事务</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6.53</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6.53</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2040404</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查办和预防</w:t>
            </w:r>
          </w:p>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职务犯罪</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83.00</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83.00</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2040499</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其他检察支出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96.27</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96.27</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208</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社会保障和</w:t>
            </w:r>
          </w:p>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就业支出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16.79</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16.79</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20808</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抚恤</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16.79</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16.79</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2080801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死亡抚恤</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16.79</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16.79</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210</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医疗卫生与计划生育支出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0.30</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0.30</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21007</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计划生育事务</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0.30</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0.30</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2100717</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计划生育服务</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0.30</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0.30</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sectPr>
          <w:pgSz w:w="11906" w:h="16838"/>
          <w:pgMar w:top="2098" w:right="1474" w:bottom="1984" w:left="1588" w:header="851" w:footer="992" w:gutter="0"/>
          <w:pgBorders w:offsetFrom="page">
            <w:top w:val="dotted" w:color="FFFFFF" w:themeColor="background1" w:sz="4" w:space="24"/>
            <w:left w:val="dotted" w:color="FFFFFF" w:themeColor="background1" w:sz="4" w:space="24"/>
            <w:bottom w:val="dotted" w:color="FFFFFF" w:themeColor="background1" w:sz="4" w:space="24"/>
            <w:right w:val="dotted" w:color="FFFFFF" w:themeColor="background1" w:sz="4" w:space="24"/>
          </w:pgBorders>
          <w:cols w:space="720" w:num="1"/>
          <w:docGrid w:type="lines" w:linePitch="312" w:charSpace="0"/>
        </w:sectPr>
      </w:pPr>
    </w:p>
    <w:tbl>
      <w:tblPr>
        <w:tblStyle w:val="10"/>
        <w:tblW w:w="9000" w:type="dxa"/>
        <w:tblInd w:w="15"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rPr>
              <w:t>无极县人民检察院</w:t>
            </w: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909.62</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810.31</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sz w:val="20"/>
                <w:szCs w:val="20"/>
              </w:rPr>
            </w:pPr>
            <w:r>
              <w:rPr>
                <w:rFonts w:hint="eastAsia" w:ascii="宋体" w:hAnsi="宋体" w:cs="宋体"/>
                <w:sz w:val="20"/>
                <w:szCs w:val="20"/>
              </w:rPr>
              <w:t>99.32</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204</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公共安全支出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892.53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sz w:val="20"/>
                <w:szCs w:val="20"/>
              </w:rPr>
              <w:t>793.21</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sz w:val="20"/>
                <w:szCs w:val="20"/>
              </w:rPr>
            </w:pPr>
            <w:r>
              <w:rPr>
                <w:rFonts w:hint="eastAsia" w:ascii="宋体" w:hAnsi="宋体" w:cs="宋体"/>
                <w:sz w:val="20"/>
                <w:szCs w:val="20"/>
              </w:rPr>
              <w:t>99.32</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20404</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检察</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892.53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sz w:val="20"/>
                <w:szCs w:val="20"/>
              </w:rPr>
              <w:t>793.21</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sz w:val="20"/>
                <w:szCs w:val="20"/>
              </w:rPr>
            </w:pPr>
            <w:r>
              <w:rPr>
                <w:rFonts w:hint="eastAsia" w:ascii="宋体" w:hAnsi="宋体" w:cs="宋体"/>
                <w:sz w:val="20"/>
                <w:szCs w:val="20"/>
              </w:rPr>
              <w:t>99.32</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2040401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行政运行</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784.41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sz w:val="20"/>
                <w:szCs w:val="20"/>
              </w:rPr>
              <w:t>784.41</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sz w:val="20"/>
                <w:szCs w:val="20"/>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2040402</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一般行政管理事务</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6.53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sz w:val="20"/>
                <w:szCs w:val="20"/>
              </w:rPr>
              <w:t>6.53</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sz w:val="20"/>
                <w:szCs w:val="20"/>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2040404</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查办和预防职务犯罪</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37.78</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sz w:val="20"/>
                <w:szCs w:val="20"/>
              </w:rPr>
            </w:pPr>
            <w:r>
              <w:rPr>
                <w:rFonts w:hint="eastAsia" w:ascii="宋体" w:hAnsi="宋体" w:cs="宋体"/>
                <w:sz w:val="20"/>
                <w:szCs w:val="20"/>
              </w:rPr>
              <w:t>37.78</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2040499</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其他检察支出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63.81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sz w:val="20"/>
                <w:szCs w:val="20"/>
              </w:rPr>
              <w:t>2.27</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sz w:val="20"/>
                <w:szCs w:val="20"/>
              </w:rPr>
            </w:pPr>
            <w:r>
              <w:rPr>
                <w:rFonts w:hint="eastAsia" w:ascii="宋体" w:hAnsi="宋体" w:cs="宋体"/>
                <w:sz w:val="20"/>
                <w:szCs w:val="20"/>
              </w:rPr>
              <w:t>61.54</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208</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社会保障和就业支出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16.79</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16.79</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20808</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抚恤</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16.79</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16.79</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2080801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死亡抚恤</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16.79</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16.79</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210</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医疗卫生与计划生育支出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0.30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0.30</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21007</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计划生育事务</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0.30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0.30</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2100717</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计划生育事务</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0.30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0.30</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420" w:firstLineChars="200"/>
        <w:jc w:val="left"/>
        <w:sectPr>
          <w:pgSz w:w="11906" w:h="16838"/>
          <w:pgMar w:top="2098" w:right="1474" w:bottom="1984" w:left="1588" w:header="851" w:footer="992" w:gutter="0"/>
          <w:pgBorders w:offsetFrom="page">
            <w:top w:val="dotted" w:color="FFFFFF" w:themeColor="background1" w:sz="4" w:space="24"/>
            <w:left w:val="dotted" w:color="FFFFFF" w:themeColor="background1" w:sz="4" w:space="24"/>
            <w:bottom w:val="dotted" w:color="FFFFFF" w:themeColor="background1" w:sz="4" w:space="24"/>
            <w:right w:val="dotted" w:color="FFFFFF" w:themeColor="background1" w:sz="4" w:space="24"/>
          </w:pgBorders>
          <w:cols w:space="720" w:num="1"/>
          <w:docGrid w:type="lines" w:linePitch="312" w:charSpace="0"/>
        </w:sectPr>
      </w:pPr>
    </w:p>
    <w:tbl>
      <w:tblPr>
        <w:tblStyle w:val="10"/>
        <w:tblW w:w="8940" w:type="dxa"/>
        <w:tblInd w:w="15"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rPr>
              <w:t>无极县人民检察院</w:t>
            </w:r>
          </w:p>
        </w:tc>
        <w:tc>
          <w:tcPr>
            <w:tcW w:w="65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kern w:val="0"/>
                <w:sz w:val="18"/>
                <w:szCs w:val="18"/>
              </w:rPr>
              <w:t>980.77</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kern w:val="0"/>
                <w:sz w:val="18"/>
                <w:szCs w:val="18"/>
              </w:rPr>
            </w:pPr>
            <w:r>
              <w:rPr>
                <w:rFonts w:hint="eastAsia" w:ascii="宋体" w:hAnsi="宋体" w:cs="宋体"/>
                <w:color w:val="000000"/>
                <w:kern w:val="0"/>
                <w:sz w:val="18"/>
                <w:szCs w:val="18"/>
              </w:rPr>
              <w:t>886.00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kern w:val="0"/>
                <w:sz w:val="18"/>
                <w:szCs w:val="18"/>
              </w:rPr>
            </w:pPr>
            <w:r>
              <w:rPr>
                <w:rFonts w:hint="eastAsia" w:ascii="宋体" w:hAnsi="宋体" w:cs="宋体"/>
                <w:color w:val="000000"/>
                <w:kern w:val="0"/>
                <w:sz w:val="18"/>
                <w:szCs w:val="18"/>
              </w:rPr>
              <w:t>886.00</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kern w:val="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kern w:val="0"/>
                <w:sz w:val="18"/>
                <w:szCs w:val="18"/>
              </w:rPr>
            </w:pPr>
            <w:r>
              <w:rPr>
                <w:rFonts w:hint="eastAsia" w:ascii="宋体" w:hAnsi="宋体" w:cs="宋体"/>
                <w:color w:val="000000"/>
                <w:kern w:val="0"/>
                <w:sz w:val="18"/>
                <w:szCs w:val="18"/>
              </w:rPr>
              <w:t>16.79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kern w:val="0"/>
                <w:sz w:val="18"/>
                <w:szCs w:val="18"/>
              </w:rPr>
            </w:pPr>
            <w:r>
              <w:rPr>
                <w:rFonts w:hint="eastAsia" w:ascii="宋体" w:hAnsi="宋体" w:cs="宋体"/>
                <w:color w:val="000000"/>
                <w:kern w:val="0"/>
                <w:sz w:val="18"/>
                <w:szCs w:val="18"/>
              </w:rPr>
              <w:t>16.79</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980.77</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903.09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903.09</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53.94</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131.62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131.62</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53.94</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1034.71</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kern w:val="0"/>
                <w:sz w:val="18"/>
                <w:szCs w:val="18"/>
              </w:rPr>
              <w:t>1034.71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kern w:val="0"/>
                <w:sz w:val="18"/>
                <w:szCs w:val="18"/>
              </w:rPr>
              <w:t>1034.71</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sectPr>
          <w:pgSz w:w="11906" w:h="16838"/>
          <w:pgMar w:top="2098" w:right="1474" w:bottom="1984" w:left="1588" w:header="851" w:footer="992" w:gutter="0"/>
          <w:pgBorders w:offsetFrom="page">
            <w:top w:val="dotted" w:color="FFFFFF" w:themeColor="background1" w:sz="4" w:space="24"/>
            <w:left w:val="dotted" w:color="FFFFFF" w:themeColor="background1" w:sz="4" w:space="24"/>
            <w:bottom w:val="dotted" w:color="FFFFFF" w:themeColor="background1" w:sz="4" w:space="24"/>
            <w:right w:val="dotted" w:color="FFFFFF" w:themeColor="background1" w:sz="4" w:space="24"/>
          </w:pgBorders>
          <w:cols w:space="720" w:num="1"/>
          <w:docGrid w:type="lines" w:linePitch="312" w:charSpace="0"/>
        </w:sectPr>
      </w:pPr>
    </w:p>
    <w:tbl>
      <w:tblPr>
        <w:tblStyle w:val="10"/>
        <w:tblW w:w="8860" w:type="dxa"/>
        <w:tblInd w:w="15"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rPr>
              <w:t>无极县人民检察院</w:t>
            </w:r>
          </w:p>
        </w:tc>
        <w:tc>
          <w:tcPr>
            <w:tcW w:w="1892"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903.09</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803.77</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99.32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204</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公共安全支出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886.00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786.68</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99.32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20404</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检察</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886.00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786.68</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99.32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2040401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 xml:space="preserve">  行政运行</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784.41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784.41</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2040404</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 xml:space="preserve"> 查办和预防职务犯罪</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37.78</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37.78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2040499</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 xml:space="preserve">  其他检察支出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63.81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2.27</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61.54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208</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社会保障和就业支出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16.79</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16.79</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20808</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抚恤</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16.79</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16.79</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2080801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 xml:space="preserve">  死亡抚恤</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16.79</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16.79</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210</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医疗卫生与</w:t>
            </w:r>
          </w:p>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计划生育支出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0.30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0.30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21007</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计划生育事务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0.30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0.30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2100717</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 xml:space="preserve">  计划生育服务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0.30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ascii="宋体" w:hAnsi="宋体" w:cs="宋体"/>
                <w:color w:val="000000"/>
                <w:kern w:val="0"/>
                <w:szCs w:val="21"/>
              </w:rPr>
              <w:t>0.30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sectPr>
          <w:pgSz w:w="11906" w:h="16838"/>
          <w:pgMar w:top="2098" w:right="1474" w:bottom="1984" w:left="1588" w:header="851" w:footer="992" w:gutter="0"/>
          <w:pgBorders w:offsetFrom="page">
            <w:top w:val="dotted" w:color="FFFFFF" w:themeColor="background1" w:sz="4" w:space="24"/>
            <w:left w:val="dotted" w:color="FFFFFF" w:themeColor="background1" w:sz="4" w:space="24"/>
            <w:bottom w:val="dotted" w:color="FFFFFF" w:themeColor="background1" w:sz="4" w:space="24"/>
            <w:right w:val="dotted" w:color="FFFFFF" w:themeColor="background1" w:sz="4" w:space="24"/>
          </w:pgBorders>
          <w:cols w:space="720" w:num="1"/>
          <w:docGrid w:type="lines" w:linePitch="312" w:charSpace="0"/>
        </w:sectPr>
      </w:pPr>
    </w:p>
    <w:tbl>
      <w:tblPr>
        <w:tblStyle w:val="10"/>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rFonts w:hint="eastAsia"/>
              </w:rPr>
              <w:t>无极县人民检察院</w:t>
            </w:r>
          </w:p>
        </w:tc>
        <w:tc>
          <w:tcPr>
            <w:tcW w:w="7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6"/>
                <w:szCs w:val="16"/>
              </w:rPr>
            </w:pPr>
            <w:r>
              <w:rPr>
                <w:rFonts w:hint="eastAsia" w:ascii="宋体" w:hAnsi="宋体" w:cs="宋体"/>
                <w:color w:val="000000"/>
                <w:kern w:val="0"/>
                <w:sz w:val="16"/>
                <w:szCs w:val="16"/>
              </w:rPr>
              <w:t>486.76</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223.22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6"/>
                <w:szCs w:val="16"/>
              </w:rPr>
            </w:pPr>
            <w:r>
              <w:rPr>
                <w:rFonts w:hint="eastAsia" w:ascii="宋体" w:hAnsi="宋体" w:cs="宋体"/>
                <w:color w:val="000000"/>
                <w:kern w:val="0"/>
                <w:sz w:val="16"/>
                <w:szCs w:val="16"/>
              </w:rPr>
              <w:t>408.70</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24.19</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6"/>
                <w:szCs w:val="16"/>
              </w:rPr>
            </w:pPr>
            <w:r>
              <w:rPr>
                <w:rFonts w:hint="eastAsia" w:ascii="宋体" w:hAnsi="宋体" w:cs="宋体"/>
                <w:color w:val="000000"/>
                <w:kern w:val="0"/>
                <w:sz w:val="16"/>
                <w:szCs w:val="16"/>
              </w:rPr>
              <w:t>22.90</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6"/>
                <w:szCs w:val="16"/>
              </w:rPr>
            </w:pPr>
            <w:r>
              <w:rPr>
                <w:rFonts w:hint="eastAsia" w:ascii="宋体" w:hAnsi="宋体" w:cs="宋体"/>
                <w:color w:val="000000"/>
                <w:kern w:val="0"/>
                <w:sz w:val="16"/>
                <w:szCs w:val="16"/>
              </w:rPr>
              <w:t>55.16</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sz w:val="16"/>
                <w:szCs w:val="16"/>
              </w:rPr>
              <w:t>8.48</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0.03</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10.00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1.56</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20.65</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2.16</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15.00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0.64</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6.92</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1.68</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26.03</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sz w:val="16"/>
                <w:szCs w:val="16"/>
              </w:rPr>
              <w:t>85.31</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sz w:val="16"/>
                <w:szCs w:val="16"/>
              </w:rPr>
              <w:t>1.91</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0.04</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sz w:val="16"/>
                <w:szCs w:val="16"/>
              </w:rPr>
              <w:t>46.71</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sz w:val="16"/>
                <w:szCs w:val="16"/>
              </w:rPr>
              <w:t>16.79</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0.50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66.51</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22.76</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9.14</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1.11</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sz w:val="16"/>
                <w:szCs w:val="16"/>
              </w:rPr>
              <w:t>19.60</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20.95</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1.83</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sz w:val="16"/>
                <w:szCs w:val="16"/>
              </w:rPr>
              <w:t>572.08</w:t>
            </w:r>
          </w:p>
        </w:tc>
        <w:tc>
          <w:tcPr>
            <w:tcW w:w="5328"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231.70</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sectPr>
          <w:pgSz w:w="11906" w:h="16838"/>
          <w:pgMar w:top="2098" w:right="1474" w:bottom="1984" w:left="1588" w:header="851" w:footer="992" w:gutter="0"/>
          <w:pgBorders w:offsetFrom="page">
            <w:top w:val="dotted" w:color="FFFFFF" w:themeColor="background1" w:sz="4" w:space="24"/>
            <w:left w:val="dotted" w:color="FFFFFF" w:themeColor="background1" w:sz="4" w:space="24"/>
            <w:bottom w:val="dotted" w:color="FFFFFF" w:themeColor="background1" w:sz="4" w:space="24"/>
            <w:right w:val="dotted" w:color="FFFFFF" w:themeColor="background1" w:sz="4" w:space="24"/>
          </w:pgBorders>
          <w:cols w:space="720" w:num="1"/>
          <w:docGrid w:type="lines" w:linePitch="312" w:charSpace="0"/>
        </w:sectPr>
      </w:pPr>
    </w:p>
    <w:tbl>
      <w:tblPr>
        <w:tblStyle w:val="10"/>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rPr>
              <w:t>无极县人民检察院</w:t>
            </w: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11.90</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11.90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11.90</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11.90</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11.90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11.90</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sectPr>
          <w:pgSz w:w="11906" w:h="16838"/>
          <w:pgMar w:top="2098" w:right="1474" w:bottom="1984" w:left="1588" w:header="851" w:footer="992" w:gutter="0"/>
          <w:pgBorders w:offsetFrom="page">
            <w:top w:val="dotted" w:color="FFFFFF" w:themeColor="background1" w:sz="4" w:space="24"/>
            <w:left w:val="dotted" w:color="FFFFFF" w:themeColor="background1" w:sz="4" w:space="24"/>
            <w:bottom w:val="dotted" w:color="FFFFFF" w:themeColor="background1" w:sz="4" w:space="24"/>
            <w:right w:val="dotted" w:color="FFFFFF" w:themeColor="background1" w:sz="4" w:space="24"/>
          </w:pgBorders>
          <w:cols w:space="720" w:num="1"/>
          <w:docGrid w:type="lines" w:linePitch="312" w:charSpace="0"/>
        </w:sectPr>
      </w:pPr>
    </w:p>
    <w:tbl>
      <w:tblPr>
        <w:tblStyle w:val="10"/>
        <w:tblW w:w="8860" w:type="dxa"/>
        <w:tblInd w:w="15"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rPr>
              <w:t>无极县人民检察院</w:t>
            </w:r>
          </w:p>
        </w:tc>
        <w:tc>
          <w:tcPr>
            <w:tcW w:w="840"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 xml:space="preserve">注：本表反映部门本年度政府性基金预算财政拨款收入、支出及结转和结余情况。 </w:t>
            </w:r>
          </w:p>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本部门本年度无相关收入（或支出、收支及结转结余等）情况，按要求空表列示。</w:t>
            </w:r>
          </w:p>
        </w:tc>
      </w:tr>
    </w:tbl>
    <w:p>
      <w:pPr>
        <w:widowControl/>
        <w:spacing w:after="0" w:line="560" w:lineRule="exact"/>
        <w:jc w:val="left"/>
        <w:sectPr>
          <w:pgSz w:w="11906" w:h="16838"/>
          <w:pgMar w:top="2098" w:right="1474" w:bottom="1984" w:left="1588" w:header="851" w:footer="992" w:gutter="0"/>
          <w:pgBorders w:offsetFrom="page">
            <w:top w:val="dotted" w:color="FFFFFF" w:themeColor="background1" w:sz="4" w:space="24"/>
            <w:left w:val="dotted" w:color="FFFFFF" w:themeColor="background1" w:sz="4" w:space="24"/>
            <w:bottom w:val="dotted" w:color="FFFFFF" w:themeColor="background1" w:sz="4" w:space="24"/>
            <w:right w:val="dotted" w:color="FFFFFF" w:themeColor="background1" w:sz="4" w:space="24"/>
          </w:pgBorders>
          <w:cols w:space="720" w:num="1"/>
          <w:docGrid w:type="lines" w:linePitch="312" w:charSpace="0"/>
        </w:sectPr>
      </w:pPr>
    </w:p>
    <w:tbl>
      <w:tblPr>
        <w:tblStyle w:val="10"/>
        <w:tblW w:w="8800" w:type="dxa"/>
        <w:tblInd w:w="15"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r>
              <w:rPr>
                <w:rFonts w:hint="eastAsia"/>
              </w:rPr>
              <w:t>无极县人民检察院</w:t>
            </w:r>
          </w:p>
        </w:tc>
        <w:tc>
          <w:tcPr>
            <w:tcW w:w="200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kern w:val="0"/>
                <w:sz w:val="22"/>
                <w:szCs w:val="22"/>
              </w:rPr>
            </w:pPr>
            <w:r>
              <w:rPr>
                <w:rFonts w:hint="eastAsia" w:ascii="宋体" w:hAnsi="宋体" w:cs="宋体"/>
                <w:color w:val="000000"/>
                <w:kern w:val="0"/>
                <w:sz w:val="22"/>
                <w:szCs w:val="22"/>
              </w:rPr>
              <w:t>注：本表反映部门本年度国有资本经营预算财政拨款支出情况。</w:t>
            </w:r>
          </w:p>
          <w:p>
            <w:pPr>
              <w:widowControl/>
              <w:spacing w:after="0" w:line="240" w:lineRule="auto"/>
              <w:jc w:val="left"/>
              <w:textAlignment w:val="center"/>
              <w:rPr>
                <w:rFonts w:ascii="宋体" w:hAnsi="宋体" w:cs="宋体"/>
                <w:color w:val="000000"/>
                <w:kern w:val="0"/>
                <w:sz w:val="22"/>
                <w:szCs w:val="22"/>
              </w:rPr>
            </w:pPr>
            <w:r>
              <w:rPr>
                <w:rFonts w:hint="eastAsia" w:ascii="宋体" w:hAnsi="宋体" w:cs="宋体"/>
                <w:color w:val="000000"/>
                <w:kern w:val="0"/>
                <w:szCs w:val="21"/>
              </w:rPr>
              <w:t>本部门本年度无相关收入（或支出、收支及结转结余等）情况，按要求空表列示。</w:t>
            </w:r>
          </w:p>
        </w:tc>
      </w:tr>
    </w:tbl>
    <w:p>
      <w:pPr>
        <w:widowControl/>
        <w:spacing w:after="0" w:line="560" w:lineRule="exact"/>
        <w:jc w:val="left"/>
        <w:sectPr>
          <w:pgSz w:w="11906" w:h="16838"/>
          <w:pgMar w:top="2098" w:right="1474" w:bottom="1984" w:left="1588" w:header="851" w:footer="992" w:gutter="0"/>
          <w:pgBorders w:offsetFrom="page">
            <w:top w:val="dotted" w:color="FFFFFF" w:themeColor="background1" w:sz="4" w:space="24"/>
            <w:left w:val="dotted" w:color="FFFFFF" w:themeColor="background1" w:sz="4" w:space="24"/>
            <w:bottom w:val="dotted" w:color="FFFFFF" w:themeColor="background1" w:sz="4" w:space="24"/>
            <w:right w:val="dotted" w:color="FFFFFF" w:themeColor="background1" w:sz="4" w:space="24"/>
          </w:pgBorders>
          <w:cols w:space="720" w:num="1"/>
          <w:docGrid w:type="lines" w:linePitch="312" w:charSpace="0"/>
        </w:sectPr>
      </w:pPr>
    </w:p>
    <w:tbl>
      <w:tblPr>
        <w:tblStyle w:val="10"/>
        <w:tblW w:w="8940" w:type="dxa"/>
        <w:tblInd w:w="15"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rPr>
              <w:t>无极县人民检察院</w:t>
            </w: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kern w:val="0"/>
                <w:szCs w:val="21"/>
              </w:rPr>
            </w:pPr>
            <w:r>
              <w:rPr>
                <w:rFonts w:hint="eastAsia" w:ascii="宋体" w:hAnsi="宋体" w:cs="宋体"/>
                <w:color w:val="000000"/>
                <w:kern w:val="0"/>
                <w:szCs w:val="21"/>
              </w:rPr>
              <w:t>75.72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kern w:val="0"/>
                <w:szCs w:val="21"/>
              </w:rPr>
            </w:pPr>
            <w:r>
              <w:rPr>
                <w:rFonts w:hint="eastAsia" w:ascii="宋体" w:hAnsi="宋体" w:cs="宋体"/>
                <w:color w:val="000000"/>
                <w:kern w:val="0"/>
                <w:szCs w:val="21"/>
              </w:rPr>
              <w:t>75.72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75.72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kern w:val="0"/>
                <w:szCs w:val="21"/>
              </w:rPr>
              <w:t>75.72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kern w:val="0"/>
                <w:szCs w:val="21"/>
              </w:rPr>
              <w:t>75.72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kern w:val="0"/>
                <w:szCs w:val="21"/>
              </w:rPr>
              <w:t>75.72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75.50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75.50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75.50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75.50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75.50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75.50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bl>
    <w:p>
      <w:pPr>
        <w:widowControl/>
        <w:spacing w:after="0" w:line="560" w:lineRule="exact"/>
        <w:jc w:val="left"/>
        <w:rPr>
          <w:rFonts w:ascii="仿宋_GB2312" w:hAnsi="宋体" w:eastAsia="仿宋_GB2312"/>
          <w:b/>
          <w:sz w:val="28"/>
          <w:szCs w:val="28"/>
          <w:highlight w:val="yellow"/>
        </w:rPr>
      </w:pPr>
    </w:p>
    <w:p/>
    <w:p/>
    <w:p/>
    <w:p/>
    <w:p>
      <w:pPr>
        <w:tabs>
          <w:tab w:val="left" w:pos="1086"/>
        </w:tabs>
        <w:jc w:val="left"/>
        <w:sectPr>
          <w:pgSz w:w="11906" w:h="16838"/>
          <w:pgMar w:top="2098" w:right="1474" w:bottom="1984" w:left="1588" w:header="851" w:footer="992" w:gutter="0"/>
          <w:pgBorders w:offsetFrom="page">
            <w:top w:val="dotted" w:color="FFFFFF" w:themeColor="background1" w:sz="4" w:space="24"/>
            <w:left w:val="dotted" w:color="FFFFFF" w:themeColor="background1" w:sz="4" w:space="24"/>
            <w:bottom w:val="dotted" w:color="FFFFFF" w:themeColor="background1" w:sz="4" w:space="24"/>
            <w:right w:val="dotted" w:color="FFFFFF" w:themeColor="background1" w:sz="4" w:space="24"/>
          </w:pgBorders>
          <w:cols w:space="720" w:num="1"/>
          <w:docGrid w:type="lines" w:linePitch="312" w:charSpace="0"/>
        </w:sectPr>
      </w:pPr>
      <w:r>
        <w:rPr>
          <w:rFonts w:hint="eastAsia"/>
        </w:rPr>
        <w:tab/>
      </w:r>
    </w:p>
    <w:p>
      <w:pPr>
        <w:sectPr>
          <w:pgSz w:w="11906" w:h="16838"/>
          <w:pgMar w:top="2098" w:right="1474" w:bottom="1984" w:left="1588" w:header="851" w:footer="992" w:gutter="0"/>
          <w:pgBorders w:offsetFrom="page">
            <w:top w:val="dotted" w:color="FFFFFF" w:themeColor="background1" w:sz="4" w:space="24"/>
            <w:left w:val="dotted" w:color="FFFFFF" w:themeColor="background1" w:sz="4" w:space="24"/>
            <w:bottom w:val="dotted" w:color="FFFFFF" w:themeColor="background1" w:sz="4" w:space="24"/>
            <w:right w:val="dotted" w:color="FFFFFF" w:themeColor="background1" w:sz="4" w:space="24"/>
          </w:pgBorders>
          <w:cols w:space="720" w:num="1"/>
          <w:docGrid w:type="lines" w:linePitch="312" w:charSpace="0"/>
        </w:sectPr>
      </w:pPr>
      <w:r>
        <w:rPr>
          <w:rFonts w:ascii="宋体" w:hAnsi="宋体" w:cs="ArialUnicodeMS"/>
          <w:color w:val="000000"/>
          <w:kern w:val="0"/>
        </w:rPr>
        <w:pict>
          <v:shape id="_x0000_s1028" o:spid="_x0000_s1028" o:spt="75" type="#_x0000_t75" style="position:absolute;left:0pt;margin-left:-79.3pt;margin-top:-105.2pt;height:840.95pt;width:594.5pt;z-index:-251656192;mso-width-relative:page;mso-height-relative:page;" filled="f" o:preferrelative="t" stroked="f" coordsize="21600,21600">
            <v:path/>
            <v:fill on="f" focussize="0,0"/>
            <v:stroke on="f" joinstyle="miter"/>
            <v:imagedata r:id="rId5" o:title=""/>
            <o:lock v:ext="edit" aspectratio="t"/>
          </v:shape>
        </w:pict>
      </w:r>
      <w:r>
        <w:rPr>
          <w:sz w:val="72"/>
        </w:rPr>
        <w:pict>
          <v:rect id="文本框 5" o:spid="_x0000_s1034" o:spt="1" style="position:absolute;left:0pt;margin-left:-78.55pt;margin-top:232.8pt;height:159.1pt;width:596.2pt;z-index:251656192;mso-width-relative:page;mso-height-relative:page;" filled="f" o:preferrelative="t" stroked="f" coordsize="21600,21600">
            <v:path/>
            <v:fill on="f" focussize="0,0"/>
            <v:stroke on="f"/>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v:textbox>
          </v:rect>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hAnsi="Cambria" w:eastAsia="黑体"/>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本部门2018年度收支总计（含结转和结余）1041.24万元。与2017年度决算相比，收支各减少194.13万元，下降15.71%，主要原因是财政拨款收入和公共安全支出减少。</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本部门2018年度本年收入合计987.31万元，其中：财政拨款收入980.77万元，占99.34%；其他收入6.53万元，占0.66%。如图所示：</w:t>
      </w:r>
    </w:p>
    <w:p>
      <w:pPr>
        <w:adjustRightInd w:val="0"/>
        <w:snapToGrid w:val="0"/>
        <w:spacing w:after="0" w:line="240" w:lineRule="auto"/>
        <w:ind w:firstLine="420" w:firstLineChars="200"/>
        <w:rPr>
          <w:rFonts w:ascii="仿宋_GB2312" w:eastAsia="仿宋_GB2312" w:cs="DengXian-Regular"/>
          <w:sz w:val="32"/>
          <w:szCs w:val="32"/>
        </w:rPr>
      </w:pPr>
      <w:r>
        <w:rPr>
          <w:bdr w:val="single" w:color="FFFFFF" w:sz="4" w:space="0"/>
        </w:rPr>
        <w:pict>
          <v:shape id="_x0000_i1025" o:spt="75" type="#_x0000_t75" style="height:209.1pt;width:315.55pt;" filled="f" o:preferrelative="t" stroked="f" coordsize="21600,21600">
            <v:path/>
            <v:fill on="f" focussize="0,0"/>
            <v:stroke on="f" joinstyle="miter"/>
            <v:imagedata r:id="rId6" o:title=""/>
            <o:lock v:ext="edit" aspectratio="t"/>
            <w10:wrap type="none"/>
            <w10:anchorlock/>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本部门2018年度本年支出合计909.62万元，其中：基本支出810.31万元，占89.08%；项目支出99.32万元，占10.92%。如图所示：</w:t>
      </w:r>
    </w:p>
    <w:p>
      <w:pPr>
        <w:adjustRightInd w:val="0"/>
        <w:snapToGrid w:val="0"/>
        <w:spacing w:after="0" w:line="240" w:lineRule="auto"/>
        <w:ind w:firstLine="1260" w:firstLineChars="600"/>
        <w:rPr>
          <w:rFonts w:ascii="仿宋_GB2312" w:eastAsia="仿宋_GB2312" w:cs="DengXian-Regular"/>
          <w:sz w:val="32"/>
          <w:szCs w:val="32"/>
        </w:rPr>
      </w:pPr>
      <w:r>
        <w:pict>
          <v:shape id="_x0000_i1026" o:spt="75" type="#_x0000_t75" style="height:205.35pt;width:301.75pt;" filled="f" o:preferrelative="t" stroked="f" coordsize="21600,21600">
            <v:path/>
            <v:fill on="f" focussize="0,0"/>
            <v:stroke on="f" joinstyle="miter"/>
            <v:imagedata r:id="rId7" o:title=""/>
            <o:lock v:ext="edit" aspectratio="t"/>
            <w10:wrap type="none"/>
            <w10:anchorlock/>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hAnsi="Cambria" w:eastAsia="黑体"/>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本部门2018年度形成的财政拨款收支均为一般公共预算财政拨款，其中一般公共预算财政拨款本年收入980.77万元,比2017年度减少151.65万元，降低13.39%，主要是检察职能有所 调整；本年支出903.09万元，减少258.33万元，降低22.24%，主要是检察职能调整后支出减少。</w:t>
      </w:r>
    </w:p>
    <w:p>
      <w:pPr>
        <w:adjustRightInd w:val="0"/>
        <w:snapToGrid w:val="0"/>
        <w:spacing w:after="0" w:line="240" w:lineRule="auto"/>
        <w:ind w:firstLine="1260" w:firstLineChars="600"/>
        <w:rPr>
          <w:rFonts w:ascii="仿宋_GB2312" w:eastAsia="仿宋_GB2312" w:cs="DengXian-Regular"/>
          <w:sz w:val="32"/>
          <w:szCs w:val="32"/>
        </w:rPr>
      </w:pPr>
      <w:r>
        <w:pict>
          <v:shape id="_x0000_i1027" o:spt="75" type="#_x0000_t75" style="height:212.25pt;width:287.35pt;" filled="f" o:preferrelative="t" stroked="f" coordsize="21600,21600">
            <v:path/>
            <v:fill on="f" focussize="0,0"/>
            <v:stroke on="f" joinstyle="miter"/>
            <v:imagedata r:id="rId8" o:title=""/>
            <o:lock v:ext="edit" aspectratio="t"/>
            <w10:wrap type="none"/>
            <w10:anchorlock/>
          </v:shape>
        </w:pict>
      </w:r>
    </w:p>
    <w:p>
      <w:pPr>
        <w:adjustRightInd w:val="0"/>
        <w:snapToGrid w:val="0"/>
        <w:spacing w:after="0" w:line="240" w:lineRule="auto"/>
        <w:ind w:firstLine="640" w:firstLineChars="200"/>
        <w:rPr>
          <w:rFonts w:ascii="仿宋_GB2312" w:eastAsia="仿宋_GB2312" w:cs="DengXian-Regular"/>
          <w:sz w:val="32"/>
          <w:szCs w:val="32"/>
        </w:rPr>
      </w:pP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2018年度一般公共预算财政拨款收入980.77万元，完成年初预算的83.55%,比年初预算减少193.07万元，决算数小于预算数主要原因是检察机关职能调整；本年支出903.09万元，完成年初预算的76.93%,比年初预算减少270.75万元，决算数小于预算数主要原因是检察机关职能调整,检察办案业务费等开支减小。</w:t>
      </w:r>
    </w:p>
    <w:p>
      <w:pPr>
        <w:adjustRightInd w:val="0"/>
        <w:snapToGrid w:val="0"/>
        <w:spacing w:after="0" w:line="240" w:lineRule="auto"/>
        <w:ind w:firstLine="420" w:firstLineChars="200"/>
        <w:rPr>
          <w:rFonts w:ascii="仿宋_GB2312" w:eastAsia="仿宋_GB2312" w:cs="DengXian-Regular"/>
          <w:sz w:val="32"/>
          <w:szCs w:val="32"/>
          <w:highlight w:val="yellow"/>
        </w:rPr>
      </w:pPr>
      <w:r>
        <w:pict>
          <v:shape id="_x0000_i1028" o:spt="75" type="#_x0000_t75" style="height:284.85pt;width:333.1pt;" filled="f" o:preferrelative="t" stroked="f" coordsize="21600,21600">
            <v:path/>
            <v:fill on="f" focussize="0,0"/>
            <v:stroke on="f" joinstyle="miter"/>
            <v:imagedata r:id="rId9" o:title=""/>
            <o:lock v:ext="edit" aspectratio="t"/>
            <w10:wrap type="none"/>
            <w10:anchorlock/>
          </v:shape>
        </w:pict>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2018 年度财政拨款支出903.09万元，主要用于以下方面：公共安全类（类）支出886万元，占98.11%；社会保障和就业（类）支出 16.79万元，占1.86%；医疗卫生与计划生育支出0.30万元，占 0.03%。</w:t>
      </w:r>
    </w:p>
    <w:p>
      <w:pPr>
        <w:adjustRightInd w:val="0"/>
        <w:snapToGrid w:val="0"/>
        <w:spacing w:after="0" w:line="240" w:lineRule="auto"/>
        <w:ind w:firstLine="1890" w:firstLineChars="900"/>
        <w:rPr>
          <w:rFonts w:ascii="仿宋" w:hAnsi="仿宋" w:eastAsia="仿宋" w:cs="DengXian-Regular"/>
          <w:sz w:val="32"/>
          <w:szCs w:val="32"/>
        </w:rPr>
      </w:pPr>
      <w:r>
        <w:pict>
          <v:shape id="_x0000_i1029" o:spt="75" type="#_x0000_t75" style="height:187.85pt;width:233.55pt;" filled="f" o:preferrelative="t" stroked="f" coordsize="21600,21600">
            <v:path/>
            <v:fill on="f" focussize="0,0"/>
            <v:stroke on="f" joinstyle="miter"/>
            <v:imagedata r:id="rId10" o:title=""/>
            <o:lock v:ext="edit" aspectratio="t"/>
            <w10:wrap type="none"/>
            <w10:anchorlock/>
          </v:shape>
        </w:pict>
      </w: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2018 年度一般公共预算财政拨款基本支出803.78万元，其中：人员经费 572.08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231.70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adjustRightInd w:val="0"/>
        <w:snapToGrid w:val="0"/>
        <w:spacing w:after="0" w:line="580" w:lineRule="exact"/>
        <w:ind w:firstLine="640" w:firstLineChars="200"/>
        <w:rPr>
          <w:rFonts w:ascii="黑体" w:hAnsi="黑体" w:eastAsia="黑体"/>
          <w:sz w:val="32"/>
          <w:szCs w:val="32"/>
        </w:rPr>
      </w:pPr>
      <w:r>
        <w:rPr>
          <w:rFonts w:hint="eastAsia" w:ascii="黑体" w:hAnsi="黑体" w:eastAsia="黑体"/>
          <w:sz w:val="32"/>
          <w:szCs w:val="32"/>
        </w:rPr>
        <w:t>五、一般公共预算财政拨款“三公” 经费支出决算情况说明</w:t>
      </w:r>
    </w:p>
    <w:p>
      <w:pPr>
        <w:adjustRightInd w:val="0"/>
        <w:snapToGrid w:val="0"/>
        <w:spacing w:after="0" w:line="580" w:lineRule="exact"/>
        <w:ind w:firstLine="640" w:firstLineChars="200"/>
        <w:rPr>
          <w:rFonts w:ascii="黑体" w:hAnsi="黑体" w:eastAsia="黑体" w:cs="DengXian-Regular"/>
          <w:sz w:val="32"/>
          <w:szCs w:val="32"/>
        </w:rPr>
      </w:pPr>
      <w:r>
        <w:rPr>
          <w:rFonts w:hint="eastAsia" w:ascii="仿宋" w:hAnsi="仿宋" w:eastAsia="仿宋" w:cs="DengXian-Regular"/>
          <w:sz w:val="32"/>
          <w:szCs w:val="32"/>
        </w:rPr>
        <w:t>本部门2018年度 “三公”经费支出共计11.90万元，较年初预算减少0.10万元，降低0.83%，主要是认真贯彻落实中央</w:t>
      </w:r>
      <w:bookmarkStart w:id="0" w:name="_GoBack"/>
      <w:bookmarkEnd w:id="0"/>
      <w:r>
        <w:rPr>
          <w:rFonts w:hint="eastAsia" w:ascii="仿宋" w:hAnsi="仿宋" w:eastAsia="仿宋" w:cs="DengXian-Regular"/>
          <w:sz w:val="32"/>
          <w:szCs w:val="32"/>
        </w:rPr>
        <w:t>八项规定精神和厉行节约要求，从严控制“三公”经费开支，全年实际支出比预算有所节约。具体情况如下：</w:t>
      </w:r>
    </w:p>
    <w:p>
      <w:pPr>
        <w:adjustRightInd w:val="0"/>
        <w:snapToGrid w:val="0"/>
        <w:spacing w:after="0" w:line="580" w:lineRule="exact"/>
        <w:ind w:firstLine="643" w:firstLineChars="200"/>
        <w:rPr>
          <w:rFonts w:ascii="仿宋" w:hAnsi="仿宋" w:eastAsia="仿宋" w:cs="DengXian-Regular"/>
          <w:sz w:val="32"/>
          <w:szCs w:val="32"/>
        </w:rPr>
      </w:pPr>
      <w:r>
        <w:rPr>
          <w:rFonts w:hint="eastAsia" w:ascii="仿宋" w:hAnsi="仿宋" w:eastAsia="仿宋" w:cs="DengXian-Bold"/>
          <w:b/>
          <w:bCs/>
          <w:sz w:val="32"/>
          <w:szCs w:val="32"/>
        </w:rPr>
        <w:t>（一）因公出国（境）费支出0万元。</w:t>
      </w:r>
      <w:r>
        <w:rPr>
          <w:rFonts w:hint="eastAsia" w:ascii="仿宋" w:hAnsi="仿宋" w:eastAsia="仿宋" w:cs="DengXian-Regular"/>
          <w:sz w:val="32"/>
          <w:szCs w:val="32"/>
        </w:rPr>
        <w:t>本部门2018年度未发生因公出国（境）经费支出，因公出国（境）费支出与年初预算持平。</w:t>
      </w:r>
    </w:p>
    <w:p>
      <w:pPr>
        <w:adjustRightInd w:val="0"/>
        <w:snapToGrid w:val="0"/>
        <w:spacing w:after="0" w:line="580" w:lineRule="exact"/>
        <w:ind w:firstLine="643" w:firstLineChars="200"/>
        <w:rPr>
          <w:rFonts w:ascii="仿宋" w:hAnsi="仿宋" w:eastAsia="仿宋" w:cs="DengXian-Bold"/>
          <w:b/>
          <w:bCs/>
          <w:sz w:val="32"/>
          <w:szCs w:val="32"/>
        </w:rPr>
      </w:pPr>
      <w:r>
        <w:rPr>
          <w:rFonts w:hint="eastAsia" w:ascii="仿宋" w:hAnsi="仿宋" w:eastAsia="仿宋" w:cs="DengXian-Bold"/>
          <w:b/>
          <w:bCs/>
          <w:sz w:val="32"/>
          <w:szCs w:val="32"/>
        </w:rPr>
        <w:t>（二）公务用车购置及运行维护费支出11.90万元。</w:t>
      </w:r>
      <w:r>
        <w:rPr>
          <w:rFonts w:hint="eastAsia" w:ascii="仿宋" w:hAnsi="仿宋" w:eastAsia="仿宋" w:cs="DengXian-Regular"/>
          <w:sz w:val="32"/>
          <w:szCs w:val="32"/>
        </w:rPr>
        <w:t>本部门2018年度公务用车购置及运行维护费较年初预算减少0.10万元，降低0.83%,主要是公务用车使用次数减少，维护费用降低。</w:t>
      </w:r>
      <w:r>
        <w:rPr>
          <w:rFonts w:hint="eastAsia" w:ascii="仿宋" w:hAnsi="仿宋" w:eastAsia="仿宋" w:cs="DengXian-Bold"/>
          <w:b/>
          <w:bCs/>
          <w:sz w:val="32"/>
          <w:szCs w:val="32"/>
        </w:rPr>
        <w:t>其中：</w:t>
      </w:r>
    </w:p>
    <w:p>
      <w:pPr>
        <w:adjustRightInd w:val="0"/>
        <w:snapToGrid w:val="0"/>
        <w:spacing w:after="0" w:line="580" w:lineRule="exact"/>
        <w:ind w:firstLine="643" w:firstLineChars="200"/>
        <w:rPr>
          <w:rFonts w:ascii="仿宋" w:hAnsi="仿宋" w:eastAsia="仿宋" w:cs="DengXian-Regular"/>
          <w:sz w:val="32"/>
          <w:szCs w:val="32"/>
        </w:rPr>
      </w:pPr>
      <w:r>
        <w:rPr>
          <w:rFonts w:hint="eastAsia" w:ascii="仿宋" w:hAnsi="仿宋" w:eastAsia="仿宋" w:cs="DengXian-Regular"/>
          <w:b/>
          <w:sz w:val="32"/>
          <w:szCs w:val="32"/>
        </w:rPr>
        <w:t>公务用车购置费：</w:t>
      </w:r>
      <w:r>
        <w:rPr>
          <w:rFonts w:hint="eastAsia" w:ascii="仿宋" w:hAnsi="仿宋" w:eastAsia="仿宋" w:cs="DengXian-Regular"/>
          <w:sz w:val="32"/>
          <w:szCs w:val="32"/>
        </w:rPr>
        <w:t>本部门2018年度未发生“公务用车购置”经费支出。公务用车购置费支出与年初预算持平。</w:t>
      </w:r>
    </w:p>
    <w:p>
      <w:pPr>
        <w:adjustRightInd w:val="0"/>
        <w:snapToGrid w:val="0"/>
        <w:spacing w:after="0" w:line="580" w:lineRule="exact"/>
        <w:ind w:firstLine="643" w:firstLineChars="200"/>
        <w:rPr>
          <w:rFonts w:ascii="仿宋" w:hAnsi="仿宋" w:eastAsia="仿宋" w:cs="DengXian-Regular"/>
          <w:sz w:val="32"/>
          <w:szCs w:val="32"/>
        </w:rPr>
      </w:pPr>
      <w:r>
        <w:rPr>
          <w:rFonts w:hint="eastAsia" w:ascii="仿宋" w:hAnsi="仿宋" w:eastAsia="仿宋" w:cs="DengXian-Regular"/>
          <w:b/>
          <w:sz w:val="32"/>
          <w:szCs w:val="32"/>
        </w:rPr>
        <w:t>公务用车运行维护费：</w:t>
      </w:r>
      <w:r>
        <w:rPr>
          <w:rFonts w:hint="eastAsia" w:ascii="仿宋" w:hAnsi="仿宋" w:eastAsia="仿宋" w:cs="DengXian-Regular"/>
          <w:sz w:val="32"/>
          <w:szCs w:val="32"/>
        </w:rPr>
        <w:t>本部门2018年度单位公务用车保有量9辆。公车运行维护费支出11.90万元，较年初预算减少0.10万元，降低0.83%,主要是公务用车使用次数减少，维护费用降低。</w:t>
      </w:r>
    </w:p>
    <w:p>
      <w:pPr>
        <w:adjustRightInd w:val="0"/>
        <w:snapToGrid w:val="0"/>
        <w:spacing w:after="0" w:line="580" w:lineRule="exact"/>
        <w:ind w:firstLine="643" w:firstLineChars="200"/>
        <w:rPr>
          <w:rFonts w:ascii="仿宋" w:hAnsi="仿宋" w:eastAsia="仿宋" w:cs="DengXian-Regular"/>
          <w:sz w:val="32"/>
          <w:szCs w:val="32"/>
        </w:rPr>
      </w:pPr>
      <w:r>
        <w:rPr>
          <w:rFonts w:hint="eastAsia" w:ascii="仿宋" w:hAnsi="仿宋" w:eastAsia="仿宋" w:cs="DengXian-Bold"/>
          <w:b/>
          <w:bCs/>
          <w:sz w:val="32"/>
          <w:szCs w:val="32"/>
        </w:rPr>
        <w:t>（三）公务接待费支出0万元。</w:t>
      </w:r>
      <w:r>
        <w:rPr>
          <w:rFonts w:hint="eastAsia" w:ascii="仿宋" w:hAnsi="仿宋" w:eastAsia="仿宋" w:cs="DengXian-Regular"/>
          <w:sz w:val="32"/>
          <w:szCs w:val="32"/>
        </w:rPr>
        <w:t>本部门2018年度无公务接待经费支出，</w:t>
      </w:r>
      <w:r>
        <w:rPr>
          <w:rFonts w:hint="eastAsia" w:ascii="仿宋_GB2312" w:eastAsia="仿宋_GB2312" w:cs="DengXian-Regular"/>
          <w:sz w:val="32"/>
          <w:szCs w:val="32"/>
        </w:rPr>
        <w:t>共0批次、0人次。</w:t>
      </w:r>
      <w:r>
        <w:rPr>
          <w:rFonts w:hint="eastAsia" w:ascii="仿宋" w:hAnsi="仿宋" w:eastAsia="仿宋" w:cs="DengXian-Regular"/>
          <w:sz w:val="32"/>
          <w:szCs w:val="32"/>
        </w:rPr>
        <w:t>公务接待费支出与年初预算持平,</w:t>
      </w:r>
      <w:r>
        <w:rPr>
          <w:rFonts w:hint="eastAsia" w:ascii="仿宋_GB2312" w:eastAsia="仿宋_GB2312" w:cs="DengXian-Regular"/>
          <w:sz w:val="32"/>
          <w:szCs w:val="32"/>
        </w:rPr>
        <w:t>预算增加0万元，增长0 %,主要是正常按照预算支出</w:t>
      </w:r>
      <w:r>
        <w:rPr>
          <w:rFonts w:hint="eastAsia" w:ascii="仿宋" w:hAnsi="仿宋" w:eastAsia="仿宋" w:cs="DengXian-Regular"/>
          <w:sz w:val="32"/>
          <w:szCs w:val="32"/>
        </w:rPr>
        <w:t>。</w:t>
      </w:r>
    </w:p>
    <w:p>
      <w:pPr>
        <w:pStyle w:val="3"/>
        <w:spacing w:before="0" w:after="0" w:line="580" w:lineRule="exact"/>
        <w:ind w:firstLine="643" w:firstLineChars="200"/>
        <w:rPr>
          <w:rFonts w:ascii="仿宋" w:hAnsi="仿宋" w:eastAsia="仿宋" w:cs="Times New Roman"/>
        </w:rPr>
      </w:pPr>
      <w:r>
        <w:rPr>
          <w:rFonts w:hint="eastAsia" w:ascii="仿宋" w:hAnsi="仿宋" w:eastAsia="仿宋"/>
          <w:szCs w:val="40"/>
        </w:rPr>
        <w:t>六、</w:t>
      </w:r>
      <w:r>
        <w:rPr>
          <w:rFonts w:hint="eastAsia" w:ascii="仿宋" w:hAnsi="仿宋" w:eastAsia="仿宋" w:cs="Times New Roman"/>
        </w:rPr>
        <w:t>绩效预算情况说明</w:t>
      </w:r>
    </w:p>
    <w:p>
      <w:pPr>
        <w:adjustRightInd w:val="0"/>
        <w:snapToGrid w:val="0"/>
        <w:spacing w:after="0" w:line="580" w:lineRule="exact"/>
        <w:ind w:firstLine="640" w:firstLineChars="200"/>
        <w:rPr>
          <w:rFonts w:ascii="仿宋" w:hAnsi="仿宋" w:eastAsia="仿宋" w:cs="DengXian-Regular"/>
          <w:color w:val="FF0000"/>
          <w:sz w:val="32"/>
          <w:szCs w:val="32"/>
        </w:rPr>
      </w:pPr>
      <w:r>
        <w:rPr>
          <w:rFonts w:hint="eastAsia" w:ascii="仿宋" w:hAnsi="仿宋" w:eastAsia="仿宋" w:cs="DengXian-Regular"/>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二）预算项目绩效评价开展情况。根据预算绩效管理要求，本单位组织对2018年度一般公共预算项目支出全面开展绩效自评，涉及查办和预防职务犯罪、其他检察支出等2个项目，涉及资金99.32万元。从评价情况看，2个项目评价结果均为良好。</w:t>
      </w:r>
    </w:p>
    <w:p>
      <w:pPr>
        <w:adjustRightInd w:val="0"/>
        <w:snapToGrid w:val="0"/>
        <w:spacing w:after="0" w:line="580" w:lineRule="exact"/>
        <w:ind w:firstLine="640" w:firstLineChars="200"/>
        <w:rPr>
          <w:rFonts w:ascii="仿宋" w:hAnsi="仿宋" w:eastAsia="仿宋" w:cs="DengXian-Regular"/>
          <w:sz w:val="32"/>
          <w:szCs w:val="32"/>
          <w:shd w:val="pct10" w:color="auto" w:fill="FFFFFF"/>
        </w:rPr>
      </w:pPr>
      <w:r>
        <w:rPr>
          <w:rFonts w:hint="eastAsia" w:ascii="仿宋" w:hAnsi="仿宋" w:eastAsia="仿宋" w:cs="DengXian-Regular"/>
          <w:sz w:val="32"/>
          <w:szCs w:val="32"/>
        </w:rPr>
        <w:t>（三）预算项目绩效自评选例</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单位其他检察支出项目绩效自评：根据年初设定的绩效目标，其他检察支出项目绩效自评结果为良好。项目全年预算数为99万元，执行数为61.54万元，完成预算的62.16%。主要产出和效果是购置了一批业务装备，提升了装备保障能力，保证了检察业务的正常开展。发现问题及原因是项目资金使用进度不够合理，下一步改进措施是加大资金使用力度。</w:t>
      </w:r>
    </w:p>
    <w:p>
      <w:pPr>
        <w:pStyle w:val="3"/>
        <w:spacing w:before="0" w:after="0" w:line="580" w:lineRule="exact"/>
        <w:ind w:firstLine="640" w:firstLineChars="200"/>
        <w:rPr>
          <w:rFonts w:ascii="仿宋" w:hAnsi="仿宋" w:eastAsia="仿宋" w:cs="Times New Roman"/>
          <w:b w:val="0"/>
          <w:bCs w:val="0"/>
        </w:rPr>
      </w:pPr>
      <w:r>
        <w:rPr>
          <w:rFonts w:hint="eastAsia" w:ascii="仿宋" w:hAnsi="仿宋" w:eastAsia="仿宋" w:cs="Times New Roman"/>
          <w:b w:val="0"/>
          <w:bCs w:val="0"/>
        </w:rPr>
        <w:t>七、其他重要事项的说明</w:t>
      </w:r>
    </w:p>
    <w:p>
      <w:pPr>
        <w:pStyle w:val="4"/>
        <w:spacing w:before="0" w:after="0" w:line="580" w:lineRule="exact"/>
        <w:ind w:firstLine="643" w:firstLineChars="200"/>
        <w:rPr>
          <w:rFonts w:ascii="仿宋" w:hAnsi="仿宋" w:eastAsia="仿宋" w:cs="DengXian-Bold"/>
        </w:rPr>
      </w:pPr>
      <w:r>
        <w:rPr>
          <w:rFonts w:hint="eastAsia" w:ascii="仿宋" w:hAnsi="仿宋" w:eastAsia="仿宋" w:cs="DengXian-Bold"/>
        </w:rPr>
        <w:t>（一）机关运行经费情况</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本部门2018年度机关运行经费支出231.70万元，比年初预算数减少30.46万元，降低11.62%。主要原因是检察职能转变，差旅费及车辆运行维护费降低。</w:t>
      </w:r>
    </w:p>
    <w:p>
      <w:pPr>
        <w:pStyle w:val="4"/>
        <w:spacing w:before="0" w:after="0" w:line="580" w:lineRule="exact"/>
        <w:ind w:firstLine="643" w:firstLineChars="200"/>
        <w:rPr>
          <w:rFonts w:ascii="仿宋" w:hAnsi="仿宋" w:eastAsia="仿宋" w:cs="DengXian-Bold"/>
        </w:rPr>
      </w:pPr>
      <w:r>
        <w:rPr>
          <w:rFonts w:hint="eastAsia" w:ascii="仿宋" w:hAnsi="仿宋" w:eastAsia="仿宋" w:cs="DengXian-Bold"/>
        </w:rPr>
        <w:t>（二）政府采购情况</w:t>
      </w:r>
    </w:p>
    <w:p>
      <w:pPr>
        <w:snapToGrid w:val="0"/>
        <w:spacing w:line="580" w:lineRule="exact"/>
        <w:ind w:firstLine="640" w:firstLineChars="200"/>
        <w:jc w:val="left"/>
        <w:rPr>
          <w:rFonts w:ascii="仿宋_GB2312" w:hAnsi="仿宋_GB2312" w:eastAsia="仿宋_GB2312" w:cs="仿宋_GB2312"/>
          <w:kern w:val="0"/>
          <w:sz w:val="32"/>
          <w:szCs w:val="32"/>
        </w:rPr>
      </w:pPr>
      <w:r>
        <w:rPr>
          <w:rFonts w:hint="eastAsia" w:ascii="仿宋_GB2312" w:eastAsia="仿宋_GB2312" w:cs="DengXian-Regular"/>
          <w:sz w:val="32"/>
          <w:szCs w:val="32"/>
        </w:rPr>
        <w:t>本部门2018年度政府采购支出总额75.50万元，从采购类型来看，</w:t>
      </w:r>
      <w:r>
        <w:rPr>
          <w:rFonts w:ascii="仿宋_GB2312" w:hAnsi="仿宋_GB2312" w:eastAsia="仿宋_GB2312" w:cs="仿宋_GB2312"/>
          <w:kern w:val="0"/>
          <w:sz w:val="32"/>
          <w:szCs w:val="32"/>
        </w:rPr>
        <w:t>政府采购货物支出</w:t>
      </w:r>
      <w:r>
        <w:rPr>
          <w:rFonts w:hint="eastAsia" w:ascii="仿宋_GB2312" w:hAnsi="仿宋_GB2312" w:eastAsia="仿宋_GB2312" w:cs="仿宋_GB2312"/>
          <w:kern w:val="0"/>
          <w:sz w:val="32"/>
          <w:szCs w:val="32"/>
        </w:rPr>
        <w:t>0</w:t>
      </w:r>
      <w:r>
        <w:rPr>
          <w:rFonts w:ascii="仿宋_GB2312" w:hAnsi="仿宋_GB2312" w:eastAsia="仿宋_GB2312" w:cs="仿宋_GB2312"/>
          <w:kern w:val="0"/>
          <w:sz w:val="32"/>
          <w:szCs w:val="32"/>
        </w:rPr>
        <w:t xml:space="preserve"> 万元、政府采购工程支出</w:t>
      </w:r>
      <w:r>
        <w:rPr>
          <w:rFonts w:hint="eastAsia" w:ascii="仿宋_GB2312" w:hAnsi="仿宋_GB2312" w:eastAsia="仿宋_GB2312" w:cs="仿宋_GB2312"/>
          <w:kern w:val="0"/>
          <w:sz w:val="32"/>
          <w:szCs w:val="32"/>
        </w:rPr>
        <w:t>0</w:t>
      </w:r>
      <w:r>
        <w:rPr>
          <w:rFonts w:ascii="仿宋_GB2312" w:hAnsi="仿宋_GB2312" w:eastAsia="仿宋_GB2312" w:cs="仿宋_GB2312"/>
          <w:kern w:val="0"/>
          <w:sz w:val="32"/>
          <w:szCs w:val="32"/>
        </w:rPr>
        <w:t xml:space="preserve">万元、政府采购服务支出 </w:t>
      </w:r>
      <w:r>
        <w:rPr>
          <w:rFonts w:hint="eastAsia" w:ascii="仿宋_GB2312" w:hAnsi="仿宋_GB2312" w:eastAsia="仿宋_GB2312" w:cs="仿宋_GB2312"/>
          <w:kern w:val="0"/>
          <w:sz w:val="32"/>
          <w:szCs w:val="32"/>
        </w:rPr>
        <w:t>75.50</w:t>
      </w:r>
      <w:r>
        <w:rPr>
          <w:rFonts w:ascii="仿宋_GB2312" w:hAnsi="仿宋_GB2312" w:eastAsia="仿宋_GB2312" w:cs="仿宋_GB2312"/>
          <w:kern w:val="0"/>
          <w:sz w:val="32"/>
          <w:szCs w:val="32"/>
        </w:rPr>
        <w:t>万元。授予中小企业合同金</w:t>
      </w:r>
      <w:r>
        <w:rPr>
          <w:rFonts w:hint="eastAsia" w:ascii="仿宋_GB2312" w:hAnsi="仿宋_GB2312" w:eastAsia="仿宋_GB2312" w:cs="仿宋_GB2312"/>
          <w:kern w:val="0"/>
          <w:sz w:val="32"/>
          <w:szCs w:val="32"/>
        </w:rPr>
        <w:t>75.50</w:t>
      </w:r>
      <w:r>
        <w:rPr>
          <w:rFonts w:ascii="仿宋_GB2312" w:hAnsi="仿宋_GB2312" w:eastAsia="仿宋_GB2312" w:cs="仿宋_GB2312"/>
          <w:kern w:val="0"/>
          <w:sz w:val="32"/>
          <w:szCs w:val="32"/>
        </w:rPr>
        <w:t>万元，占政府采购支出总额的</w:t>
      </w:r>
      <w:r>
        <w:rPr>
          <w:rFonts w:hint="eastAsia" w:ascii="仿宋_GB2312" w:hAnsi="仿宋_GB2312" w:eastAsia="仿宋_GB2312" w:cs="仿宋_GB2312"/>
          <w:kern w:val="0"/>
          <w:sz w:val="32"/>
          <w:szCs w:val="32"/>
        </w:rPr>
        <w:t>100%，</w:t>
      </w:r>
      <w:r>
        <w:rPr>
          <w:rFonts w:ascii="仿宋_GB2312" w:hAnsi="仿宋_GB2312" w:eastAsia="仿宋_GB2312" w:cs="仿宋_GB2312"/>
          <w:kern w:val="0"/>
          <w:sz w:val="32"/>
          <w:szCs w:val="32"/>
        </w:rPr>
        <w:t>其中授予小微企业合同金额</w:t>
      </w:r>
      <w:r>
        <w:rPr>
          <w:rFonts w:hint="eastAsia" w:ascii="仿宋_GB2312" w:hAnsi="仿宋_GB2312" w:eastAsia="仿宋_GB2312" w:cs="仿宋_GB2312"/>
          <w:kern w:val="0"/>
          <w:sz w:val="32"/>
          <w:szCs w:val="32"/>
        </w:rPr>
        <w:t>0</w:t>
      </w:r>
      <w:r>
        <w:rPr>
          <w:rFonts w:ascii="仿宋_GB2312" w:hAnsi="仿宋_GB2312" w:eastAsia="仿宋_GB2312" w:cs="仿宋_GB2312"/>
          <w:kern w:val="0"/>
          <w:sz w:val="32"/>
          <w:szCs w:val="32"/>
        </w:rPr>
        <w:t xml:space="preserve">万元，占政府采购支出总额的 </w:t>
      </w:r>
      <w:r>
        <w:rPr>
          <w:rFonts w:hint="eastAsia" w:ascii="仿宋_GB2312" w:hAnsi="仿宋_GB2312" w:eastAsia="仿宋_GB2312" w:cs="仿宋_GB2312"/>
          <w:kern w:val="0"/>
          <w:sz w:val="32"/>
          <w:szCs w:val="32"/>
        </w:rPr>
        <w:t>0</w:t>
      </w:r>
      <w:r>
        <w:rPr>
          <w:rFonts w:ascii="仿宋_GB2312" w:hAnsi="仿宋_GB2312" w:eastAsia="仿宋_GB2312" w:cs="仿宋_GB2312"/>
          <w:kern w:val="0"/>
          <w:sz w:val="32"/>
          <w:szCs w:val="32"/>
        </w:rPr>
        <w:t>%。</w:t>
      </w:r>
    </w:p>
    <w:p>
      <w:pPr>
        <w:pStyle w:val="4"/>
        <w:spacing w:before="0" w:after="0" w:line="580" w:lineRule="exact"/>
        <w:ind w:firstLine="643" w:firstLineChars="200"/>
        <w:rPr>
          <w:rFonts w:ascii="仿宋" w:hAnsi="仿宋" w:eastAsia="仿宋" w:cs="DengXian-Bold"/>
        </w:rPr>
      </w:pPr>
      <w:r>
        <w:rPr>
          <w:rFonts w:hint="eastAsia" w:ascii="仿宋" w:hAnsi="仿宋" w:eastAsia="仿宋" w:cs="DengXian-Bold"/>
        </w:rPr>
        <w:t>（三）国有资产占用情况</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截至2018年12月31日，本部门共有车辆9辆，比上年减少1辆，主要是将一辆执法执勤车划转给县监察委。</w:t>
      </w:r>
      <w:r>
        <w:rPr>
          <w:rFonts w:hint="eastAsia" w:ascii="仿宋_GB2312" w:eastAsia="仿宋_GB2312" w:cs="DengXian-Regular"/>
          <w:sz w:val="32"/>
          <w:szCs w:val="32"/>
        </w:rPr>
        <w:t>其中，</w:t>
      </w:r>
      <w:r>
        <w:rPr>
          <w:rFonts w:hint="eastAsia" w:ascii="仿宋" w:hAnsi="仿宋" w:eastAsia="仿宋" w:cs="DengXian-Regular"/>
          <w:sz w:val="32"/>
          <w:szCs w:val="32"/>
        </w:rPr>
        <w:t>副部（省）级及以上领导用车</w:t>
      </w:r>
      <w:r>
        <w:rPr>
          <w:rFonts w:ascii="仿宋" w:hAnsi="仿宋" w:eastAsia="仿宋" w:cs="DengXian-Regular"/>
          <w:sz w:val="32"/>
          <w:szCs w:val="32"/>
        </w:rPr>
        <w:t>0</w:t>
      </w:r>
      <w:r>
        <w:rPr>
          <w:rFonts w:hint="eastAsia" w:ascii="仿宋" w:hAnsi="仿宋" w:eastAsia="仿宋" w:cs="DengXian-Regular"/>
          <w:sz w:val="32"/>
          <w:szCs w:val="32"/>
        </w:rPr>
        <w:t>辆，主要领导干部用车0辆，机要通信用车1辆，执法执勤用车8辆；应急保障用车0辆，特种专业技术用车</w:t>
      </w:r>
      <w:r>
        <w:rPr>
          <w:rFonts w:ascii="仿宋" w:hAnsi="仿宋" w:eastAsia="仿宋" w:cs="DengXian-Regular"/>
          <w:sz w:val="32"/>
          <w:szCs w:val="32"/>
        </w:rPr>
        <w:t>0</w:t>
      </w:r>
      <w:r>
        <w:rPr>
          <w:rFonts w:hint="eastAsia" w:ascii="仿宋" w:hAnsi="仿宋" w:eastAsia="仿宋" w:cs="DengXian-Regular"/>
          <w:sz w:val="32"/>
          <w:szCs w:val="32"/>
        </w:rPr>
        <w:t>辆，离退休干部用车</w:t>
      </w:r>
      <w:r>
        <w:rPr>
          <w:rFonts w:ascii="仿宋" w:hAnsi="仿宋" w:eastAsia="仿宋" w:cs="DengXian-Regular"/>
          <w:sz w:val="32"/>
          <w:szCs w:val="32"/>
        </w:rPr>
        <w:t>0</w:t>
      </w:r>
      <w:r>
        <w:rPr>
          <w:rFonts w:hint="eastAsia" w:ascii="仿宋" w:hAnsi="仿宋" w:eastAsia="仿宋" w:cs="DengXian-Regular"/>
          <w:sz w:val="32"/>
          <w:szCs w:val="32"/>
        </w:rPr>
        <w:t>辆，其他用车0辆。</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单位价值</w:t>
      </w:r>
      <w:r>
        <w:rPr>
          <w:rFonts w:hint="eastAsia" w:ascii="仿宋" w:hAnsi="仿宋" w:eastAsia="仿宋" w:cs="TimesNewRomanPSMT"/>
          <w:sz w:val="32"/>
          <w:szCs w:val="32"/>
        </w:rPr>
        <w:t>50</w:t>
      </w:r>
      <w:r>
        <w:rPr>
          <w:rFonts w:hint="eastAsia" w:ascii="仿宋" w:hAnsi="仿宋" w:eastAsia="仿宋" w:cs="DengXian-Regular"/>
          <w:sz w:val="32"/>
          <w:szCs w:val="32"/>
        </w:rPr>
        <w:t>万元以上通用设备0台（套），与去年持平。单位价值</w:t>
      </w:r>
      <w:r>
        <w:rPr>
          <w:rFonts w:hint="eastAsia" w:ascii="仿宋" w:hAnsi="仿宋" w:eastAsia="仿宋" w:cs="TimesNewRomanPSMT"/>
          <w:sz w:val="32"/>
          <w:szCs w:val="32"/>
        </w:rPr>
        <w:t>100</w:t>
      </w:r>
      <w:r>
        <w:rPr>
          <w:rFonts w:hint="eastAsia" w:ascii="仿宋" w:hAnsi="仿宋" w:eastAsia="仿宋" w:cs="DengXian-Regular"/>
          <w:sz w:val="32"/>
          <w:szCs w:val="32"/>
        </w:rPr>
        <w:t>万元以上专用设备0台（套）,与去年持平。</w:t>
      </w:r>
    </w:p>
    <w:p>
      <w:pPr>
        <w:pStyle w:val="4"/>
        <w:spacing w:before="0" w:after="0" w:line="580" w:lineRule="exact"/>
        <w:ind w:firstLine="643" w:firstLineChars="200"/>
        <w:rPr>
          <w:rFonts w:ascii="仿宋" w:hAnsi="仿宋" w:eastAsia="仿宋" w:cs="DengXian-Bold"/>
        </w:rPr>
      </w:pPr>
      <w:r>
        <w:rPr>
          <w:rFonts w:hint="eastAsia" w:ascii="仿宋" w:hAnsi="仿宋" w:eastAsia="仿宋" w:cs="DengXian-Bold"/>
        </w:rPr>
        <w:t>（四）其他需要说明的情况</w:t>
      </w:r>
    </w:p>
    <w:p>
      <w:pPr>
        <w:widowControl/>
        <w:ind w:firstLine="640" w:firstLineChars="200"/>
        <w:jc w:val="left"/>
        <w:rPr>
          <w:rFonts w:hint="eastAsia" w:ascii="仿宋_GB2312" w:eastAsia="仿宋_GB2312" w:cs="DengXian-Regular"/>
          <w:sz w:val="32"/>
          <w:szCs w:val="32"/>
        </w:rPr>
      </w:pPr>
      <w:r>
        <w:rPr>
          <w:rFonts w:hint="eastAsia" w:ascii="仿宋" w:hAnsi="仿宋" w:eastAsia="仿宋" w:cs="DengXian-Regular"/>
          <w:sz w:val="32"/>
          <w:szCs w:val="32"/>
        </w:rPr>
        <w:t>1、</w:t>
      </w:r>
      <w:r>
        <w:rPr>
          <w:rFonts w:hint="eastAsia" w:ascii="仿宋_GB2312" w:eastAsia="仿宋_GB2312" w:cs="DengXian-Regular"/>
          <w:sz w:val="32"/>
          <w:szCs w:val="32"/>
        </w:rPr>
        <w:t>本部门2018年度</w:t>
      </w:r>
      <w:r>
        <w:rPr>
          <w:rFonts w:ascii="仿宋_GB2312" w:hAnsi="宋体" w:eastAsia="仿宋_GB2312" w:cs="仿宋_GB2312"/>
          <w:color w:val="000000"/>
          <w:kern w:val="0"/>
          <w:sz w:val="31"/>
          <w:szCs w:val="31"/>
        </w:rPr>
        <w:t>度国有资本经营财政拨款</w:t>
      </w:r>
      <w:r>
        <w:rPr>
          <w:rFonts w:hint="eastAsia" w:ascii="仿宋_GB2312" w:hAnsi="宋体" w:eastAsia="仿宋_GB2312" w:cs="仿宋_GB2312"/>
          <w:color w:val="000000"/>
          <w:kern w:val="0"/>
          <w:sz w:val="31"/>
          <w:szCs w:val="31"/>
        </w:rPr>
        <w:t>和政府性基金收入支出情况表，</w:t>
      </w:r>
      <w:r>
        <w:rPr>
          <w:rFonts w:ascii="仿宋_GB2312" w:hAnsi="宋体" w:eastAsia="仿宋_GB2312" w:cs="仿宋_GB2312"/>
          <w:color w:val="000000"/>
          <w:kern w:val="0"/>
          <w:sz w:val="31"/>
          <w:szCs w:val="31"/>
        </w:rPr>
        <w:t>无收支及结转结余情况</w:t>
      </w:r>
      <w:r>
        <w:rPr>
          <w:rFonts w:hint="eastAsia" w:ascii="仿宋_GB2312" w:eastAsia="仿宋_GB2312" w:cs="DengXian-Regular"/>
          <w:sz w:val="32"/>
          <w:szCs w:val="32"/>
        </w:rPr>
        <w:t>，故</w:t>
      </w:r>
      <w:r>
        <w:rPr>
          <w:rFonts w:ascii="仿宋_GB2312" w:hAnsi="宋体" w:eastAsia="仿宋_GB2312" w:cs="仿宋_GB2312"/>
          <w:color w:val="000000"/>
          <w:kern w:val="0"/>
          <w:sz w:val="31"/>
          <w:szCs w:val="31"/>
        </w:rPr>
        <w:t>国有资本经营预算财政拨款支出决算表</w:t>
      </w:r>
      <w:r>
        <w:rPr>
          <w:rFonts w:hint="eastAsia" w:ascii="仿宋_GB2312" w:hAnsi="宋体" w:eastAsia="仿宋_GB2312" w:cs="仿宋_GB2312"/>
          <w:color w:val="000000"/>
          <w:kern w:val="0"/>
          <w:sz w:val="31"/>
          <w:szCs w:val="31"/>
        </w:rPr>
        <w:t>、政府性基金财政拨款情况表</w:t>
      </w:r>
      <w:r>
        <w:rPr>
          <w:rFonts w:hint="eastAsia" w:ascii="仿宋_GB2312" w:eastAsia="仿宋_GB2312" w:cs="DengXian-Regular"/>
          <w:sz w:val="32"/>
          <w:szCs w:val="32"/>
        </w:rPr>
        <w:t>以空表列示。</w:t>
      </w:r>
    </w:p>
    <w:p>
      <w:pPr>
        <w:widowControl/>
        <w:ind w:firstLine="640" w:firstLineChars="200"/>
        <w:jc w:val="left"/>
        <w:rPr>
          <w:rFonts w:ascii="仿宋_GB2312" w:eastAsia="仿宋_GB2312" w:cs="DengXian-Regular"/>
          <w:sz w:val="32"/>
          <w:szCs w:val="32"/>
        </w:rPr>
      </w:pPr>
      <w:r>
        <w:rPr>
          <w:rFonts w:hint="eastAsia" w:ascii="仿宋" w:hAnsi="仿宋" w:eastAsia="仿宋"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420" w:firstLineChars="200"/>
        <w:jc w:val="left"/>
        <w:sectPr>
          <w:pgSz w:w="11906" w:h="16838"/>
          <w:pgMar w:top="2098" w:right="1474" w:bottom="1984" w:left="1588" w:header="851" w:footer="992" w:gutter="0"/>
          <w:pgBorders w:offsetFrom="page">
            <w:top w:val="dotted" w:color="FFFFFF" w:themeColor="background1" w:sz="4" w:space="24"/>
            <w:left w:val="dotted" w:color="FFFFFF" w:themeColor="background1" w:sz="4" w:space="24"/>
            <w:bottom w:val="dotted" w:color="FFFFFF" w:themeColor="background1" w:sz="4" w:space="24"/>
            <w:right w:val="dotted" w:color="FFFFFF" w:themeColor="background1" w:sz="4" w:space="24"/>
          </w:pgBorders>
          <w:cols w:space="720" w:num="1"/>
          <w:docGrid w:type="lines" w:linePitch="312" w:charSpace="0"/>
        </w:sectPr>
      </w:pPr>
    </w:p>
    <w:p>
      <w:pPr>
        <w:sectPr>
          <w:pgSz w:w="11906" w:h="16838"/>
          <w:pgMar w:top="2098" w:right="1474" w:bottom="1984" w:left="1588" w:header="851" w:footer="992" w:gutter="0"/>
          <w:pgBorders w:offsetFrom="page">
            <w:top w:val="dotted" w:color="FFFFFF" w:themeColor="background1" w:sz="4" w:space="24"/>
            <w:left w:val="dotted" w:color="FFFFFF" w:themeColor="background1" w:sz="4" w:space="24"/>
            <w:bottom w:val="dotted" w:color="FFFFFF" w:themeColor="background1" w:sz="4" w:space="24"/>
            <w:right w:val="dotted" w:color="FFFFFF" w:themeColor="background1" w:sz="4" w:space="24"/>
          </w:pgBorders>
          <w:cols w:space="720" w:num="1"/>
          <w:docGrid w:type="lines" w:linePitch="312" w:charSpace="0"/>
        </w:sectPr>
      </w:pPr>
      <w:r>
        <w:rPr>
          <w:rFonts w:ascii="宋体" w:hAnsi="宋体" w:cs="ArialUnicodeMS"/>
          <w:color w:val="000000"/>
          <w:kern w:val="0"/>
        </w:rPr>
        <w:pict>
          <v:shape id="图片 21" o:spid="_x0000_s1029" o:spt="75" type="#_x0000_t75" style="position:absolute;left:0pt;margin-left:-79.3pt;margin-top:-105.2pt;height:840.95pt;width:594.5pt;z-index:-251655168;mso-width-relative:page;mso-height-relative:page;" filled="f" o:preferrelative="t" stroked="f" coordsize="21600,21600">
            <v:path/>
            <v:fill on="f" focussize="0,0"/>
            <v:stroke on="f" joinstyle="miter"/>
            <v:imagedata r:id="rId5" o:title=""/>
            <o:lock v:ext="edit" aspectratio="t"/>
          </v:shape>
        </w:pict>
      </w:r>
      <w:r>
        <w:rPr>
          <w:sz w:val="72"/>
        </w:rPr>
        <w:pict>
          <v:rect id="文本框 22" o:spid="_x0000_s1035" o:spt="1" style="position:absolute;left:0pt;margin-left:-78.55pt;margin-top:232.8pt;height:159.1pt;width:596.2pt;z-index:251657216;mso-width-relative:page;mso-height-relative:page;" filled="f" o:preferrelative="t" stroked="f" coordsize="21600,21600">
            <v:path/>
            <v:fill on="f" focussize="0,0"/>
            <v:stroke on="f"/>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v:textbox>
          </v:rect>
        </w:pict>
      </w:r>
    </w:p>
    <w:p>
      <w:pPr>
        <w:widowControl/>
        <w:spacing w:after="0" w:line="560" w:lineRule="exact"/>
        <w:ind w:firstLine="643" w:firstLineChars="200"/>
        <w:rPr>
          <w:rFonts w:ascii="仿宋" w:hAnsi="仿宋" w:eastAsia="仿宋"/>
          <w:color w:val="000000"/>
          <w:kern w:val="0"/>
          <w:sz w:val="32"/>
          <w:szCs w:val="32"/>
        </w:rPr>
      </w:pPr>
      <w:r>
        <w:rPr>
          <w:rFonts w:hint="eastAsia" w:ascii="仿宋" w:hAnsi="仿宋" w:eastAsia="仿宋"/>
          <w:b/>
          <w:bCs/>
          <w:color w:val="000000"/>
          <w:kern w:val="0"/>
          <w:sz w:val="32"/>
          <w:szCs w:val="32"/>
        </w:rPr>
        <w:t>（一）财政拨款收入：</w:t>
      </w:r>
      <w:r>
        <w:rPr>
          <w:rFonts w:hint="eastAsia" w:ascii="仿宋" w:hAnsi="仿宋" w:eastAsia="仿宋"/>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 w:hAnsi="仿宋" w:eastAsia="仿宋"/>
          <w:color w:val="000000"/>
          <w:kern w:val="0"/>
          <w:sz w:val="32"/>
          <w:szCs w:val="32"/>
        </w:rPr>
      </w:pPr>
      <w:r>
        <w:rPr>
          <w:rFonts w:hint="eastAsia" w:ascii="仿宋" w:hAnsi="仿宋" w:eastAsia="仿宋"/>
          <w:b/>
          <w:bCs/>
          <w:color w:val="000000"/>
          <w:kern w:val="0"/>
          <w:sz w:val="32"/>
          <w:szCs w:val="32"/>
        </w:rPr>
        <w:t>（二）事业收入：</w:t>
      </w:r>
      <w:r>
        <w:rPr>
          <w:rFonts w:hint="eastAsia" w:ascii="仿宋" w:hAnsi="仿宋" w:eastAsia="仿宋"/>
          <w:color w:val="000000"/>
          <w:kern w:val="0"/>
          <w:sz w:val="32"/>
          <w:szCs w:val="32"/>
        </w:rPr>
        <w:t>指事业单位开展专业业务活动及辅助活动所取得的收入。</w:t>
      </w:r>
    </w:p>
    <w:p>
      <w:pPr>
        <w:widowControl/>
        <w:spacing w:after="0" w:line="560" w:lineRule="exact"/>
        <w:ind w:firstLine="643" w:firstLineChars="200"/>
        <w:rPr>
          <w:rFonts w:ascii="仿宋" w:hAnsi="仿宋" w:eastAsia="仿宋"/>
          <w:color w:val="000000"/>
          <w:kern w:val="0"/>
          <w:sz w:val="32"/>
          <w:szCs w:val="32"/>
        </w:rPr>
      </w:pPr>
      <w:r>
        <w:rPr>
          <w:rFonts w:hint="eastAsia" w:ascii="仿宋" w:hAnsi="仿宋" w:eastAsia="仿宋"/>
          <w:b/>
          <w:bCs/>
          <w:color w:val="000000"/>
          <w:kern w:val="0"/>
          <w:sz w:val="32"/>
          <w:szCs w:val="32"/>
        </w:rPr>
        <w:t>（三）其他收入：</w:t>
      </w:r>
      <w:r>
        <w:rPr>
          <w:rFonts w:hint="eastAsia" w:ascii="仿宋" w:hAnsi="仿宋" w:eastAsia="仿宋"/>
          <w:color w:val="000000"/>
          <w:kern w:val="0"/>
          <w:sz w:val="32"/>
          <w:szCs w:val="32"/>
        </w:rPr>
        <w:t>指除上述“财政拨款收入”“事业收入”“经营收入”等以外的收入。</w:t>
      </w:r>
    </w:p>
    <w:p>
      <w:pPr>
        <w:widowControl/>
        <w:spacing w:after="0" w:line="560" w:lineRule="exact"/>
        <w:ind w:firstLine="643" w:firstLineChars="200"/>
        <w:rPr>
          <w:rFonts w:ascii="仿宋" w:hAnsi="仿宋" w:eastAsia="仿宋"/>
          <w:color w:val="000000"/>
          <w:kern w:val="0"/>
          <w:sz w:val="32"/>
          <w:szCs w:val="32"/>
        </w:rPr>
      </w:pPr>
      <w:r>
        <w:rPr>
          <w:rFonts w:hint="eastAsia" w:ascii="仿宋" w:hAnsi="仿宋" w:eastAsia="仿宋"/>
          <w:b/>
          <w:bCs/>
          <w:color w:val="000000"/>
          <w:kern w:val="0"/>
          <w:sz w:val="32"/>
          <w:szCs w:val="32"/>
        </w:rPr>
        <w:t>（四）用事业基金弥补收支差额：</w:t>
      </w:r>
      <w:r>
        <w:rPr>
          <w:rFonts w:hint="eastAsia" w:ascii="仿宋" w:hAnsi="仿宋" w:eastAsia="仿宋"/>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 w:hAnsi="仿宋" w:eastAsia="仿宋"/>
          <w:color w:val="000000"/>
          <w:kern w:val="0"/>
          <w:sz w:val="32"/>
          <w:szCs w:val="32"/>
        </w:rPr>
      </w:pPr>
      <w:r>
        <w:rPr>
          <w:rFonts w:hint="eastAsia" w:ascii="仿宋" w:hAnsi="仿宋" w:eastAsia="仿宋"/>
          <w:b/>
          <w:bCs/>
          <w:color w:val="000000"/>
          <w:kern w:val="0"/>
          <w:sz w:val="32"/>
          <w:szCs w:val="32"/>
        </w:rPr>
        <w:t>（五）年初结转和结余：</w:t>
      </w:r>
      <w:r>
        <w:rPr>
          <w:rFonts w:hint="eastAsia" w:ascii="仿宋" w:hAnsi="仿宋" w:eastAsia="仿宋"/>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 w:hAnsi="仿宋" w:eastAsia="仿宋"/>
          <w:color w:val="000000"/>
          <w:kern w:val="0"/>
          <w:sz w:val="32"/>
          <w:szCs w:val="32"/>
        </w:rPr>
      </w:pPr>
      <w:r>
        <w:rPr>
          <w:rFonts w:hint="eastAsia" w:ascii="仿宋" w:hAnsi="仿宋" w:eastAsia="仿宋"/>
          <w:b/>
          <w:bCs/>
          <w:color w:val="000000"/>
          <w:kern w:val="0"/>
          <w:sz w:val="32"/>
          <w:szCs w:val="32"/>
        </w:rPr>
        <w:t>（六）结余分配：</w:t>
      </w:r>
      <w:r>
        <w:rPr>
          <w:rFonts w:hint="eastAsia" w:ascii="仿宋" w:hAnsi="仿宋" w:eastAsia="仿宋"/>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 w:hAnsi="仿宋" w:eastAsia="仿宋"/>
          <w:color w:val="000000"/>
          <w:kern w:val="0"/>
          <w:sz w:val="32"/>
          <w:szCs w:val="32"/>
        </w:rPr>
      </w:pPr>
      <w:r>
        <w:rPr>
          <w:rFonts w:hint="eastAsia" w:ascii="仿宋" w:hAnsi="仿宋" w:eastAsia="仿宋"/>
          <w:b/>
          <w:bCs/>
          <w:color w:val="000000"/>
          <w:kern w:val="0"/>
          <w:sz w:val="32"/>
          <w:szCs w:val="32"/>
        </w:rPr>
        <w:t>（七）年末结转和结余：</w:t>
      </w:r>
      <w:r>
        <w:rPr>
          <w:rFonts w:hint="eastAsia" w:ascii="仿宋" w:hAnsi="仿宋" w:eastAsia="仿宋"/>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 w:hAnsi="仿宋" w:eastAsia="仿宋"/>
          <w:color w:val="000000"/>
          <w:kern w:val="0"/>
          <w:sz w:val="32"/>
          <w:szCs w:val="32"/>
        </w:rPr>
      </w:pPr>
      <w:r>
        <w:rPr>
          <w:rFonts w:hint="eastAsia" w:ascii="仿宋" w:hAnsi="仿宋" w:eastAsia="仿宋"/>
          <w:b/>
          <w:bCs/>
          <w:color w:val="000000"/>
          <w:kern w:val="0"/>
          <w:sz w:val="32"/>
          <w:szCs w:val="32"/>
        </w:rPr>
        <w:t>（八）基本支出：</w:t>
      </w:r>
      <w:r>
        <w:rPr>
          <w:rFonts w:hint="eastAsia" w:ascii="仿宋" w:hAnsi="仿宋" w:eastAsia="仿宋"/>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 w:hAnsi="仿宋" w:eastAsia="仿宋"/>
          <w:color w:val="000000"/>
          <w:kern w:val="0"/>
          <w:sz w:val="32"/>
          <w:szCs w:val="32"/>
        </w:rPr>
      </w:pPr>
      <w:r>
        <w:rPr>
          <w:rFonts w:hint="eastAsia" w:ascii="仿宋" w:hAnsi="仿宋" w:eastAsia="仿宋"/>
          <w:b/>
          <w:bCs/>
          <w:color w:val="000000"/>
          <w:kern w:val="0"/>
          <w:sz w:val="32"/>
          <w:szCs w:val="32"/>
        </w:rPr>
        <w:t>（九）项目支出：</w:t>
      </w:r>
      <w:r>
        <w:rPr>
          <w:rFonts w:hint="eastAsia" w:ascii="仿宋" w:hAnsi="仿宋" w:eastAsia="仿宋"/>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 w:hAnsi="仿宋" w:eastAsia="仿宋"/>
          <w:color w:val="000000"/>
          <w:kern w:val="0"/>
          <w:sz w:val="32"/>
          <w:szCs w:val="32"/>
        </w:rPr>
      </w:pPr>
      <w:r>
        <w:rPr>
          <w:rFonts w:hint="eastAsia" w:ascii="仿宋" w:hAnsi="仿宋" w:eastAsia="仿宋"/>
          <w:b/>
          <w:bCs/>
          <w:color w:val="000000"/>
          <w:kern w:val="0"/>
          <w:sz w:val="32"/>
          <w:szCs w:val="32"/>
        </w:rPr>
        <w:t>（十）资本性支出（基本建设）：</w:t>
      </w:r>
      <w:r>
        <w:rPr>
          <w:rFonts w:hint="eastAsia" w:ascii="仿宋" w:hAnsi="仿宋" w:eastAsia="仿宋"/>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 w:hAnsi="仿宋" w:eastAsia="仿宋"/>
          <w:color w:val="000000"/>
          <w:kern w:val="0"/>
          <w:sz w:val="32"/>
          <w:szCs w:val="32"/>
        </w:rPr>
      </w:pPr>
      <w:r>
        <w:rPr>
          <w:rFonts w:hint="eastAsia" w:ascii="仿宋" w:hAnsi="仿宋" w:eastAsia="仿宋"/>
          <w:b/>
          <w:bCs/>
          <w:color w:val="000000"/>
          <w:kern w:val="0"/>
          <w:sz w:val="32"/>
          <w:szCs w:val="32"/>
        </w:rPr>
        <w:t>（十一）资本性支出：</w:t>
      </w:r>
      <w:r>
        <w:rPr>
          <w:rFonts w:hint="eastAsia" w:ascii="仿宋" w:hAnsi="仿宋" w:eastAsia="仿宋"/>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 w:hAnsi="仿宋" w:eastAsia="仿宋"/>
          <w:color w:val="000000"/>
          <w:kern w:val="0"/>
          <w:sz w:val="32"/>
          <w:szCs w:val="32"/>
        </w:rPr>
      </w:pPr>
      <w:r>
        <w:rPr>
          <w:rFonts w:hint="eastAsia" w:ascii="仿宋" w:hAnsi="仿宋" w:eastAsia="仿宋"/>
          <w:b/>
          <w:bCs/>
          <w:color w:val="000000"/>
          <w:kern w:val="0"/>
          <w:sz w:val="32"/>
          <w:szCs w:val="32"/>
        </w:rPr>
        <w:t>（十二）“三公”经费：</w:t>
      </w:r>
      <w:r>
        <w:rPr>
          <w:rFonts w:hint="eastAsia" w:ascii="仿宋" w:hAnsi="仿宋" w:eastAsia="仿宋"/>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含执法执勤车辆）购置支出（含车辆购置税）及租用费、燃料费、维修费、过路过桥费、保险费、安全奖励费用等支出；年初预算中公务用车运行维护费3万元不正确，以12万元作为年初预算数进行计算。公务接待费反映单位按规定开支的各类公务接待（含外宾接待）支出。</w:t>
      </w:r>
    </w:p>
    <w:p>
      <w:pPr>
        <w:widowControl/>
        <w:spacing w:after="0" w:line="560" w:lineRule="exact"/>
        <w:ind w:firstLine="643" w:firstLineChars="200"/>
        <w:rPr>
          <w:rFonts w:ascii="仿宋" w:hAnsi="仿宋" w:eastAsia="仿宋"/>
          <w:color w:val="000000"/>
          <w:kern w:val="0"/>
          <w:sz w:val="32"/>
          <w:szCs w:val="32"/>
        </w:rPr>
      </w:pPr>
      <w:r>
        <w:rPr>
          <w:rFonts w:hint="eastAsia" w:ascii="仿宋" w:hAnsi="仿宋" w:eastAsia="仿宋"/>
          <w:b/>
          <w:bCs/>
          <w:color w:val="000000"/>
          <w:kern w:val="0"/>
          <w:sz w:val="32"/>
          <w:szCs w:val="32"/>
        </w:rPr>
        <w:t>（十三）其他交通费用：</w:t>
      </w:r>
      <w:r>
        <w:rPr>
          <w:rFonts w:hint="eastAsia" w:ascii="仿宋" w:hAnsi="仿宋" w:eastAsia="仿宋"/>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 w:hAnsi="仿宋" w:eastAsia="仿宋"/>
          <w:color w:val="000000"/>
          <w:kern w:val="0"/>
          <w:sz w:val="32"/>
          <w:szCs w:val="32"/>
        </w:rPr>
      </w:pPr>
      <w:r>
        <w:rPr>
          <w:rFonts w:hint="eastAsia" w:ascii="仿宋" w:hAnsi="仿宋" w:eastAsia="仿宋"/>
          <w:b/>
          <w:bCs/>
          <w:color w:val="000000"/>
          <w:kern w:val="0"/>
          <w:sz w:val="32"/>
          <w:szCs w:val="32"/>
        </w:rPr>
        <w:t>（十四）公务用车购置：</w:t>
      </w:r>
      <w:r>
        <w:rPr>
          <w:rFonts w:hint="eastAsia" w:ascii="仿宋" w:hAnsi="仿宋" w:eastAsia="仿宋"/>
          <w:color w:val="000000"/>
          <w:kern w:val="0"/>
          <w:sz w:val="32"/>
          <w:szCs w:val="32"/>
        </w:rPr>
        <w:t>填列单位公务用车购置支出（含车辆购置税、牌照费）。</w:t>
      </w:r>
    </w:p>
    <w:p>
      <w:pPr>
        <w:widowControl/>
        <w:spacing w:after="0" w:line="560" w:lineRule="exact"/>
        <w:ind w:firstLine="643" w:firstLineChars="200"/>
        <w:rPr>
          <w:rFonts w:ascii="仿宋" w:hAnsi="仿宋" w:eastAsia="仿宋"/>
          <w:color w:val="000000"/>
          <w:kern w:val="0"/>
          <w:sz w:val="32"/>
          <w:szCs w:val="32"/>
        </w:rPr>
      </w:pPr>
      <w:r>
        <w:rPr>
          <w:rFonts w:hint="eastAsia" w:ascii="仿宋" w:hAnsi="仿宋" w:eastAsia="仿宋"/>
          <w:b/>
          <w:bCs/>
          <w:color w:val="000000"/>
          <w:kern w:val="0"/>
          <w:sz w:val="32"/>
          <w:szCs w:val="32"/>
        </w:rPr>
        <w:t>（十五）其他交通工具购置：</w:t>
      </w:r>
      <w:r>
        <w:rPr>
          <w:rFonts w:hint="eastAsia" w:ascii="仿宋" w:hAnsi="仿宋" w:eastAsia="仿宋"/>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 w:hAnsi="仿宋" w:eastAsia="仿宋"/>
          <w:color w:val="000000"/>
          <w:kern w:val="0"/>
          <w:sz w:val="32"/>
          <w:szCs w:val="32"/>
        </w:rPr>
      </w:pPr>
      <w:r>
        <w:rPr>
          <w:rFonts w:hint="eastAsia" w:ascii="仿宋" w:hAnsi="仿宋" w:eastAsia="仿宋"/>
          <w:b/>
          <w:bCs/>
          <w:color w:val="000000"/>
          <w:kern w:val="0"/>
          <w:sz w:val="32"/>
          <w:szCs w:val="32"/>
        </w:rPr>
        <w:t>（十六）机关运行经费：</w:t>
      </w:r>
      <w:r>
        <w:rPr>
          <w:rFonts w:hint="eastAsia" w:ascii="仿宋" w:hAnsi="仿宋" w:eastAsia="仿宋"/>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sectPr>
          <w:pgSz w:w="11906" w:h="16838"/>
          <w:pgMar w:top="2098" w:right="1474" w:bottom="1985" w:left="1588" w:header="851" w:footer="992" w:gutter="0"/>
          <w:pgBorders w:offsetFrom="page">
            <w:top w:val="dotted" w:color="FFFFFF" w:themeColor="background1" w:sz="4" w:space="24"/>
            <w:left w:val="dotted" w:color="FFFFFF" w:themeColor="background1" w:sz="4" w:space="24"/>
            <w:bottom w:val="dotted" w:color="FFFFFF" w:themeColor="background1" w:sz="4" w:space="24"/>
            <w:right w:val="dotted" w:color="FFFFFF" w:themeColor="background1" w:sz="4" w:space="24"/>
          </w:pgBorders>
          <w:cols w:space="720" w:num="1"/>
          <w:docGrid w:type="lines" w:linePitch="312" w:charSpace="0"/>
        </w:sectPr>
      </w:pPr>
      <w:r>
        <w:rPr>
          <w:rFonts w:hint="eastAsia" w:ascii="仿宋" w:hAnsi="仿宋" w:eastAsia="仿宋"/>
          <w:b/>
          <w:bCs/>
          <w:color w:val="000000"/>
          <w:kern w:val="0"/>
          <w:sz w:val="32"/>
          <w:szCs w:val="32"/>
        </w:rPr>
        <w:t>（十七）经费形式:</w:t>
      </w:r>
      <w:r>
        <w:rPr>
          <w:rFonts w:hint="eastAsia" w:ascii="仿宋" w:hAnsi="仿宋" w:eastAsia="仿宋"/>
          <w:color w:val="000000"/>
          <w:kern w:val="0"/>
          <w:sz w:val="32"/>
          <w:szCs w:val="32"/>
        </w:rPr>
        <w:t>按照经费来源，</w:t>
      </w:r>
      <w:r>
        <w:rPr>
          <w:rFonts w:hint="eastAsia" w:ascii="仿宋" w:hAnsi="仿宋" w:eastAsia="仿宋" w:cs="ArialUnicodeMS"/>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hAnsi="Cambria" w:eastAsia="仿宋_GB2312" w:cs="ArialUnicodeMS"/>
          <w:kern w:val="0"/>
          <w:sz w:val="32"/>
          <w:szCs w:val="32"/>
        </w:rPr>
      </w:pPr>
      <w:r>
        <w:rPr>
          <w:rFonts w:ascii="仿宋_GB2312" w:hAnsi="Cambria" w:eastAsia="仿宋_GB2312" w:cs="ArialUnicodeMS"/>
          <w:kern w:val="0"/>
          <w:sz w:val="32"/>
          <w:szCs w:val="32"/>
        </w:rPr>
        <w:pict>
          <v:shape id="图片 101" o:spid="_x0000_s1030" o:spt="75" type="#_x0000_t75" style="position:absolute;left:0pt;margin-left:-77.85pt;margin-top:-106.55pt;height:845.35pt;width:597.65pt;z-index:-251654144;mso-width-relative:page;mso-height-relative:page;" filled="f" o:preferrelative="t" stroked="f" coordsize="21600,21600">
            <v:path/>
            <v:fill on="f" focussize="0,0"/>
            <v:stroke on="f" joinstyle="miter"/>
            <v:imagedata r:id="rId11" o:title=""/>
            <o:lock v:ext="edit" aspectratio="t"/>
          </v:shape>
        </w:pict>
      </w:r>
    </w:p>
    <w:sectPr>
      <w:pgSz w:w="11906" w:h="16838"/>
      <w:pgMar w:top="2098" w:right="1474" w:bottom="1985" w:left="1588" w:header="851" w:footer="992" w:gutter="0"/>
      <w:pgBorders w:offsetFrom="page">
        <w:top w:val="dotted" w:color="FFFFFF" w:themeColor="background1" w:sz="4" w:space="24"/>
        <w:left w:val="dotted" w:color="FFFFFF" w:themeColor="background1" w:sz="4" w:space="24"/>
        <w:bottom w:val="dotted" w:color="FFFFFF" w:themeColor="background1" w:sz="4" w:space="24"/>
        <w:right w:val="dotted" w:color="FFFFFF" w:themeColor="background1" w:sz="4" w:space="24"/>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S-UIGothic,Bold">
    <w:altName w:val="Malgun Gothic"/>
    <w:panose1 w:val="00000000000000000000"/>
    <w:charset w:val="81"/>
    <w:family w:val="auto"/>
    <w:pitch w:val="default"/>
    <w:sig w:usb0="00000000" w:usb1="00000000" w:usb2="00000010" w:usb3="00000000" w:csb0="00080000" w:csb1="00000000"/>
  </w:font>
  <w:font w:name="Arial">
    <w:panose1 w:val="020B0604020202020204"/>
    <w:charset w:val="00"/>
    <w:family w:val="swiss"/>
    <w:pitch w:val="default"/>
    <w:sig w:usb0="E0002AFF" w:usb1="C0007843" w:usb2="00000009" w:usb3="00000000" w:csb0="400001FF" w:csb1="FFFF0000"/>
  </w:font>
  <w:font w:name="仿宋">
    <w:panose1 w:val="02010609060101010101"/>
    <w:charset w:val="86"/>
    <w:family w:val="modern"/>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A"/>
    <w:multiLevelType w:val="singleLevel"/>
    <w:tmpl w:val="0000000A"/>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592BF5"/>
    <w:rsid w:val="0009064F"/>
    <w:rsid w:val="000F5347"/>
    <w:rsid w:val="00121616"/>
    <w:rsid w:val="003E48DA"/>
    <w:rsid w:val="00480790"/>
    <w:rsid w:val="004961D7"/>
    <w:rsid w:val="004A4946"/>
    <w:rsid w:val="00592BF5"/>
    <w:rsid w:val="00732765"/>
    <w:rsid w:val="007755E0"/>
    <w:rsid w:val="0084017F"/>
    <w:rsid w:val="00910BE7"/>
    <w:rsid w:val="00A56591"/>
    <w:rsid w:val="00A5762D"/>
    <w:rsid w:val="00B21A71"/>
    <w:rsid w:val="00B419D5"/>
    <w:rsid w:val="03F82D73"/>
    <w:rsid w:val="119460EB"/>
    <w:rsid w:val="225F017A"/>
    <w:rsid w:val="2CF46DFA"/>
    <w:rsid w:val="32466B0F"/>
    <w:rsid w:val="4B43337B"/>
    <w:rsid w:val="51A4052A"/>
    <w:rsid w:val="7B191F23"/>
    <w:rsid w:val="7B384E4E"/>
    <w:rsid w:val="7F0B75A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3"/>
    <w:qFormat/>
    <w:uiPriority w:val="0"/>
    <w:pPr>
      <w:keepNext/>
      <w:keepLines/>
      <w:spacing w:before="260" w:after="260" w:line="416" w:lineRule="auto"/>
      <w:outlineLvl w:val="1"/>
    </w:pPr>
    <w:rPr>
      <w:rFonts w:ascii="Calibri" w:hAnsi="Calibri" w:cs="黑体"/>
      <w:b/>
      <w:bCs/>
      <w:sz w:val="32"/>
      <w:szCs w:val="32"/>
    </w:rPr>
  </w:style>
  <w:style w:type="paragraph" w:styleId="4">
    <w:name w:val="heading 3"/>
    <w:basedOn w:val="1"/>
    <w:next w:val="1"/>
    <w:link w:val="14"/>
    <w:qFormat/>
    <w:uiPriority w:val="0"/>
    <w:pPr>
      <w:keepNext/>
      <w:keepLines/>
      <w:spacing w:before="260" w:after="260" w:line="416" w:lineRule="auto"/>
      <w:outlineLvl w:val="2"/>
    </w:pPr>
    <w:rPr>
      <w:b/>
      <w:bCs/>
      <w:sz w:val="32"/>
      <w:szCs w:val="32"/>
    </w:rPr>
  </w:style>
  <w:style w:type="paragraph" w:styleId="5">
    <w:name w:val="heading 4"/>
    <w:basedOn w:val="1"/>
    <w:next w:val="1"/>
    <w:link w:val="15"/>
    <w:uiPriority w:val="0"/>
    <w:pPr>
      <w:keepNext/>
      <w:keepLines/>
      <w:spacing w:before="280" w:after="290" w:line="376" w:lineRule="auto"/>
      <w:outlineLvl w:val="3"/>
    </w:pPr>
    <w:rPr>
      <w:rFonts w:ascii="Calibri" w:hAnsi="Calibri" w:cs="黑体"/>
      <w:b/>
      <w:bCs/>
      <w:sz w:val="28"/>
      <w:szCs w:val="28"/>
    </w:rPr>
  </w:style>
  <w:style w:type="character" w:default="1" w:styleId="11">
    <w:name w:val="Default Paragraph Font"/>
    <w:semiHidden/>
    <w:unhideWhenUsed/>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6">
    <w:name w:val="footer"/>
    <w:basedOn w:val="1"/>
    <w:link w:val="18"/>
    <w:uiPriority w:val="0"/>
    <w:pPr>
      <w:tabs>
        <w:tab w:val="center" w:pos="4153"/>
        <w:tab w:val="right" w:pos="8306"/>
      </w:tabs>
      <w:snapToGrid w:val="0"/>
      <w:jc w:val="left"/>
    </w:pPr>
    <w:rPr>
      <w:sz w:val="18"/>
      <w:szCs w:val="18"/>
    </w:rPr>
  </w:style>
  <w:style w:type="paragraph" w:styleId="7">
    <w:name w:val="header"/>
    <w:basedOn w:val="1"/>
    <w:link w:val="19"/>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20"/>
    <w:uiPriority w:val="0"/>
    <w:pPr>
      <w:widowControl/>
      <w:spacing w:after="200" w:line="276" w:lineRule="auto"/>
      <w:jc w:val="left"/>
    </w:pPr>
    <w:rPr>
      <w:rFonts w:ascii="Calibri" w:hAnsi="Calibri" w:cs="黑体"/>
      <w:i/>
      <w:iCs/>
      <w:color w:val="F0A22E"/>
      <w:spacing w:val="15"/>
      <w:kern w:val="0"/>
      <w:sz w:val="24"/>
    </w:rPr>
  </w:style>
  <w:style w:type="paragraph" w:styleId="9">
    <w:name w:val="Title"/>
    <w:basedOn w:val="1"/>
    <w:next w:val="1"/>
    <w:link w:val="21"/>
    <w:uiPriority w:val="0"/>
    <w:pPr>
      <w:widowControl/>
      <w:pBdr>
        <w:bottom w:val="single" w:color="F0A22E" w:sz="8" w:space="4"/>
      </w:pBdr>
      <w:spacing w:after="300"/>
      <w:contextualSpacing/>
      <w:jc w:val="left"/>
    </w:pPr>
    <w:rPr>
      <w:rFonts w:ascii="Calibri" w:hAnsi="Calibri" w:cs="黑体"/>
      <w:color w:val="392B23"/>
      <w:spacing w:val="5"/>
      <w:kern w:val="28"/>
      <w:sz w:val="52"/>
      <w:szCs w:val="52"/>
    </w:rPr>
  </w:style>
  <w:style w:type="character" w:customStyle="1" w:styleId="12">
    <w:name w:val="标题 1 Char"/>
    <w:link w:val="2"/>
    <w:semiHidden/>
    <w:uiPriority w:val="0"/>
    <w:rPr>
      <w:rFonts w:ascii="Times New Roman" w:hAnsi="Times New Roman" w:eastAsia="宋体" w:cs="Times New Roman"/>
      <w:b/>
      <w:bCs/>
      <w:kern w:val="44"/>
      <w:sz w:val="44"/>
      <w:szCs w:val="44"/>
    </w:rPr>
  </w:style>
  <w:style w:type="character" w:customStyle="1" w:styleId="13">
    <w:name w:val="标题 2 Char"/>
    <w:link w:val="3"/>
    <w:semiHidden/>
    <w:uiPriority w:val="0"/>
    <w:rPr>
      <w:rFonts w:ascii="Calibri" w:hAnsi="Calibri" w:eastAsia="宋体" w:cs="黑体"/>
      <w:b/>
      <w:bCs/>
      <w:sz w:val="32"/>
      <w:szCs w:val="32"/>
    </w:rPr>
  </w:style>
  <w:style w:type="character" w:customStyle="1" w:styleId="14">
    <w:name w:val="标题 3 Char"/>
    <w:link w:val="4"/>
    <w:semiHidden/>
    <w:uiPriority w:val="0"/>
    <w:rPr>
      <w:rFonts w:ascii="Times New Roman" w:hAnsi="Times New Roman" w:eastAsia="宋体" w:cs="Times New Roman"/>
      <w:b/>
      <w:bCs/>
      <w:sz w:val="32"/>
      <w:szCs w:val="32"/>
    </w:rPr>
  </w:style>
  <w:style w:type="character" w:customStyle="1" w:styleId="15">
    <w:name w:val="标题 4 Char"/>
    <w:link w:val="5"/>
    <w:semiHidden/>
    <w:uiPriority w:val="0"/>
    <w:rPr>
      <w:rFonts w:ascii="Calibri" w:hAnsi="Calibri" w:eastAsia="宋体" w:cs="黑体"/>
      <w:b/>
      <w:bCs/>
      <w:sz w:val="28"/>
      <w:szCs w:val="28"/>
    </w:rPr>
  </w:style>
  <w:style w:type="character" w:customStyle="1" w:styleId="16">
    <w:name w:val="日期 Char"/>
    <w:link w:val="17"/>
    <w:semiHidden/>
    <w:qFormat/>
    <w:uiPriority w:val="0"/>
    <w:rPr>
      <w:rFonts w:ascii="Times New Roman" w:hAnsi="Times New Roman" w:eastAsia="宋体" w:cs="Times New Roman"/>
      <w:szCs w:val="24"/>
    </w:rPr>
  </w:style>
  <w:style w:type="paragraph" w:customStyle="1" w:styleId="17">
    <w:name w:val="日期1"/>
    <w:basedOn w:val="1"/>
    <w:next w:val="1"/>
    <w:link w:val="16"/>
    <w:qFormat/>
    <w:uiPriority w:val="0"/>
    <w:pPr>
      <w:ind w:left="100" w:leftChars="2500"/>
    </w:pPr>
  </w:style>
  <w:style w:type="character" w:customStyle="1" w:styleId="18">
    <w:name w:val="页脚 Char"/>
    <w:link w:val="6"/>
    <w:semiHidden/>
    <w:qFormat/>
    <w:uiPriority w:val="0"/>
    <w:rPr>
      <w:sz w:val="18"/>
      <w:szCs w:val="18"/>
    </w:rPr>
  </w:style>
  <w:style w:type="character" w:customStyle="1" w:styleId="19">
    <w:name w:val="页眉 Char"/>
    <w:link w:val="7"/>
    <w:semiHidden/>
    <w:uiPriority w:val="0"/>
    <w:rPr>
      <w:sz w:val="18"/>
      <w:szCs w:val="18"/>
    </w:rPr>
  </w:style>
  <w:style w:type="character" w:customStyle="1" w:styleId="20">
    <w:name w:val="副标题 Char"/>
    <w:link w:val="8"/>
    <w:semiHidden/>
    <w:uiPriority w:val="0"/>
    <w:rPr>
      <w:rFonts w:ascii="Calibri" w:hAnsi="Calibri" w:eastAsia="宋体" w:cs="黑体"/>
      <w:i/>
      <w:iCs/>
      <w:color w:val="F0A22E"/>
      <w:spacing w:val="15"/>
      <w:kern w:val="0"/>
      <w:sz w:val="24"/>
      <w:szCs w:val="24"/>
    </w:rPr>
  </w:style>
  <w:style w:type="character" w:customStyle="1" w:styleId="21">
    <w:name w:val="标题 Char"/>
    <w:link w:val="9"/>
    <w:semiHidden/>
    <w:uiPriority w:val="0"/>
    <w:rPr>
      <w:rFonts w:ascii="Calibri" w:hAnsi="Calibri" w:eastAsia="宋体" w:cs="黑体"/>
      <w:color w:val="392B23"/>
      <w:spacing w:val="5"/>
      <w:kern w:val="28"/>
      <w:sz w:val="52"/>
      <w:szCs w:val="52"/>
    </w:rPr>
  </w:style>
  <w:style w:type="paragraph" w:customStyle="1" w:styleId="22">
    <w:name w:val="批注框文本 Char Char"/>
    <w:basedOn w:val="1"/>
    <w:link w:val="25"/>
    <w:uiPriority w:val="0"/>
    <w:rPr>
      <w:sz w:val="18"/>
      <w:szCs w:val="18"/>
    </w:rPr>
  </w:style>
  <w:style w:type="paragraph" w:customStyle="1" w:styleId="23">
    <w:name w:val="无间隔1"/>
    <w:link w:val="26"/>
    <w:uiPriority w:val="0"/>
    <w:pPr>
      <w:spacing w:after="160" w:line="480" w:lineRule="auto"/>
    </w:pPr>
    <w:rPr>
      <w:rFonts w:ascii="Times New Roman" w:hAnsi="Times New Roman" w:eastAsia="宋体" w:cs="Times New Roman"/>
      <w:sz w:val="22"/>
      <w:lang w:val="en-US" w:eastAsia="zh-CN" w:bidi="ar-SA"/>
    </w:rPr>
  </w:style>
  <w:style w:type="paragraph" w:customStyle="1" w:styleId="24">
    <w:name w:val="列出段落1"/>
    <w:basedOn w:val="1"/>
    <w:uiPriority w:val="0"/>
    <w:pPr>
      <w:ind w:firstLine="420" w:firstLineChars="200"/>
    </w:pPr>
  </w:style>
  <w:style w:type="character" w:customStyle="1" w:styleId="25">
    <w:name w:val="批注框文本 Char Char Char Char"/>
    <w:link w:val="22"/>
    <w:semiHidden/>
    <w:uiPriority w:val="0"/>
    <w:rPr>
      <w:rFonts w:ascii="Times New Roman" w:hAnsi="Times New Roman" w:eastAsia="宋体" w:cs="Times New Roman"/>
      <w:sz w:val="18"/>
      <w:szCs w:val="18"/>
    </w:rPr>
  </w:style>
  <w:style w:type="character" w:customStyle="1" w:styleId="26">
    <w:name w:val="无间隔 Char"/>
    <w:link w:val="23"/>
    <w:semiHidden/>
    <w:qFormat/>
    <w:uiPriority w:val="0"/>
    <w:rPr>
      <w:sz w:val="22"/>
      <w:lang w:val="en-US" w:eastAsia="zh-CN" w:bidi="ar-SA"/>
    </w:rPr>
  </w:style>
  <w:style w:type="character" w:customStyle="1" w:styleId="27">
    <w:name w:val="Style1"/>
    <w:uiPriority w:val="0"/>
    <w:rPr>
      <w:rFonts w:ascii="Cambria" w:hAnsi="黑体" w:eastAsia="黑体" w:cs="黑体"/>
      <w:sz w:val="22"/>
      <w:szCs w:val="22"/>
      <w:lang w:eastAsia="zh-CN"/>
    </w:rPr>
  </w:style>
  <w:style w:type="character" w:customStyle="1" w:styleId="28">
    <w:name w:val="Style2"/>
    <w:uiPriority w:val="0"/>
    <w:rPr>
      <w:rFonts w:ascii="Cambria" w:hAnsi="黑体" w:eastAsia="黑体" w:cs="黑体"/>
      <w:sz w:val="22"/>
      <w:szCs w:val="22"/>
      <w:lang w:eastAsia="zh-CN"/>
    </w:rPr>
  </w:style>
  <w:style w:type="character" w:customStyle="1" w:styleId="29">
    <w:name w:val="Style3"/>
    <w:uiPriority w:val="0"/>
    <w:rPr>
      <w:rFonts w:ascii="Cambria" w:hAnsi="黑体" w:eastAsia="黑体" w:cs="黑体"/>
      <w:szCs w:val="22"/>
      <w:lang w:eastAsia="zh-CN"/>
    </w:rPr>
  </w:style>
  <w:style w:type="character" w:customStyle="1" w:styleId="30">
    <w:name w:val="Style4"/>
    <w:uiPriority w:val="0"/>
    <w:rPr>
      <w:rFonts w:ascii="Cambria" w:hAnsi="黑体" w:eastAsia="黑体" w:cs="黑体"/>
      <w:szCs w:val="22"/>
      <w:lang w:eastAsia="zh-CN"/>
    </w:rPr>
  </w:style>
  <w:style w:type="character" w:customStyle="1" w:styleId="31">
    <w:name w:val="Style5"/>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8.jpe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41"/>
    <customShpInfo spid="_x0000_s1031"/>
    <customShpInfo spid="_x0000_s1026"/>
    <customShpInfo spid="_x0000_s1032"/>
    <customShpInfo spid="_x0000_s1027"/>
    <customShpInfo spid="_x0000_s1033"/>
    <customShpInfo spid="_x0000_s1028"/>
    <customShpInfo spid="_x0000_s1034"/>
    <customShpInfo spid="_x0000_s1029"/>
    <customShpInfo spid="_x0000_s1035"/>
    <customShpInfo spid="_x0000_s103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30</Pages>
  <Words>1628</Words>
  <Characters>9281</Characters>
  <Lines>77</Lines>
  <Paragraphs>21</Paragraphs>
  <TotalTime>22</TotalTime>
  <ScaleCrop>false</ScaleCrop>
  <LinksUpToDate>false</LinksUpToDate>
  <CharactersWithSpaces>10888</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2019-08-29T16:40:00Z</dcterms:created>
  <dc:creator>User</dc:creator>
  <cp:lastModifiedBy>Administrator</cp:lastModifiedBy>
  <cp:lastPrinted>2019-08-03T09:01:00Z</cp:lastPrinted>
  <dcterms:modified xsi:type="dcterms:W3CDTF">2024-01-03T01:19:53Z</dcterms:modified>
  <dc:subject>石家庄市xxx部门</dc:subject>
  <dc:title>2017年度部门决算</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0224517B3B064A63A02BE453FBE4AD64</vt:lpwstr>
  </property>
</Properties>
</file>