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bookmarkStart w:id="0" w:name="_GoBack"/>
      <w:bookmarkEnd w:id="0"/>
      <w:r>
        <w:rPr>
          <w:rFonts w:ascii="黑体" w:hAnsi="宋体" w:eastAsia="黑体"/>
          <w:color w:val="002060"/>
          <w:sz w:val="72"/>
          <w:szCs w:val="72"/>
        </w:rPr>
        <w:pict>
          <v:shape id="图片 7" o:spid="_x0000_s1041" o:spt="75" type="#_x0000_t75" style="position:absolute;left:0pt;margin-left:-78.75pt;margin-top:-106.7pt;height:850.15pt;width:596.6pt;z-index:-251658240;mso-width-relative:page;mso-height-relative:page;" filled="f" o:preferrelative="t" stroked="f" coordsize="21600,21600">
            <v:path/>
            <v:fill on="f" focussize="0,0"/>
            <v:stroke on="f" joinstyle="miter"/>
            <v:imagedata r:id="rId4" o:title=""/>
            <o:lock v:ext="edit" aspectratio="t"/>
          </v:shape>
        </w:pict>
      </w:r>
    </w:p>
    <w:p>
      <w:pPr>
        <w:widowControl/>
        <w:jc w:val="center"/>
        <w:rPr>
          <w:rFonts w:ascii="黑体" w:hAnsi="宋体" w:eastAsia="黑体"/>
          <w:color w:val="002060"/>
          <w:sz w:val="72"/>
          <w:szCs w:val="72"/>
        </w:rPr>
      </w:pPr>
      <w:r>
        <w:rPr>
          <w:sz w:val="72"/>
        </w:rPr>
        <w:pict>
          <v:rect id="文本框 8" o:spid="_x0000_s1026" o:spt="1" style="position:absolute;left:0pt;margin-left:-83.1pt;margin-top:43.25pt;height:166.25pt;width:596.2pt;z-index:251653120;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无极县商务局</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rect>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sectPr>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widowControl/>
        <w:spacing w:after="0" w:line="600" w:lineRule="exact"/>
        <w:jc w:val="left"/>
        <w:rPr>
          <w:rFonts w:ascii="楷体_GB2312" w:hAnsi="楷体" w:eastAsia="楷体_GB2312" w:cs="楷体"/>
          <w:sz w:val="32"/>
          <w:szCs w:val="32"/>
          <w:highlight w:val="yellow"/>
        </w:rPr>
      </w:pP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80" w:firstLineChars="400"/>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无极县商务局</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r>
        <w:rPr>
          <w:rFonts w:ascii="宋体" w:hAnsi="宋体" w:cs="ArialUnicodeMS"/>
          <w:color w:val="000000"/>
          <w:kern w:val="0"/>
        </w:rPr>
        <w:pict>
          <v:shape id="图片 12" o:spid="_x0000_s1027" o:spt="75" type="#_x0000_t75" style="position:absolute;left:0pt;margin-left:-80.7pt;margin-top:-105.5pt;height:844.65pt;width:597.3pt;z-index:-251658240;mso-width-relative:page;mso-height-relative:page;" filled="f" o:preferrelative="t" stroked="f" coordsize="21600,21600">
            <v:path/>
            <v:fill on="f" focussize="0,0"/>
            <v:stroke on="f" joinstyle="miter"/>
            <v:imagedata r:id="rId5" o:title=""/>
            <o:lock v:ext="edit" aspectratio="t"/>
          </v:shape>
        </w:pict>
      </w:r>
    </w:p>
    <w:p>
      <w:r>
        <w:rPr>
          <w:sz w:val="72"/>
        </w:rPr>
        <w:pict>
          <v:rect id="文本框 118" o:spid="_x0000_s1035" o:spt="1" style="position:absolute;left:0pt;margin-left:-97.3pt;margin-top:259.1pt;height:81.7pt;width:613.65pt;z-index:251654144;mso-width-relative:page;mso-height-relative:page;" filled="f" o:preferrelative="t" stroked="f" coordsize="21600,21600">
            <v:path/>
            <v:fill on="f" focussize="0,0"/>
            <v:stroke on="f"/>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  部门概况</w:t>
                  </w:r>
                </w:p>
              </w:txbxContent>
            </v:textbox>
          </v:rect>
        </w:pict>
      </w:r>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1、内贸服务管理。牵头整顿和规范市场秩序工作。贯彻落实国家和省有关商务综合执法监督管理的政策．依法行政，对商务政策落实进行监督管理，促进商贸流通市场健康发展。负责对成品油进行管理。强化报废机动车回收拆解、旧机动车交易管理。加快发展内贸流通业，引导生产、扩大消费，进一步促进全县经济的持续稳定增长，发挥内贸流通在经济发展中的基础性和先导性作用。</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城乡市场建设。完成省、市政府下达的社会消费品零售总额增幅目标。确保生活必需品不出现大规模脱销断档，加强市场监测和预警能力，保障全县生活必需品市场平稳运行，对成品油流通进行管理。建立起以功能聚集的农产品批发市场为中心，以绿色便捷的农产品零售市场为基础，以高效规范的电子商务等新型市场为重要补充，有形无形市场相结合的农产品市场体系。</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3、商贸物流服务管理。指导协调全县商贸物流园区、物流配送中心和重点商贸物流项目建设；推进现代物流技术、信息化技术和物流标准化在商贸流通领域应用；组织开展城市共同配送工作；指导全县商贸物流工作。推进商贸物流标准化建设，提升现代化、信息化水平。</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4、电子商务产业发展。研究拟订全县商务信息建设规划，为全县网上贸易和网上招商活动提供网络平台；负责商务公共信息服务网络体系建设；组织推进电子商务创新发展；组织商务领域信息化培训和交流；促进电子商务领域招商引资和技术交流，推进电子商务特色产业平台建设，发挥电子商务对区域经济转型升级的助推引领作用。</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5、外经贸服务管理。负责涉外商务事宜，协调商品进出口工作；负责各类进出口统计、分析工作；负责对外贸易进出口企业各项支持资金的初步审核；负责全县外国投资企业的设立、变更和外商投资企业开设店铺的初步审核；为外商投资企业提供政策、法规等方面的咨询服务；负责直销业相关政策、规章的实施。</w:t>
      </w:r>
    </w:p>
    <w:p>
      <w:pPr>
        <w:spacing w:after="240" w:line="56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6、商务政务管理。负责商务系统综合事务管理。做好商贸领域法规政策执行、商务综合执法、国有企业改革、信访稳定、安全保卫、新闻宣传和信息管理等工作。做好会议培训组织，内部信息化建设与维护，财务和资产管理，标准化建设，人事、党务</w:t>
      </w:r>
      <w:r>
        <w:rPr>
          <w:rFonts w:hint="eastAsia" w:ascii="仿宋_GB2312" w:hAnsi="仿宋_GB2312" w:eastAsia="仿宋_GB2312" w:cs="仿宋_GB2312"/>
          <w:sz w:val="32"/>
          <w:szCs w:val="32"/>
          <w:lang w:eastAsia="zh-CN"/>
        </w:rPr>
        <w:t>以及/</w:t>
      </w:r>
      <w:r>
        <w:rPr>
          <w:rFonts w:hint="eastAsia" w:ascii="仿宋_GB2312" w:hAnsi="仿宋_GB2312" w:eastAsia="仿宋_GB2312" w:cs="仿宋_GB2312"/>
          <w:sz w:val="32"/>
          <w:szCs w:val="32"/>
        </w:rPr>
        <w:t xml:space="preserve">下属事业单位管理工作。 </w:t>
      </w:r>
    </w:p>
    <w:p>
      <w:pPr>
        <w:spacing w:after="240" w:line="560" w:lineRule="exact"/>
        <w:ind w:left="1" w:firstLine="508" w:firstLineChars="159"/>
        <w:rPr>
          <w:rFonts w:ascii="仿宋_GB2312" w:hAnsi="仿宋_GB2312" w:eastAsia="仿宋_GB2312" w:cs="仿宋_GB2312"/>
          <w:sz w:val="32"/>
          <w:szCs w:val="32"/>
        </w:rPr>
      </w:pPr>
    </w:p>
    <w:p>
      <w:pPr>
        <w:spacing w:after="240" w:line="560" w:lineRule="exact"/>
        <w:ind w:left="1" w:firstLine="508" w:firstLineChars="159"/>
        <w:rPr>
          <w:rFonts w:ascii="仿宋_GB2312" w:hAnsi="仿宋_GB2312" w:eastAsia="仿宋_GB2312" w:cs="仿宋_GB2312"/>
          <w:sz w:val="32"/>
          <w:szCs w:val="32"/>
        </w:rPr>
      </w:pPr>
    </w:p>
    <w:p>
      <w:pPr>
        <w:spacing w:after="240" w:line="560" w:lineRule="exact"/>
        <w:ind w:left="1" w:firstLine="508" w:firstLineChars="159"/>
        <w:rPr>
          <w:rFonts w:ascii="仿宋_GB2312" w:hAnsi="仿宋_GB2312" w:eastAsia="仿宋_GB2312" w:cs="仿宋_GB2312"/>
          <w:sz w:val="32"/>
          <w:szCs w:val="32"/>
        </w:rPr>
      </w:pPr>
    </w:p>
    <w:p>
      <w:pPr>
        <w:spacing w:after="240" w:line="560" w:lineRule="exact"/>
        <w:ind w:left="1" w:firstLine="508" w:firstLineChars="159"/>
        <w:rPr>
          <w:rFonts w:ascii="仿宋_GB2312" w:hAnsi="仿宋_GB2312" w:eastAsia="仿宋_GB2312" w:cs="仿宋_GB2312"/>
          <w:sz w:val="32"/>
          <w:szCs w:val="32"/>
        </w:rPr>
      </w:pPr>
    </w:p>
    <w:p>
      <w:pPr>
        <w:spacing w:after="240" w:line="360" w:lineRule="auto"/>
        <w:rPr>
          <w:rFonts w:ascii="黑体" w:hAnsi="Cambria" w:eastAsia="黑体" w:cs="黑体"/>
          <w:kern w:val="0"/>
          <w:sz w:val="32"/>
          <w:szCs w:val="32"/>
        </w:rPr>
      </w:pPr>
      <w:r>
        <w:rPr>
          <w:rFonts w:hint="eastAsia" w:ascii="黑体" w:hAnsi="Cambria" w:eastAsia="黑体" w:cs="黑体"/>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 2个，具体情况如下：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888"/>
        <w:gridCol w:w="22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888"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222"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vAlign w:val="center"/>
          </w:tcPr>
          <w:p>
            <w:pPr>
              <w:spacing w:line="300" w:lineRule="exact"/>
              <w:jc w:val="left"/>
              <w:rPr>
                <w:rFonts w:ascii="仿宋_GB2312" w:hAnsi="Cambria" w:eastAsia="仿宋_GB2312" w:cs="ArialUnicodeMS"/>
                <w:kern w:val="0"/>
                <w:sz w:val="28"/>
                <w:szCs w:val="28"/>
              </w:rPr>
            </w:pPr>
            <w:r>
              <w:rPr>
                <w:rFonts w:hint="eastAsia" w:ascii="仿宋_GB2312" w:hAnsi="仿宋" w:eastAsia="仿宋_GB2312" w:cs="仿宋"/>
                <w:sz w:val="32"/>
                <w:szCs w:val="32"/>
              </w:rPr>
              <w:t>无极县商务局</w:t>
            </w:r>
          </w:p>
        </w:tc>
        <w:tc>
          <w:tcPr>
            <w:tcW w:w="2888" w:type="dxa"/>
            <w:vAlign w:val="center"/>
          </w:tcPr>
          <w:p>
            <w:pPr>
              <w:spacing w:line="300" w:lineRule="exact"/>
              <w:jc w:val="center"/>
              <w:rPr>
                <w:rFonts w:ascii="仿宋_GB2312" w:hAnsi="Cambria" w:eastAsia="仿宋_GB2312" w:cs="ArialUnicodeMS"/>
                <w:kern w:val="0"/>
                <w:sz w:val="28"/>
                <w:szCs w:val="28"/>
              </w:rPr>
            </w:pPr>
            <w:r>
              <w:rPr>
                <w:rFonts w:hint="eastAsia" w:ascii="仿宋_GB2312" w:hAnsi="仿宋" w:eastAsia="仿宋_GB2312" w:cs="仿宋"/>
                <w:sz w:val="32"/>
                <w:szCs w:val="32"/>
              </w:rPr>
              <w:t>行政</w:t>
            </w:r>
          </w:p>
        </w:tc>
        <w:tc>
          <w:tcPr>
            <w:tcW w:w="2222" w:type="dxa"/>
            <w:vAlign w:val="center"/>
          </w:tcPr>
          <w:p>
            <w:pPr>
              <w:spacing w:line="300" w:lineRule="exact"/>
              <w:jc w:val="left"/>
              <w:rPr>
                <w:rFonts w:ascii="仿宋_GB2312" w:hAnsi="Cambria" w:eastAsia="仿宋_GB2312" w:cs="ArialUnicodeMS"/>
                <w:kern w:val="0"/>
                <w:sz w:val="28"/>
                <w:szCs w:val="28"/>
              </w:rPr>
            </w:pPr>
            <w:r>
              <w:rPr>
                <w:rFonts w:hint="eastAsia" w:ascii="仿宋_GB2312" w:hAnsi="仿宋" w:eastAsia="仿宋_GB2312" w:cs="仿宋"/>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2</w:t>
            </w:r>
          </w:p>
        </w:tc>
        <w:tc>
          <w:tcPr>
            <w:tcW w:w="3485" w:type="dxa"/>
            <w:vAlign w:val="center"/>
          </w:tcPr>
          <w:p>
            <w:pPr>
              <w:spacing w:line="300" w:lineRule="exact"/>
              <w:jc w:val="left"/>
              <w:rPr>
                <w:rFonts w:ascii="仿宋_GB2312" w:hAnsi="Cambria" w:eastAsia="仿宋_GB2312" w:cs="ArialUnicodeMS"/>
                <w:kern w:val="0"/>
                <w:sz w:val="28"/>
                <w:szCs w:val="28"/>
              </w:rPr>
            </w:pPr>
            <w:r>
              <w:rPr>
                <w:rFonts w:hint="eastAsia" w:ascii="仿宋_GB2312" w:hAnsi="仿宋" w:eastAsia="仿宋_GB2312" w:cs="仿宋"/>
                <w:sz w:val="32"/>
                <w:szCs w:val="32"/>
              </w:rPr>
              <w:t>无极县招商服务中心</w:t>
            </w:r>
          </w:p>
        </w:tc>
        <w:tc>
          <w:tcPr>
            <w:tcW w:w="2888" w:type="dxa"/>
            <w:vAlign w:val="center"/>
          </w:tcPr>
          <w:p>
            <w:pPr>
              <w:spacing w:line="300" w:lineRule="exact"/>
              <w:jc w:val="center"/>
              <w:rPr>
                <w:rFonts w:ascii="仿宋_GB2312" w:hAnsi="Cambria" w:eastAsia="仿宋_GB2312" w:cs="ArialUnicodeMS"/>
                <w:kern w:val="0"/>
                <w:sz w:val="28"/>
                <w:szCs w:val="28"/>
              </w:rPr>
            </w:pPr>
            <w:r>
              <w:rPr>
                <w:rFonts w:hint="eastAsia" w:ascii="仿宋_GB2312" w:hAnsi="仿宋" w:eastAsia="仿宋_GB2312" w:cs="仿宋"/>
                <w:sz w:val="32"/>
                <w:szCs w:val="32"/>
              </w:rPr>
              <w:t>全额事业</w:t>
            </w:r>
          </w:p>
        </w:tc>
        <w:tc>
          <w:tcPr>
            <w:tcW w:w="2222" w:type="dxa"/>
            <w:vAlign w:val="center"/>
          </w:tcPr>
          <w:p>
            <w:pPr>
              <w:spacing w:line="300" w:lineRule="exact"/>
              <w:jc w:val="left"/>
              <w:rPr>
                <w:rFonts w:ascii="仿宋_GB2312" w:hAnsi="Cambria" w:eastAsia="仿宋_GB2312" w:cs="ArialUnicodeMS"/>
                <w:kern w:val="0"/>
                <w:sz w:val="28"/>
                <w:szCs w:val="28"/>
              </w:rPr>
            </w:pPr>
            <w:r>
              <w:rPr>
                <w:rFonts w:hint="eastAsia" w:ascii="仿宋_GB2312" w:hAnsi="仿宋" w:eastAsia="仿宋_GB2312" w:cs="仿宋"/>
                <w:sz w:val="32"/>
                <w:szCs w:val="32"/>
              </w:rPr>
              <w:t>财政全额补助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jc w:val="left"/>
              <w:rPr>
                <w:rFonts w:ascii="仿宋_GB2312" w:hAnsi="Cambria" w:eastAsia="仿宋_GB2312" w:cs="ArialUnicodeMS"/>
                <w:kern w:val="0"/>
                <w:sz w:val="28"/>
                <w:szCs w:val="28"/>
              </w:rPr>
            </w:pPr>
          </w:p>
        </w:tc>
      </w:tr>
    </w:tbl>
    <w:p>
      <w:pPr>
        <w:spacing w:after="0"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sectPr>
          <w:pgSz w:w="11906" w:h="16838"/>
          <w:pgMar w:top="2098" w:right="1474" w:bottom="1984"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ascii="宋体" w:hAnsi="宋体" w:cs="ArialUnicodeMS"/>
          <w:color w:val="000000"/>
          <w:kern w:val="0"/>
        </w:rPr>
        <w:pict>
          <v:shape id="图片 16" o:spid="_x0000_s1029" o:spt="75" type="#_x0000_t75" style="position:absolute;left:0pt;margin-left:-80.6pt;margin-top:-103.75pt;height:840.95pt;width:596.15pt;z-index:-251657216;mso-width-relative:page;mso-height-relative:page;" filled="f" o:preferrelative="t" stroked="f" coordsize="21600,21600">
            <v:path/>
            <v:fill on="f" focussize="0,0"/>
            <v:stroke on="f" joinstyle="miter"/>
            <v:imagedata r:id="rId5" o:title=""/>
            <o:lock v:ext="edit" aspectratio="t"/>
          </v:shape>
        </w:pict>
      </w:r>
    </w:p>
    <w:p>
      <w:pPr>
        <w:widowControl/>
        <w:spacing w:line="560" w:lineRule="exact"/>
        <w:jc w:val="center"/>
        <w:rPr>
          <w:rFonts w:ascii="黑体" w:hAnsi="Cambria" w:eastAsia="黑体" w:cs="MS-UIGothic,Bold"/>
          <w:bCs/>
          <w:kern w:val="0"/>
          <w:sz w:val="52"/>
          <w:szCs w:val="52"/>
        </w:rPr>
      </w:pPr>
    </w:p>
    <w:p>
      <w:pPr>
        <w:rPr>
          <w:rFonts w:ascii="宋体" w:hAnsi="宋体" w:cs="ArialUnicodeMS"/>
          <w:color w:val="000000"/>
          <w:kern w:val="0"/>
        </w:rPr>
      </w:pPr>
    </w:p>
    <w:p>
      <w:pPr>
        <w:sectPr>
          <w:pgSz w:w="11906" w:h="16838"/>
          <w:pgMar w:top="2098" w:right="1474" w:bottom="1984" w:left="1588" w:header="851" w:footer="992" w:gutter="0"/>
          <w:cols w:space="720" w:num="1"/>
          <w:docGrid w:type="lines" w:linePitch="312" w:charSpace="0"/>
        </w:sectPr>
      </w:pPr>
      <w:r>
        <w:rPr>
          <w:sz w:val="72"/>
        </w:rPr>
        <w:pict>
          <v:rect id="文本框 17" o:spid="_x0000_s1028" o:spt="1" style="position:absolute;left:0pt;margin-left:-74.2pt;margin-top:120.3pt;height:159.1pt;width:596.2pt;z-index:251655168;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rect>
        </w:pict>
      </w:r>
    </w:p>
    <w:tbl>
      <w:tblPr>
        <w:tblStyle w:val="10"/>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部门：无极县商务局</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1395.09</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140.20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0.30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32.10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1260.12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441.23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1395.09</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1883.95</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513.86</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25.00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1908.95</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1908.95</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083" w:type="dxa"/>
        <w:jc w:val="center"/>
        <w:tblLayout w:type="fixed"/>
        <w:tblCellMar>
          <w:top w:w="0" w:type="dxa"/>
          <w:left w:w="0" w:type="dxa"/>
          <w:bottom w:w="0" w:type="dxa"/>
          <w:right w:w="0" w:type="dxa"/>
        </w:tblCellMar>
      </w:tblPr>
      <w:tblGrid>
        <w:gridCol w:w="335"/>
        <w:gridCol w:w="179"/>
        <w:gridCol w:w="520"/>
        <w:gridCol w:w="683"/>
        <w:gridCol w:w="635"/>
        <w:gridCol w:w="110"/>
        <w:gridCol w:w="325"/>
        <w:gridCol w:w="551"/>
        <w:gridCol w:w="90"/>
        <w:gridCol w:w="209"/>
        <w:gridCol w:w="606"/>
        <w:gridCol w:w="816"/>
        <w:gridCol w:w="348"/>
        <w:gridCol w:w="354"/>
        <w:gridCol w:w="113"/>
        <w:gridCol w:w="78"/>
        <w:gridCol w:w="81"/>
        <w:gridCol w:w="279"/>
        <w:gridCol w:w="377"/>
        <w:gridCol w:w="265"/>
        <w:gridCol w:w="8"/>
        <w:gridCol w:w="226"/>
        <w:gridCol w:w="599"/>
        <w:gridCol w:w="87"/>
        <w:gridCol w:w="190"/>
        <w:gridCol w:w="1006"/>
        <w:gridCol w:w="13"/>
      </w:tblGrid>
      <w:tr>
        <w:tblPrEx>
          <w:tblCellMar>
            <w:top w:w="0" w:type="dxa"/>
            <w:left w:w="0" w:type="dxa"/>
            <w:bottom w:w="0" w:type="dxa"/>
            <w:right w:w="0" w:type="dxa"/>
          </w:tblCellMar>
        </w:tblPrEx>
        <w:trPr>
          <w:gridAfter w:val="1"/>
          <w:wAfter w:w="13" w:type="dxa"/>
          <w:trHeight w:val="780" w:hRule="atLeast"/>
          <w:jc w:val="center"/>
        </w:trPr>
        <w:tc>
          <w:tcPr>
            <w:tcW w:w="9070" w:type="dxa"/>
            <w:gridSpan w:val="26"/>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986"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4"/>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8"/>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3338" w:type="dxa"/>
            <w:gridSpan w:val="8"/>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部门：无极县商务局</w:t>
            </w:r>
          </w:p>
        </w:tc>
        <w:tc>
          <w:tcPr>
            <w:tcW w:w="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4"/>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8"/>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13" w:type="dxa"/>
          <w:trHeight w:val="325" w:hRule="atLeast"/>
          <w:jc w:val="center"/>
        </w:trPr>
        <w:tc>
          <w:tcPr>
            <w:tcW w:w="3338" w:type="dxa"/>
            <w:gridSpan w:val="8"/>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05"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816"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348"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626" w:type="dxa"/>
            <w:gridSpan w:val="4"/>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3"/>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gridSpan w:val="4"/>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1196" w:type="dxa"/>
            <w:gridSpan w:val="2"/>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gridAfter w:val="1"/>
          <w:wAfter w:w="13" w:type="dxa"/>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304" w:type="dxa"/>
            <w:gridSpan w:val="5"/>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05"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816"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348"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626" w:type="dxa"/>
            <w:gridSpan w:val="4"/>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3"/>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4"/>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1196" w:type="dxa"/>
            <w:gridSpan w:val="2"/>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gridAfter w:val="1"/>
          <w:wAfter w:w="13" w:type="dxa"/>
          <w:trHeight w:val="283" w:hRule="atLeast"/>
          <w:jc w:val="center"/>
        </w:trPr>
        <w:tc>
          <w:tcPr>
            <w:tcW w:w="3338" w:type="dxa"/>
            <w:gridSpan w:val="8"/>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0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1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34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626"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119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gridAfter w:val="1"/>
          <w:wAfter w:w="13" w:type="dxa"/>
          <w:trHeight w:val="283" w:hRule="atLeast"/>
          <w:jc w:val="center"/>
        </w:trPr>
        <w:tc>
          <w:tcPr>
            <w:tcW w:w="3338" w:type="dxa"/>
            <w:gridSpan w:val="8"/>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05" w:type="dxa"/>
            <w:gridSpan w:val="3"/>
            <w:tcBorders>
              <w:top w:val="single" w:color="000000" w:sz="4" w:space="0"/>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1395.09</w:t>
            </w:r>
          </w:p>
        </w:tc>
        <w:tc>
          <w:tcPr>
            <w:tcW w:w="816" w:type="dxa"/>
            <w:tcBorders>
              <w:top w:val="single" w:color="000000" w:sz="4" w:space="0"/>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1395.09</w:t>
            </w:r>
          </w:p>
        </w:tc>
        <w:tc>
          <w:tcPr>
            <w:tcW w:w="348"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626" w:type="dxa"/>
            <w:gridSpan w:val="4"/>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4"/>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1196"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201</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一般公共服务支出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10.00</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10.00</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20113</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商贸事务</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10.00</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10.00</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2011308</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招商引资</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10.00</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10.00</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208</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社会保障和就业支出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140.12</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140.12</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20805</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行政事业单位离退休</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1.50</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tabs>
                <w:tab w:val="center" w:pos="457"/>
                <w:tab w:val="left" w:pos="586"/>
              </w:tabs>
              <w:spacing w:after="0" w:line="240" w:lineRule="atLeast"/>
              <w:jc w:val="center"/>
              <w:rPr>
                <w:rFonts w:ascii="宋体" w:hAnsi="宋体" w:cs="宋体"/>
                <w:color w:val="000000"/>
                <w:szCs w:val="21"/>
              </w:rPr>
            </w:pPr>
            <w:r>
              <w:rPr>
                <w:rFonts w:hint="eastAsia" w:ascii="宋体" w:hAnsi="宋体" w:cs="宋体"/>
                <w:color w:val="000000"/>
                <w:szCs w:val="21"/>
              </w:rPr>
              <w:t>1.50</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20800505</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机关单位养老保险支出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1.50</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1.50</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20808</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抚恤</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3.85</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3.85</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2080801</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死亡抚恤</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3.85</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3.85</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tabs>
                <w:tab w:val="center" w:pos="502"/>
              </w:tabs>
              <w:spacing w:after="0" w:line="240" w:lineRule="atLeast"/>
              <w:jc w:val="left"/>
              <w:rPr>
                <w:rFonts w:ascii="宋体" w:hAnsi="宋体" w:cs="宋体"/>
                <w:b/>
                <w:bCs/>
                <w:color w:val="000000"/>
                <w:szCs w:val="21"/>
              </w:rPr>
            </w:pPr>
            <w:r>
              <w:rPr>
                <w:rFonts w:hint="eastAsia" w:ascii="宋体" w:hAnsi="宋体" w:cs="宋体"/>
                <w:b/>
                <w:bCs/>
                <w:color w:val="000000"/>
                <w:szCs w:val="21"/>
              </w:rPr>
              <w:t>20899</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其他社会保障和就业支出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134.77</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134.77</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2089901</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其他社会保障和就业支出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134.77</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134.77</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210</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医疗卫生与计划生育支出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0.30</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0.30</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2100717</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kern w:val="0"/>
                <w:sz w:val="20"/>
                <w:szCs w:val="20"/>
              </w:rPr>
              <w:t>医疗卫生与计划生育支出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 w:val="20"/>
                <w:szCs w:val="20"/>
              </w:rPr>
              <w:t>0.30</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 w:val="20"/>
                <w:szCs w:val="20"/>
              </w:rPr>
              <w:t>0.30</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212</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kern w:val="0"/>
                <w:sz w:val="20"/>
                <w:szCs w:val="20"/>
              </w:rPr>
              <w:t>城乡社区支出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 w:val="20"/>
                <w:szCs w:val="20"/>
              </w:rPr>
              <w:t>32.10</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 w:val="20"/>
                <w:szCs w:val="20"/>
              </w:rPr>
              <w:t>32.10</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2120809</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支付破产或改制企业职工安置费</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32.10</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 w:val="20"/>
                <w:szCs w:val="20"/>
              </w:rPr>
            </w:pPr>
            <w:r>
              <w:rPr>
                <w:rFonts w:hint="eastAsia" w:ascii="宋体" w:hAnsi="宋体" w:cs="宋体"/>
                <w:color w:val="000000"/>
                <w:sz w:val="20"/>
                <w:szCs w:val="20"/>
              </w:rPr>
              <w:t>32.10</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216</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kern w:val="0"/>
                <w:sz w:val="20"/>
                <w:szCs w:val="20"/>
              </w:rPr>
              <w:t>商业服务业等支出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 w:val="20"/>
                <w:szCs w:val="20"/>
              </w:rPr>
              <w:t>1212.57</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 w:val="20"/>
                <w:szCs w:val="20"/>
              </w:rPr>
              <w:t>1212.57</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21602</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商业流通事物</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1210.68</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1210.68</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2160201</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753.68</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753.68</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2160202</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rPr>
              <w:t>一般</w:t>
            </w:r>
            <w:r>
              <w:rPr>
                <w:rFonts w:hint="eastAsia" w:ascii="宋体" w:hAnsi="宋体" w:cs="宋体"/>
                <w:color w:val="000000"/>
                <w:szCs w:val="21"/>
                <w:lang w:eastAsia="zh-CN"/>
              </w:rPr>
              <w:t>行政管理事务</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247.43</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247.43</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2160250</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事业运行</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139.60</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139.60</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2160299</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其他商业流通事物支出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69.97</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69.97</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21606</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涉外发展服务支出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1.89</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1.89</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2160699</w:t>
            </w:r>
          </w:p>
        </w:tc>
        <w:tc>
          <w:tcPr>
            <w:tcW w:w="2304"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其他涉外发展服务支出</w:t>
            </w:r>
          </w:p>
        </w:tc>
        <w:tc>
          <w:tcPr>
            <w:tcW w:w="905" w:type="dxa"/>
            <w:gridSpan w:val="3"/>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1.89</w:t>
            </w:r>
          </w:p>
        </w:tc>
        <w:tc>
          <w:tcPr>
            <w:tcW w:w="816" w:type="dxa"/>
            <w:tcBorders>
              <w:top w:val="nil"/>
              <w:left w:val="nil"/>
              <w:bottom w:val="single" w:color="000000" w:sz="4" w:space="0"/>
              <w:right w:val="single" w:color="000000" w:sz="4" w:space="0"/>
            </w:tcBorders>
            <w:tcMar>
              <w:top w:w="15" w:type="dxa"/>
              <w:left w:w="15" w:type="dxa"/>
              <w:right w:w="15" w:type="dxa"/>
            </w:tcMa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1.89</w:t>
            </w:r>
          </w:p>
        </w:tc>
        <w:tc>
          <w:tcPr>
            <w:tcW w:w="34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2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19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3" w:type="dxa"/>
          <w:trHeight w:val="283" w:hRule="atLeast"/>
          <w:jc w:val="center"/>
        </w:trPr>
        <w:tc>
          <w:tcPr>
            <w:tcW w:w="9070" w:type="dxa"/>
            <w:gridSpan w:val="26"/>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r>
        <w:tblPrEx>
          <w:tblCellMar>
            <w:top w:w="0" w:type="dxa"/>
            <w:left w:w="0" w:type="dxa"/>
            <w:bottom w:w="0" w:type="dxa"/>
            <w:right w:w="0" w:type="dxa"/>
          </w:tblCellMar>
        </w:tblPrEx>
        <w:trPr>
          <w:gridAfter w:val="1"/>
          <w:wAfter w:w="13" w:type="dxa"/>
          <w:trHeight w:val="152" w:hRule="atLeast"/>
          <w:jc w:val="center"/>
        </w:trPr>
        <w:tc>
          <w:tcPr>
            <w:tcW w:w="9070" w:type="dxa"/>
            <w:gridSpan w:val="26"/>
            <w:tcBorders>
              <w:top w:val="nil"/>
              <w:left w:val="nil"/>
              <w:bottom w:val="nil"/>
              <w:right w:val="nil"/>
            </w:tcBorders>
            <w:tcMar>
              <w:top w:w="15" w:type="dxa"/>
              <w:left w:w="15" w:type="dxa"/>
              <w:right w:w="15" w:type="dxa"/>
            </w:tcMar>
            <w:vAlign w:val="center"/>
          </w:tcPr>
          <w:p/>
          <w:tbl>
            <w:tblPr>
              <w:tblStyle w:val="10"/>
              <w:tblW w:w="9000" w:type="dxa"/>
              <w:tblInd w:w="0" w:type="dxa"/>
              <w:tblLayout w:type="fixed"/>
              <w:tblCellMar>
                <w:top w:w="0" w:type="dxa"/>
                <w:left w:w="0" w:type="dxa"/>
                <w:bottom w:w="0" w:type="dxa"/>
                <w:right w:w="0" w:type="dxa"/>
              </w:tblCellMar>
            </w:tblPr>
            <w:tblGrid>
              <w:gridCol w:w="290"/>
              <w:gridCol w:w="289"/>
              <w:gridCol w:w="332"/>
              <w:gridCol w:w="471"/>
              <w:gridCol w:w="1117"/>
              <w:gridCol w:w="1236"/>
              <w:gridCol w:w="825"/>
              <w:gridCol w:w="690"/>
              <w:gridCol w:w="134"/>
              <w:gridCol w:w="796"/>
              <w:gridCol w:w="322"/>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236"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2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451" w:hRule="atLeast"/>
              </w:trPr>
              <w:tc>
                <w:tcPr>
                  <w:tcW w:w="3735" w:type="dxa"/>
                  <w:gridSpan w:val="6"/>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部门：无极县商务局</w:t>
                  </w:r>
                </w:p>
              </w:tc>
              <w:tc>
                <w:tcPr>
                  <w:tcW w:w="8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2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73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25"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690"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930"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65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auto" w:sz="4" w:space="0"/>
                    <w:left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3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25"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90"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30"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5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227" w:hRule="exact"/>
              </w:trPr>
              <w:tc>
                <w:tcPr>
                  <w:tcW w:w="373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00" w:hRule="exact"/>
              </w:trPr>
              <w:tc>
                <w:tcPr>
                  <w:tcW w:w="373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1883.95</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792.17</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1091.78</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201</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一般公共服务支出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szCs w:val="21"/>
                    </w:rPr>
                  </w:pPr>
                  <w:r>
                    <w:rPr>
                      <w:rFonts w:hint="eastAsia" w:ascii="宋体" w:hAnsi="宋体" w:cs="宋体"/>
                      <w:b/>
                      <w:bCs/>
                      <w:color w:val="000000"/>
                      <w:szCs w:val="21"/>
                    </w:rPr>
                    <w:t>20113</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商贸事务</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rPr>
                      <w:rFonts w:ascii="宋体" w:hAnsi="宋体" w:cs="宋体"/>
                      <w:b/>
                      <w:bCs/>
                      <w:color w:val="000000"/>
                      <w:szCs w:val="21"/>
                    </w:rPr>
                  </w:pPr>
                  <w:r>
                    <w:rPr>
                      <w:rFonts w:hint="eastAsia" w:ascii="宋体" w:hAnsi="宋体" w:cs="宋体"/>
                      <w:b/>
                      <w:bCs/>
                      <w:color w:val="000000"/>
                      <w:szCs w:val="21"/>
                    </w:rPr>
                    <w:t>2011308</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招商引资</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208</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kern w:val="0"/>
                      <w:sz w:val="20"/>
                      <w:szCs w:val="20"/>
                    </w:rPr>
                    <w:t>社会保障和就业支出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140.20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5.43</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134.77</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行政事业单位离休费</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1.58</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1.58</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机关事业单位养老保险支出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1.50</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2080599</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其他行政事业单位离退休费</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0.08</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0.08</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抚恤</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3.85</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3.85</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死亡抚恤</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3.85</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3.85</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其他社会保障和就业支出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134.77</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134.77</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2088801</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其他社会保障和就业支出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134.77</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134.77</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医疗卫生与就业支出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0.30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0.30</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计划生育事务</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0.30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0.30</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计划生育服务</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 w:val="20"/>
                      <w:szCs w:val="20"/>
                    </w:rPr>
                    <w:t>0.30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 w:val="20"/>
                      <w:szCs w:val="20"/>
                    </w:rPr>
                    <w:t>0.30</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szCs w:val="21"/>
                    </w:rPr>
                    <w:t>212</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kern w:val="0"/>
                      <w:sz w:val="20"/>
                      <w:szCs w:val="20"/>
                    </w:rPr>
                    <w:t>城乡社区支出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 w:val="20"/>
                      <w:szCs w:val="20"/>
                    </w:rPr>
                    <w:t>32.10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32.10</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国有土地使用权出让收入及对应专项债务收入安排的支出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32.10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32.10</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2120809</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支付破产企业职工安置费</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32.10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32.10</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kern w:val="0"/>
                      <w:sz w:val="20"/>
                      <w:szCs w:val="20"/>
                    </w:rPr>
                    <w:t>商业服务业等支出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1260.12</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 w:val="20"/>
                      <w:szCs w:val="20"/>
                    </w:rPr>
                    <w:t>776.44</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483.68</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商业流通事务</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1258.23</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776.44</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481.79</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2160201</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行政运行</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792.42</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401.61</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390.81</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2160202</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一般行政管理事务</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247.43</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216.93</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30.50</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2160250</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事业运行</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139.60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139.60</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2160299</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其他商业流通事务支出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78.78</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18.30</w:t>
                  </w: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60.48</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21606</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涉外发展服务支出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1.89</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1.89</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2160699</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其他涉外发展服务支出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1.89</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1.89</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222</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b/>
                      <w:bCs/>
                      <w:color w:val="000000"/>
                      <w:kern w:val="0"/>
                      <w:sz w:val="20"/>
                      <w:szCs w:val="20"/>
                    </w:rPr>
                  </w:pPr>
                  <w:r>
                    <w:rPr>
                      <w:rFonts w:hint="eastAsia" w:ascii="宋体" w:hAnsi="宋体" w:cs="宋体"/>
                      <w:b/>
                      <w:bCs/>
                      <w:color w:val="000000"/>
                      <w:kern w:val="0"/>
                      <w:sz w:val="20"/>
                      <w:szCs w:val="20"/>
                    </w:rPr>
                    <w:t>粮油物资储备支出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441.23</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441.23</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22201</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b/>
                      <w:bCs/>
                      <w:color w:val="000000"/>
                      <w:kern w:val="0"/>
                      <w:sz w:val="20"/>
                      <w:szCs w:val="20"/>
                    </w:rPr>
                    <w:t>粮油事务</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rPr>
                    <w:t>441.23</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441.23</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11"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2220199</w:t>
                  </w:r>
                </w:p>
              </w:tc>
              <w:tc>
                <w:tcPr>
                  <w:tcW w:w="2824"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其他粮油事务支出</w:t>
                  </w:r>
                </w:p>
              </w:tc>
              <w:tc>
                <w:tcPr>
                  <w:tcW w:w="8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441.23</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3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441.23</w:t>
                  </w:r>
                </w:p>
              </w:tc>
              <w:tc>
                <w:tcPr>
                  <w:tcW w:w="65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00" w:hRule="exac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gridAfter w:val="1"/>
          <w:wAfter w:w="13" w:type="dxa"/>
          <w:trHeight w:val="90" w:hRule="atLeast"/>
          <w:jc w:val="center"/>
        </w:trPr>
        <w:tc>
          <w:tcPr>
            <w:tcW w:w="1717" w:type="dxa"/>
            <w:gridSpan w:val="4"/>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7"/>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4"/>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283"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gridAfter w:val="1"/>
          <w:wAfter w:w="13" w:type="dxa"/>
          <w:trHeight w:val="152" w:hRule="atLeast"/>
          <w:jc w:val="center"/>
        </w:trPr>
        <w:tc>
          <w:tcPr>
            <w:tcW w:w="6312" w:type="dxa"/>
            <w:gridSpan w:val="18"/>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部门：无极县商务局</w:t>
            </w:r>
          </w:p>
        </w:tc>
        <w:tc>
          <w:tcPr>
            <w:tcW w:w="650"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108" w:type="dxa"/>
            <w:gridSpan w:val="5"/>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gridAfter w:val="1"/>
          <w:wAfter w:w="13" w:type="dxa"/>
          <w:trHeight w:val="90" w:hRule="atLeast"/>
          <w:jc w:val="center"/>
        </w:trPr>
        <w:tc>
          <w:tcPr>
            <w:tcW w:w="2787" w:type="dxa"/>
            <w:gridSpan w:val="7"/>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283" w:type="dxa"/>
            <w:gridSpan w:val="1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gridAfter w:val="1"/>
          <w:wAfter w:w="13" w:type="dxa"/>
          <w:trHeight w:val="17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gridAfter w:val="1"/>
          <w:wAfter w:w="13" w:type="dxa"/>
          <w:trHeight w:val="12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1362.99</w:t>
            </w: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10.00</w:t>
            </w: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10.00</w:t>
            </w: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12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32.10</w:t>
            </w: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140.20</w:t>
            </w: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140.20</w:t>
            </w: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0.30</w:t>
            </w: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0.30</w:t>
            </w: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32.10</w:t>
            </w: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32.10</w:t>
            </w: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1260.12</w:t>
            </w: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1260.12</w:t>
            </w: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441.23</w:t>
            </w: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441.23</w:t>
            </w: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1395.09</w:t>
            </w: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1883.95</w:t>
            </w: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1851.85</w:t>
            </w: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32.10</w:t>
            </w:r>
          </w:p>
        </w:tc>
      </w:tr>
      <w:tr>
        <w:tblPrEx>
          <w:tblCellMar>
            <w:top w:w="0" w:type="dxa"/>
            <w:left w:w="0" w:type="dxa"/>
            <w:bottom w:w="0" w:type="dxa"/>
            <w:right w:w="0" w:type="dxa"/>
          </w:tblCellMar>
        </w:tblPrEx>
        <w:trPr>
          <w:gridAfter w:val="1"/>
          <w:wAfter w:w="13" w:type="dxa"/>
          <w:trHeight w:val="12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513.86</w:t>
            </w: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25.00</w:t>
            </w: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25.00</w:t>
            </w: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12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513.86</w:t>
            </w: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12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13" w:type="dxa"/>
          <w:trHeight w:val="90" w:hRule="atLeast"/>
          <w:jc w:val="center"/>
        </w:trPr>
        <w:tc>
          <w:tcPr>
            <w:tcW w:w="2462"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1908.95</w:t>
            </w:r>
          </w:p>
        </w:tc>
        <w:tc>
          <w:tcPr>
            <w:tcW w:w="2315"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1908.95</w:t>
            </w:r>
          </w:p>
        </w:tc>
        <w:tc>
          <w:tcPr>
            <w:tcW w:w="876"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1876.85</w:t>
            </w:r>
          </w:p>
        </w:tc>
        <w:tc>
          <w:tcPr>
            <w:tcW w:w="100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32.10</w:t>
            </w:r>
          </w:p>
        </w:tc>
      </w:tr>
      <w:tr>
        <w:tblPrEx>
          <w:tblCellMar>
            <w:top w:w="0" w:type="dxa"/>
            <w:left w:w="0" w:type="dxa"/>
            <w:bottom w:w="0" w:type="dxa"/>
            <w:right w:w="0" w:type="dxa"/>
          </w:tblCellMar>
        </w:tblPrEx>
        <w:trPr>
          <w:gridAfter w:val="1"/>
          <w:wAfter w:w="13" w:type="dxa"/>
          <w:trHeight w:val="155" w:hRule="atLeast"/>
          <w:jc w:val="center"/>
        </w:trPr>
        <w:tc>
          <w:tcPr>
            <w:tcW w:w="9070" w:type="dxa"/>
            <w:gridSpan w:val="26"/>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180" w:type="dxa"/>
        <w:tblInd w:w="0" w:type="dxa"/>
        <w:tblLayout w:type="fixed"/>
        <w:tblCellMar>
          <w:top w:w="0" w:type="dxa"/>
          <w:left w:w="0" w:type="dxa"/>
          <w:bottom w:w="0" w:type="dxa"/>
          <w:right w:w="0" w:type="dxa"/>
        </w:tblCellMar>
      </w:tblPr>
      <w:tblGrid>
        <w:gridCol w:w="317"/>
        <w:gridCol w:w="241"/>
        <w:gridCol w:w="78"/>
        <w:gridCol w:w="357"/>
        <w:gridCol w:w="1162"/>
        <w:gridCol w:w="840"/>
        <w:gridCol w:w="107"/>
        <w:gridCol w:w="370"/>
        <w:gridCol w:w="375"/>
        <w:gridCol w:w="188"/>
        <w:gridCol w:w="986"/>
        <w:gridCol w:w="214"/>
        <w:gridCol w:w="504"/>
        <w:gridCol w:w="236"/>
        <w:gridCol w:w="560"/>
        <w:gridCol w:w="405"/>
        <w:gridCol w:w="1383"/>
        <w:gridCol w:w="537"/>
        <w:gridCol w:w="320"/>
      </w:tblGrid>
      <w:tr>
        <w:tblPrEx>
          <w:tblCellMar>
            <w:top w:w="0" w:type="dxa"/>
            <w:left w:w="0" w:type="dxa"/>
            <w:bottom w:w="0" w:type="dxa"/>
            <w:right w:w="0" w:type="dxa"/>
          </w:tblCellMar>
        </w:tblPrEx>
        <w:trPr>
          <w:gridAfter w:val="1"/>
          <w:wAfter w:w="320" w:type="dxa"/>
          <w:trHeight w:val="600" w:hRule="atLeast"/>
        </w:trPr>
        <w:tc>
          <w:tcPr>
            <w:tcW w:w="8860" w:type="dxa"/>
            <w:gridSpan w:val="18"/>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gridAfter w:val="1"/>
          <w:wAfter w:w="320" w:type="dxa"/>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4"/>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5"/>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gridAfter w:val="1"/>
          <w:wAfter w:w="320" w:type="dxa"/>
          <w:trHeight w:val="334" w:hRule="atLeast"/>
        </w:trPr>
        <w:tc>
          <w:tcPr>
            <w:tcW w:w="3847" w:type="dxa"/>
            <w:gridSpan w:val="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部门：无极县商务局</w:t>
            </w:r>
          </w:p>
        </w:tc>
        <w:tc>
          <w:tcPr>
            <w:tcW w:w="1892" w:type="dxa"/>
            <w:gridSpan w:val="4"/>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5"/>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320" w:type="dxa"/>
          <w:trHeight w:val="351" w:hRule="atLeast"/>
        </w:trPr>
        <w:tc>
          <w:tcPr>
            <w:tcW w:w="4035" w:type="dxa"/>
            <w:gridSpan w:val="10"/>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4825" w:type="dxa"/>
            <w:gridSpan w:val="8"/>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gridAfter w:val="1"/>
          <w:wAfter w:w="320" w:type="dxa"/>
          <w:trHeight w:val="334" w:hRule="atLeast"/>
        </w:trPr>
        <w:tc>
          <w:tcPr>
            <w:tcW w:w="993" w:type="dxa"/>
            <w:gridSpan w:val="4"/>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3042" w:type="dxa"/>
            <w:gridSpan w:val="6"/>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98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5"/>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gridAfter w:val="1"/>
          <w:wAfter w:w="320" w:type="dxa"/>
          <w:trHeight w:val="334" w:hRule="atLeast"/>
        </w:trPr>
        <w:tc>
          <w:tcPr>
            <w:tcW w:w="993"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3042" w:type="dxa"/>
            <w:gridSpan w:val="6"/>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8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5"/>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12" w:hRule="atLeast"/>
        </w:trPr>
        <w:tc>
          <w:tcPr>
            <w:tcW w:w="993" w:type="dxa"/>
            <w:gridSpan w:val="4"/>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3042" w:type="dxa"/>
            <w:gridSpan w:val="6"/>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8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5"/>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4035" w:type="dxa"/>
            <w:gridSpan w:val="10"/>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gridAfter w:val="1"/>
          <w:wAfter w:w="320" w:type="dxa"/>
          <w:trHeight w:val="329" w:hRule="atLeast"/>
        </w:trPr>
        <w:tc>
          <w:tcPr>
            <w:tcW w:w="4035" w:type="dxa"/>
            <w:gridSpan w:val="10"/>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1851.85</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792.17</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1059.68</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一般公共服务支出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20112</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商贸事务</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2011308</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招商引资</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10</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社会保障和就业支出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140.20</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5.43</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134.77</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行政事业单位离退休</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1.58</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1.58</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机关单位基本养老保险缴费支出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1.50</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1.50</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2080599</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其他行政事业单位离退休支出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0.08</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0.08</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抚恤</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3.85</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3.85</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死亡抚恤</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3.85</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3.85</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其他社会保障和就业支出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134.77</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134.77</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其他社会保障和就业支出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134.77</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134.77</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医疗卫生与计划生育支出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0.30</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0.30</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计划生育事务</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0.30</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0.30</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计划生育服务</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0.30</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0.30</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商业服务业等支出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1260.12</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776.44</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483.68</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商业流通事务</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1258.23</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776.44</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481.79</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2160201</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行政运行</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792.42</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401.61</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390.81</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2160202</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一般行政事务管理</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247.43</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216.93</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30.50</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2160250</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事业运行</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139.60</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139.60</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2160299</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其他商业事务流通支出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78.78</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18.30</w:t>
            </w: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60.48</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21606</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涉外发展服务支出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1.89</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1.89</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2160699</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其他涉外发展支出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1.89</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1.89</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222</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粮油物资储备支出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441.23</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441.23</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rPr>
                <w:rFonts w:ascii="宋体" w:hAnsi="宋体" w:cs="宋体"/>
                <w:color w:val="000000"/>
                <w:szCs w:val="21"/>
              </w:rPr>
            </w:pPr>
            <w:r>
              <w:rPr>
                <w:rFonts w:hint="eastAsia" w:ascii="宋体" w:hAnsi="宋体" w:cs="宋体"/>
                <w:color w:val="000000"/>
                <w:szCs w:val="21"/>
              </w:rPr>
              <w:t>22201</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粮油事务</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441.23</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441.23</w:t>
            </w:r>
          </w:p>
        </w:tc>
      </w:tr>
      <w:tr>
        <w:tblPrEx>
          <w:tblCellMar>
            <w:top w:w="0" w:type="dxa"/>
            <w:left w:w="0" w:type="dxa"/>
            <w:bottom w:w="0" w:type="dxa"/>
            <w:right w:w="0" w:type="dxa"/>
          </w:tblCellMar>
        </w:tblPrEx>
        <w:trPr>
          <w:gridAfter w:val="1"/>
          <w:wAfter w:w="320" w:type="dxa"/>
          <w:trHeight w:val="329" w:hRule="atLeast"/>
        </w:trPr>
        <w:tc>
          <w:tcPr>
            <w:tcW w:w="993"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2220199</w:t>
            </w:r>
          </w:p>
        </w:tc>
        <w:tc>
          <w:tcPr>
            <w:tcW w:w="3042" w:type="dxa"/>
            <w:gridSpan w:val="6"/>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其他粮油事务支出</w:t>
            </w:r>
          </w:p>
        </w:tc>
        <w:tc>
          <w:tcPr>
            <w:tcW w:w="9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441.23</w:t>
            </w:r>
          </w:p>
        </w:tc>
        <w:tc>
          <w:tcPr>
            <w:tcW w:w="1919"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441.23</w:t>
            </w:r>
          </w:p>
        </w:tc>
      </w:tr>
      <w:tr>
        <w:tblPrEx>
          <w:tblCellMar>
            <w:top w:w="0" w:type="dxa"/>
            <w:left w:w="0" w:type="dxa"/>
            <w:bottom w:w="0" w:type="dxa"/>
            <w:right w:w="0" w:type="dxa"/>
          </w:tblCellMar>
        </w:tblPrEx>
        <w:trPr>
          <w:gridAfter w:val="1"/>
          <w:wAfter w:w="320" w:type="dxa"/>
          <w:trHeight w:val="329" w:hRule="atLeast"/>
        </w:trPr>
        <w:tc>
          <w:tcPr>
            <w:tcW w:w="8860" w:type="dxa"/>
            <w:gridSpan w:val="18"/>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r>
        <w:tblPrEx>
          <w:tblCellMar>
            <w:top w:w="0" w:type="dxa"/>
            <w:left w:w="0" w:type="dxa"/>
            <w:bottom w:w="0" w:type="dxa"/>
            <w:right w:w="0" w:type="dxa"/>
          </w:tblCellMar>
        </w:tblPrEx>
        <w:trPr>
          <w:trHeight w:val="526" w:hRule="atLeast"/>
          <w:jc w:val="center"/>
        </w:trPr>
        <w:tc>
          <w:tcPr>
            <w:tcW w:w="9180" w:type="dxa"/>
            <w:gridSpan w:val="1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gridSpan w:val="3"/>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gridSpan w:val="4"/>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4"/>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12"/>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部门：无极县商务局</w:t>
            </w:r>
          </w:p>
        </w:tc>
        <w:tc>
          <w:tcPr>
            <w:tcW w:w="740"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4"/>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1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gridSpan w:val="2"/>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gridSpan w:val="3"/>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gridSpan w:val="4"/>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gridSpan w:val="2"/>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gridSpan w:val="3"/>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gridSpan w:val="4"/>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505.29</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228.99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295.03</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32.05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155.59</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5.35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52.2</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22.60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0.96</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1.50</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4.38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8.97</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24.08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22.32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57.89</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5.74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16.28</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15.02</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3.85</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22.45</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9.65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60.37</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0.30</w:t>
            </w: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12.61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0.85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gridSpan w:val="4"/>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563.18</w:t>
            </w:r>
          </w:p>
        </w:tc>
        <w:tc>
          <w:tcPr>
            <w:tcW w:w="5328" w:type="dxa"/>
            <w:gridSpan w:val="11"/>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228.99</w:t>
            </w:r>
          </w:p>
        </w:tc>
      </w:tr>
      <w:tr>
        <w:tblPrEx>
          <w:tblCellMar>
            <w:top w:w="0" w:type="dxa"/>
            <w:left w:w="0" w:type="dxa"/>
            <w:bottom w:w="0" w:type="dxa"/>
            <w:right w:w="0" w:type="dxa"/>
          </w:tblCellMar>
        </w:tblPrEx>
        <w:trPr>
          <w:trHeight w:val="277" w:hRule="atLeast"/>
          <w:jc w:val="center"/>
        </w:trPr>
        <w:tc>
          <w:tcPr>
            <w:tcW w:w="9180" w:type="dxa"/>
            <w:gridSpan w:val="1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部门：无极县商务局</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0" w:type="dxa"/>
        <w:tblLayout w:type="fixed"/>
        <w:tblCellMar>
          <w:top w:w="0" w:type="dxa"/>
          <w:left w:w="0" w:type="dxa"/>
          <w:bottom w:w="0" w:type="dxa"/>
          <w:right w:w="0" w:type="dxa"/>
        </w:tblCellMar>
      </w:tblPr>
      <w:tblGrid>
        <w:gridCol w:w="296"/>
        <w:gridCol w:w="191"/>
        <w:gridCol w:w="479"/>
        <w:gridCol w:w="669"/>
        <w:gridCol w:w="1151"/>
        <w:gridCol w:w="391"/>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部门：无极县商务局</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786"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39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820"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3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820"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3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820"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39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786"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786"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32.10</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32.10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b/>
                <w:color w:val="000000"/>
                <w:szCs w:val="21"/>
              </w:rPr>
            </w:pPr>
            <w:r>
              <w:rPr>
                <w:rFonts w:hint="eastAsia" w:ascii="宋体" w:hAnsi="宋体" w:cs="宋体"/>
                <w:b/>
                <w:color w:val="000000"/>
                <w:szCs w:val="21"/>
              </w:rPr>
              <w:t>32.10</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w:t>
            </w:r>
          </w:p>
        </w:tc>
        <w:tc>
          <w:tcPr>
            <w:tcW w:w="18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城乡社区支出</w:t>
            </w: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32.10</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32.10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32.10</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w:t>
            </w:r>
          </w:p>
        </w:tc>
        <w:tc>
          <w:tcPr>
            <w:tcW w:w="18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国有土地使用权出让收入对应专项债务收入的支出</w:t>
            </w: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32.10</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32.10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32.10</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8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8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8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8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8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8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8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8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3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编制单位：无极县商务局</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Cs w:val="21"/>
              </w:rPr>
              <w:t>注：</w:t>
            </w:r>
            <w:r>
              <w:rPr>
                <w:rFonts w:hint="eastAsia" w:ascii="Batang" w:hAnsi="Batang" w:eastAsia="Batang" w:cs="Arial"/>
                <w:color w:val="000000"/>
                <w:kern w:val="0"/>
                <w:sz w:val="18"/>
                <w:szCs w:val="18"/>
              </w:rPr>
              <w:t>本</w:t>
            </w:r>
            <w:r>
              <w:rPr>
                <w:rFonts w:hint="eastAsia" w:ascii="宋体" w:hAnsi="宋体" w:cs="宋体"/>
                <w:color w:val="000000"/>
                <w:kern w:val="0"/>
                <w:sz w:val="18"/>
                <w:szCs w:val="18"/>
              </w:rPr>
              <w:t>单</w:t>
            </w:r>
            <w:r>
              <w:rPr>
                <w:rFonts w:hint="eastAsia" w:ascii="Batang" w:hAnsi="Batang" w:eastAsia="Batang" w:cs="Batang"/>
                <w:color w:val="000000"/>
                <w:kern w:val="0"/>
                <w:sz w:val="18"/>
                <w:szCs w:val="18"/>
              </w:rPr>
              <w:t>位</w:t>
            </w:r>
            <w:r>
              <w:rPr>
                <w:rFonts w:hint="eastAsia" w:ascii="宋体" w:hAnsi="宋体" w:cs="宋体"/>
                <w:color w:val="000000"/>
                <w:kern w:val="0"/>
                <w:sz w:val="18"/>
                <w:szCs w:val="18"/>
              </w:rPr>
              <w:t>当</w:t>
            </w:r>
            <w:r>
              <w:rPr>
                <w:rFonts w:hint="eastAsia" w:ascii="Batang" w:hAnsi="Batang" w:eastAsia="Batang" w:cs="Batang"/>
                <w:color w:val="000000"/>
                <w:kern w:val="0"/>
                <w:sz w:val="18"/>
                <w:szCs w:val="18"/>
              </w:rPr>
              <w:t>年无</w:t>
            </w:r>
            <w:r>
              <w:rPr>
                <w:rFonts w:hint="eastAsia" w:ascii="宋体" w:hAnsi="宋体" w:cs="宋体"/>
                <w:color w:val="000000"/>
                <w:kern w:val="0"/>
                <w:sz w:val="18"/>
                <w:szCs w:val="18"/>
              </w:rPr>
              <w:t>国</w:t>
            </w:r>
            <w:r>
              <w:rPr>
                <w:rFonts w:hint="eastAsia" w:ascii="Batang" w:hAnsi="Batang" w:eastAsia="Batang" w:cs="Batang"/>
                <w:color w:val="000000"/>
                <w:kern w:val="0"/>
                <w:sz w:val="18"/>
                <w:szCs w:val="18"/>
              </w:rPr>
              <w:t>有</w:t>
            </w:r>
            <w:r>
              <w:rPr>
                <w:rFonts w:hint="eastAsia" w:ascii="宋体" w:hAnsi="宋体" w:cs="宋体"/>
                <w:color w:val="000000"/>
                <w:kern w:val="0"/>
                <w:sz w:val="18"/>
                <w:szCs w:val="18"/>
              </w:rPr>
              <w:t>资</w:t>
            </w:r>
            <w:r>
              <w:rPr>
                <w:rFonts w:hint="eastAsia" w:ascii="Batang" w:hAnsi="Batang" w:eastAsia="Batang" w:cs="Batang"/>
                <w:color w:val="000000"/>
                <w:kern w:val="0"/>
                <w:sz w:val="18"/>
                <w:szCs w:val="18"/>
              </w:rPr>
              <w:t>本</w:t>
            </w:r>
            <w:r>
              <w:rPr>
                <w:rFonts w:hint="eastAsia" w:ascii="宋体" w:hAnsi="宋体" w:cs="宋体"/>
                <w:color w:val="000000"/>
                <w:kern w:val="0"/>
                <w:sz w:val="18"/>
                <w:szCs w:val="18"/>
              </w:rPr>
              <w:t>经营预</w:t>
            </w:r>
            <w:r>
              <w:rPr>
                <w:rFonts w:hint="eastAsia" w:ascii="Batang" w:hAnsi="Batang" w:eastAsia="Batang" w:cs="Batang"/>
                <w:color w:val="000000"/>
                <w:kern w:val="0"/>
                <w:sz w:val="18"/>
                <w:szCs w:val="18"/>
              </w:rPr>
              <w:t>算</w:t>
            </w:r>
            <w:r>
              <w:rPr>
                <w:rFonts w:hint="eastAsia" w:ascii="宋体" w:hAnsi="宋体" w:cs="宋体"/>
                <w:color w:val="000000"/>
                <w:kern w:val="0"/>
                <w:sz w:val="18"/>
                <w:szCs w:val="18"/>
              </w:rPr>
              <w:t>财</w:t>
            </w:r>
            <w:r>
              <w:rPr>
                <w:rFonts w:hint="eastAsia" w:ascii="Batang" w:hAnsi="Batang" w:eastAsia="Batang" w:cs="Batang"/>
                <w:color w:val="000000"/>
                <w:kern w:val="0"/>
                <w:sz w:val="18"/>
                <w:szCs w:val="18"/>
              </w:rPr>
              <w:t>政</w:t>
            </w:r>
            <w:r>
              <w:rPr>
                <w:rFonts w:hint="eastAsia" w:ascii="宋体" w:hAnsi="宋体" w:cs="宋体"/>
                <w:color w:val="000000"/>
                <w:kern w:val="0"/>
                <w:sz w:val="18"/>
                <w:szCs w:val="18"/>
              </w:rPr>
              <w:t>拨</w:t>
            </w:r>
            <w:r>
              <w:rPr>
                <w:rFonts w:hint="eastAsia" w:ascii="Batang" w:hAnsi="Batang" w:eastAsia="Batang" w:cs="Batang"/>
                <w:color w:val="000000"/>
                <w:kern w:val="0"/>
                <w:sz w:val="18"/>
                <w:szCs w:val="18"/>
              </w:rPr>
              <w:t>款支出，按要求空表列示</w:t>
            </w:r>
            <w:r>
              <w:rPr>
                <w:rFonts w:hint="eastAsia" w:ascii="宋体" w:hAnsi="宋体" w:cs="宋体"/>
                <w:color w:val="000000"/>
                <w:kern w:val="0"/>
                <w:szCs w:val="21"/>
              </w:rPr>
              <w:t>。</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编制单位：无极县商务局</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157.59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157.59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157.59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79.00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79.00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79.00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78.59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78.59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78.59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155.31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155.31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155.31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77.00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77.00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77.00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78.31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78.31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78.31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hAnsi="宋体" w:eastAsia="仿宋_GB2312"/>
          <w:b/>
          <w:sz w:val="28"/>
          <w:szCs w:val="28"/>
          <w:highlight w:val="yellow"/>
        </w:rPr>
      </w:pPr>
    </w:p>
    <w:p/>
    <w:p/>
    <w:p/>
    <w:p/>
    <w:p>
      <w:pPr>
        <w:tabs>
          <w:tab w:val="left" w:pos="1086"/>
        </w:tabs>
        <w:jc w:val="left"/>
        <w:sectPr>
          <w:pgSz w:w="11906" w:h="16838"/>
          <w:pgMar w:top="2098" w:right="1474" w:bottom="1984" w:left="1588" w:header="851" w:footer="992" w:gutter="0"/>
          <w:cols w:space="720" w:num="1"/>
          <w:docGrid w:type="lines" w:linePitch="312" w:charSpace="0"/>
        </w:sectPr>
      </w:pPr>
      <w:r>
        <w:rPr>
          <w:rFonts w:hint="eastAsia"/>
        </w:rPr>
        <w:tab/>
      </w: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pict>
          <v:shape id="图片 4" o:spid="_x0000_s1031" o:spt="75" type="#_x0000_t75" style="position:absolute;left:0pt;margin-left:-79.45pt;margin-top:-103.85pt;height:840.95pt;width:594.5pt;z-index:-251656192;mso-width-relative:page;mso-height-relative:page;" filled="f" o:preferrelative="t" stroked="f" coordsize="21600,21600">
            <v:path/>
            <v:fill on="f" focussize="0,0"/>
            <v:stroke on="f" joinstyle="miter"/>
            <v:imagedata r:id="rId5" o:title=""/>
            <o:lock v:ext="edit" aspectratio="t"/>
          </v:shape>
        </w:pict>
      </w:r>
      <w:r>
        <w:rPr>
          <w:sz w:val="72"/>
        </w:rPr>
        <w:pict>
          <v:rect id="文本框 5" o:spid="_x0000_s1030" o:spt="1" style="position:absolute;left:0pt;margin-left:-78.7pt;margin-top:232.8pt;height:159.1pt;width:596.2pt;z-index:251656192;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rect>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本部门2018年度收支总计（含结转和结余）1908.95万元。与2017年度决算相比，收支各减少304.87万元，减少13.77 %，主要原因是今年项目比去年减少。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本部门2018年度本年收入合计1395.09万元，其中：财政拨款收入1395.09万元，占100%；事业收入0万元，占0%；经营收入0万元，占0%；其他收入0万元，占0%。如图所示：</w:t>
      </w:r>
    </w:p>
    <w:p>
      <w:pPr>
        <w:adjustRightInd w:val="0"/>
        <w:snapToGrid w:val="0"/>
        <w:spacing w:after="0" w:line="240" w:lineRule="auto"/>
        <w:rPr>
          <w:rFonts w:ascii="仿宋_GB2312" w:eastAsia="仿宋_GB2312" w:cs="DengXian-Regular"/>
          <w:sz w:val="32"/>
          <w:szCs w:val="32"/>
        </w:rPr>
      </w:pPr>
    </w:p>
    <w:p>
      <w:pPr>
        <w:adjustRightInd w:val="0"/>
        <w:snapToGrid w:val="0"/>
        <w:spacing w:after="0" w:line="240" w:lineRule="auto"/>
        <w:rPr>
          <w:rFonts w:ascii="仿宋_GB2312" w:eastAsia="仿宋_GB2312" w:cs="DengXian-Regular"/>
          <w:sz w:val="32"/>
          <w:szCs w:val="32"/>
        </w:rPr>
      </w:pPr>
      <w:r>
        <w:rPr>
          <w:rFonts w:ascii="仿宋_GB2312" w:eastAsia="仿宋_GB2312" w:cs="DengXian-Regular"/>
          <w:sz w:val="32"/>
          <w:szCs w:val="32"/>
        </w:rPr>
        <w:pict>
          <v:shape id="_x0000_i1025" o:spt="75" type="#_x0000_t75" style="height:210pt;width:354pt;" filled="f" o:preferrelative="t" stroked="f" coordsize="21600,21600">
            <v:path/>
            <v:fill on="f" focussize="0,0"/>
            <v:stroke on="f" joinstyle="miter"/>
            <v:imagedata r:id="rId6" o:title=""/>
            <o:lock v:ext="edit" aspectratio="t"/>
            <w10:wrap type="none"/>
            <w10:anchorlock/>
          </v:shape>
        </w:pic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本部门2018年度本年支出合计1883.95万元，其中：基本支出792.17万元，占42.05%；项目支出1091.78万元，占57.95%；经营支出0万元，占0%。如图所示：</w:t>
      </w:r>
    </w:p>
    <w:p>
      <w:pPr>
        <w:adjustRightInd w:val="0"/>
        <w:snapToGrid w:val="0"/>
        <w:spacing w:after="0" w:line="240" w:lineRule="auto"/>
        <w:rPr>
          <w:rFonts w:ascii="仿宋_GB2312" w:eastAsia="仿宋_GB2312" w:cs="DengXian-Regular"/>
          <w:sz w:val="32"/>
          <w:szCs w:val="32"/>
        </w:rPr>
      </w:pPr>
      <w:r>
        <w:rPr>
          <w:rFonts w:ascii="仿宋_GB2312" w:eastAsia="仿宋_GB2312" w:cs="DengXian-Regular"/>
          <w:sz w:val="32"/>
          <w:szCs w:val="32"/>
        </w:rPr>
        <w:pict>
          <v:shape id="_x0000_i1026" o:spt="75" type="#_x0000_t75" style="height:206.25pt;width:340.5pt;" filled="f" o:preferrelative="t" stroked="f" coordsize="21600,21600">
            <v:path/>
            <v:fill on="f" focussize="0,0"/>
            <v:stroke on="f" joinstyle="miter"/>
            <v:imagedata r:id="rId7" o:title=""/>
            <o:lock v:ext="edit" aspectratio="t"/>
            <w10:wrap type="none"/>
            <w10:anchorlock/>
          </v:shape>
        </w:pict>
      </w:r>
    </w:p>
    <w:p>
      <w:pPr>
        <w:pStyle w:val="3"/>
        <w:spacing w:before="0" w:after="0" w:line="580" w:lineRule="exact"/>
        <w:ind w:firstLine="960" w:firstLineChars="300"/>
        <w:rPr>
          <w:rFonts w:ascii="黑体" w:eastAsia="黑体"/>
          <w:b w:val="0"/>
          <w:bCs w:val="0"/>
        </w:rPr>
      </w:pPr>
      <w:r>
        <w:rPr>
          <w:rFonts w:hint="eastAsia" w:ascii="黑体" w:eastAsia="黑体"/>
          <w:b w:val="0"/>
          <w:bCs w:val="0"/>
        </w:rPr>
        <w:t>四、</w:t>
      </w:r>
      <w:r>
        <w:rPr>
          <w:rFonts w:hint="eastAsia" w:ascii="黑体" w:hAnsi="Cambria" w:eastAsia="黑体"/>
          <w:b w:val="0"/>
          <w:bCs w:val="0"/>
        </w:rPr>
        <w:t>财政</w:t>
      </w:r>
      <w:r>
        <w:rPr>
          <w:rFonts w:hint="eastAsia" w:ascii="黑体" w:eastAsia="黑体"/>
          <w:b w:val="0"/>
          <w:bCs w:val="0"/>
        </w:rPr>
        <w:t>拨款收入支出决算情况说明</w:t>
      </w:r>
    </w:p>
    <w:p>
      <w:pPr>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本部门2018年度财政拨款本年收入1395.09万元,比2017年度减少485.52万元，降低25.82%，主要是今年项目比去年减少；本年支出1883.95万元，增加483.76万元，增长34.55%，主要是商业流通支出及人员经费增加。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1362.99万元，比上年减少310.80万元；主要是今年项目减少；本年支出1883.95万元，比上年增加减少483.76万元，增长34.55%，主要是人员经费增加。政府性基金预算财政拨款本年收入32.10万元，比上年减少174.71万元，降低84.48%，主要原因是财政专项拨款减少；本年支出32.10万元，比上年减少174.71万元，降低84.48%，主要是财政专项拨款减少。</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r>
        <w:rPr>
          <w:rFonts w:ascii="仿宋_GB2312" w:eastAsia="仿宋_GB2312" w:cs="DengXian-Regular"/>
          <w:sz w:val="32"/>
          <w:szCs w:val="32"/>
        </w:rPr>
        <w:pict>
          <v:shape id="_x0000_i1027" o:spt="75" type="#_x0000_t75" style="height:243pt;width:367.5pt;" filled="f" o:preferrelative="t" stroked="f" coordsize="21600,21600">
            <v:path/>
            <v:fill on="f" focussize="0,0"/>
            <v:stroke on="f" joinstyle="miter"/>
            <v:imagedata r:id="rId8" o:title=""/>
            <o:lock v:ext="edit" aspectratio="t"/>
            <w10:wrap type="none"/>
            <w10:anchorlock/>
          </v:shape>
        </w:pict>
      </w:r>
    </w:p>
    <w:p>
      <w:pPr>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1395.09万元，完成年初预算的164.2%,比年初预算增加545.44万元，决算数大于预算数主要原因是商业流通支出及人员经费增加；本年支出1883.95万元，完成年初预算的221.73%,比年初预算增加1034.30万元，决算数大于预算数主要原因是主要是商业流通支出及人员经费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1362.99万元，完成年初预算160.42%，比年初预算增加513.34万元，主要是商业流通支出及人员经费增加；支出1851.85万元，完成年初预算217.95%，比年初预算增加1002.20万元，主要是商业流通支出增加。政府性基金预算财政拨款本年收入32.10万元，完成年初预算100%，比年初预算增加32.10万元，主要是财政专项拨款增加；支出32.10万元，完成年初预算100%，比年初预算增加32.10万元，主要是财政专项拨款增加。</w:t>
      </w:r>
    </w:p>
    <w:p>
      <w:pPr>
        <w:adjustRightInd w:val="0"/>
        <w:snapToGrid w:val="0"/>
        <w:spacing w:after="0" w:line="240" w:lineRule="auto"/>
        <w:ind w:firstLine="640" w:firstLineChars="200"/>
        <w:rPr>
          <w:rFonts w:ascii="仿宋_GB2312" w:eastAsia="仿宋_GB2312" w:cs="DengXian-Regular"/>
          <w:sz w:val="32"/>
          <w:szCs w:val="32"/>
          <w:highlight w:val="yellow"/>
        </w:rPr>
      </w:pPr>
      <w:r>
        <w:rPr>
          <w:rFonts w:ascii="仿宋_GB2312" w:eastAsia="仿宋_GB2312" w:cs="DengXian-Regular"/>
          <w:sz w:val="32"/>
          <w:szCs w:val="32"/>
          <w:highlight w:val="yellow"/>
        </w:rPr>
        <w:pict>
          <v:shape id="_x0000_i1028" o:spt="75" alt="图片4" type="#_x0000_t75" style="height:282.75pt;width:367.5pt;" filled="f" o:preferrelative="t" stroked="f" coordsize="21600,21600">
            <v:path/>
            <v:fill on="f" focussize="0,0"/>
            <v:stroke on="f" joinstyle="miter"/>
            <v:imagedata r:id="rId9" o:title="图片4"/>
            <o:lock v:ext="edit" aspectratio="t"/>
            <w10:wrap type="none"/>
            <w10:anchorlock/>
          </v:shape>
        </w:pict>
      </w:r>
    </w:p>
    <w:p>
      <w:pPr>
        <w:tabs>
          <w:tab w:val="left" w:pos="437"/>
        </w:tabs>
        <w:adjustRightInd w:val="0"/>
        <w:snapToGrid w:val="0"/>
        <w:spacing w:after="0" w:line="580" w:lineRule="exact"/>
        <w:rPr>
          <w:rFonts w:ascii="楷体_GB2312" w:eastAsia="楷体_GB2312" w:cs="DengXian-Bold"/>
          <w:b/>
          <w:bCs/>
          <w:sz w:val="32"/>
          <w:szCs w:val="32"/>
        </w:rPr>
      </w:pPr>
    </w:p>
    <w:p>
      <w:pPr>
        <w:tabs>
          <w:tab w:val="left" w:pos="437"/>
        </w:tabs>
        <w:adjustRightInd w:val="0"/>
        <w:snapToGrid w:val="0"/>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(三）财政拨款支出决算结构情况。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年度财政拨款支出1883.95万元，主要用于以下方面一般公共服务（类）支出10万元，占0.53%；公共安全类（类）支出0万元，占0%；教育（类）支出0万元，占0%；科学技术（类）支出0万元，占 0%；社会保障和就业（类）支出140.20万元，占7.44%；医疗卫生与计划生育支出0.30万元，占0.02%;城乡社区支出32.10万元，占1.7%；商业服务业等支出1260.12万元，占66.89%；粮油物资储备支出441.23万元，占23.42%。</w:t>
      </w:r>
    </w:p>
    <w:p>
      <w:pPr>
        <w:adjustRightInd w:val="0"/>
        <w:snapToGrid w:val="0"/>
        <w:spacing w:after="0" w:line="240" w:lineRule="auto"/>
        <w:rPr>
          <w:rFonts w:ascii="楷体_GB2312" w:eastAsia="楷体_GB2312" w:cs="DengXian-Bold"/>
          <w:b/>
          <w:bCs/>
          <w:sz w:val="32"/>
          <w:szCs w:val="32"/>
        </w:rPr>
      </w:pPr>
      <w:r>
        <w:rPr>
          <w:rFonts w:ascii="楷体_GB2312" w:eastAsia="楷体_GB2312" w:cs="DengXian-Bold"/>
          <w:b/>
          <w:bCs/>
          <w:sz w:val="32"/>
          <w:szCs w:val="32"/>
        </w:rPr>
        <w:pict>
          <v:shape id="_x0000_i1029" o:spt="75" alt="图片5" type="#_x0000_t75" style="height:375pt;width:351.75pt;" filled="f" o:preferrelative="t" stroked="f" coordsize="21600,21600">
            <v:path/>
            <v:fill on="f" focussize="0,0"/>
            <v:stroke on="f" joinstyle="miter"/>
            <v:imagedata r:id="rId10" o:title="图片5"/>
            <o:lock v:ext="edit" aspectratio="t"/>
            <w10:wrap type="none"/>
            <w10:anchorlock/>
          </v:shape>
        </w:pict>
      </w:r>
    </w:p>
    <w:p>
      <w:pPr>
        <w:adjustRightInd w:val="0"/>
        <w:snapToGrid w:val="0"/>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年度一般公共预算财政拨款基本支出792.17万元，其中：人员经费 563.18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228.99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仿宋_GB2312" w:hAnsi="Times New Roman" w:eastAsia="黑体" w:cs="DengXian-Regular"/>
          <w:b w:val="0"/>
          <w:bCs w:val="0"/>
          <w:highlight w:val="yellow"/>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“三公”经费支出共计2.80万元，</w:t>
      </w:r>
      <w:r>
        <w:rPr>
          <w:rFonts w:hint="eastAsia" w:ascii="仿宋_GB2312" w:eastAsia="仿宋_GB2312" w:cs="DengXian-Regular"/>
          <w:b/>
          <w:bCs/>
          <w:sz w:val="32"/>
          <w:szCs w:val="32"/>
        </w:rPr>
        <w:t>较年初预算减少0.20万元，降低6.67%，</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本部门2018年度因公出国（境）团组0个、共0人。因公出国（境）费支出较年初预算无增减变化,主要是未发生因公出国（境）费用。</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（二）公务用车购置及运行维护费支出2.80万元。</w:t>
      </w:r>
      <w:r>
        <w:rPr>
          <w:rFonts w:hint="eastAsia" w:ascii="仿宋_GB2312" w:eastAsia="仿宋_GB2312" w:cs="DengXian-Regular"/>
          <w:sz w:val="32"/>
          <w:szCs w:val="32"/>
        </w:rPr>
        <w:t>本部门2018年度公务用车购置及运行维护费2.80万元，较年初预算减少0.20万元，降低6.67%,主要是厉行节约、过紧日子。</w:t>
      </w:r>
      <w:r>
        <w:rPr>
          <w:rFonts w:hint="eastAsia" w:ascii="仿宋_GB2312"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本部门2018年度公务用车购置量0辆，发生“公务用车购置”经费支出0万元。公务用车购置费支出较年初预算增加0万元，增长0%,主要是未发生公务用车购置费，与年初预算及2017年度决算支出持平。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本部门2018年度单位公务用车保有量1辆。公车运行维护费支出2.80万元，较年初预算减少0.20万元，降低6.67%,主要是厉行节约、过紧日子。</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本部门2018年度公务接待共0批次、0人次。未发生公务接待费支出，与年初预算持平。</w:t>
      </w:r>
    </w:p>
    <w:p>
      <w:pPr>
        <w:adjustRightInd w:val="0"/>
        <w:snapToGrid w:val="0"/>
        <w:spacing w:after="0" w:line="580" w:lineRule="exact"/>
        <w:ind w:firstLine="640" w:firstLineChars="200"/>
        <w:rPr>
          <w:rFonts w:ascii="黑体" w:eastAsia="黑体"/>
          <w:sz w:val="32"/>
          <w:szCs w:val="32"/>
        </w:rPr>
      </w:pPr>
      <w:r>
        <w:rPr>
          <w:rFonts w:hint="eastAsia" w:ascii="黑体" w:eastAsia="黑体"/>
          <w:sz w:val="32"/>
          <w:szCs w:val="32"/>
        </w:rPr>
        <w:t>六、绩效预算情况说明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粮仓维修项目、幸福街便民市场升级改造、花园街市场整体搬迁改造等4个项目，涉及资金1091.78万元。从评价情况看，评价结果为优秀的项目有2个，良好的项目有2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粮仓维修项目绩效自评：根据年初设定的绩效目标，粮仓维修项目绩效自评结果为优秀。项目全年预算数为789万元，执行数为441.23万元，完成预算的55.92%。主要产出和效果是对各粮仓进行了维修。未发现其他问题。</w:t>
      </w:r>
    </w:p>
    <w:p>
      <w:pPr>
        <w:pStyle w:val="3"/>
        <w:spacing w:before="0" w:after="0" w:line="580" w:lineRule="exact"/>
        <w:ind w:firstLine="640" w:firstLineChars="200"/>
        <w:rPr>
          <w:rFonts w:ascii="黑体" w:eastAsia="黑体"/>
          <w:b w:val="0"/>
          <w:bCs w:val="0"/>
        </w:rPr>
      </w:pPr>
      <w:r>
        <w:rPr>
          <w:rFonts w:hint="eastAsia" w:ascii="黑体" w:eastAsia="黑体"/>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本部门2018年度机关运行经费支出228.98万元，比年初预算数增加194.94万元，增长85.13%。主要原因是创城创园期间印刷费用增加、环保驻场人员费用增加。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本部门2018年度政府采购支出总额155.31万元，从采购类型来看，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77</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78.31</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比上年持平。其中，副部（省）级及以上领导用车0辆，主要领导干部用车0辆，机要通信用车0辆，应急保障用车0辆，执法执勤用车1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万元以上通用设备0台（套），比上年增加0套，主要是本部门无通用设备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万元以上专用设备0台（套）比上年增加0套,主要是本部门无专用设备。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1、本部门2018年度国有资本经营财政拨款支出决算表无收支及结转结余情况，故国有资本经营财政拨款支出决算表以空表列示。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p>
    <w:p>
      <w:pPr>
        <w:rPr>
          <w:rFonts w:ascii="宋体" w:hAnsi="宋体" w:cs="ArialUnicodeMS"/>
          <w:color w:val="000000"/>
          <w:kern w:val="0"/>
        </w:rPr>
      </w:pPr>
      <w:r>
        <w:rPr>
          <w:rFonts w:ascii="宋体" w:hAnsi="宋体" w:cs="ArialUnicodeMS"/>
          <w:color w:val="000000"/>
          <w:kern w:val="0"/>
        </w:rPr>
        <w:pict>
          <v:shape id="图片 21" o:spid="_x0000_s1033" o:spt="75" type="#_x0000_t75" style="position:absolute;left:0pt;margin-left:-78.7pt;margin-top:-103.65pt;height:840.95pt;width:594.5pt;z-index:-251655168;mso-width-relative:page;mso-height-relative:page;" filled="f" o:preferrelative="t" stroked="f" coordsize="21600,21600">
            <v:path/>
            <v:fill on="f" focussize="0,0"/>
            <v:stroke on="f" joinstyle="miter"/>
            <v:imagedata r:id="rId5" o:title=""/>
            <o:lock v:ext="edit" aspectratio="t"/>
          </v:shape>
        </w:pict>
      </w:r>
    </w:p>
    <w:p>
      <w:pPr>
        <w:sectPr>
          <w:pgSz w:w="11906" w:h="16838"/>
          <w:pgMar w:top="2098" w:right="1474" w:bottom="1984" w:left="1588" w:header="851" w:footer="992" w:gutter="0"/>
          <w:cols w:space="720" w:num="1"/>
          <w:docGrid w:type="lines" w:linePitch="312" w:charSpace="0"/>
        </w:sectPr>
      </w:pPr>
      <w:r>
        <w:rPr>
          <w:sz w:val="72"/>
        </w:rPr>
        <w:pict>
          <v:rect id="文本框 22" o:spid="_x0000_s1032" o:spt="1" style="position:absolute;left:0pt;margin-left:-78.7pt;margin-top:232.8pt;height:159.1pt;width:596.2pt;z-index:251657216;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rect>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pict>
          <v:shape id="图片 101" o:spid="_x0000_s1034" o:spt="75" type="#_x0000_t75" style="position:absolute;left:0pt;margin-left:-78pt;margin-top:-106.7pt;height:845.35pt;width:597.65pt;z-index:-251654144;mso-width-relative:page;mso-height-relative:page;" filled="f" o:preferrelative="t" stroked="f" coordsize="21600,21600">
            <v:path/>
            <v:fill on="f" focussize="0,0"/>
            <v:stroke on="f" joinstyle="miter"/>
            <v:imagedata r:id="rId11" o:title=""/>
            <o:lock v:ext="edit" aspectratio="t"/>
          </v:shape>
        </w:pic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AFF" w:usb1="C0007843" w:usb2="00000009" w:usb3="00000000" w:csb0="400001FF" w:csb1="FFFF0000"/>
  </w:font>
  <w:font w:name="Batang">
    <w:panose1 w:val="02030600000101010101"/>
    <w:charset w:val="81"/>
    <w:family w:val="roman"/>
    <w:pitch w:val="default"/>
    <w:sig w:usb0="B00002AF" w:usb1="69D77CFB" w:usb2="00000030" w:usb3="00000000" w:csb0="4008009F" w:csb1="DFD7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DB5825"/>
    <w:rsid w:val="000953E0"/>
    <w:rsid w:val="000A7C23"/>
    <w:rsid w:val="00124199"/>
    <w:rsid w:val="002F2CA3"/>
    <w:rsid w:val="00337301"/>
    <w:rsid w:val="00374C98"/>
    <w:rsid w:val="0043114F"/>
    <w:rsid w:val="0043713A"/>
    <w:rsid w:val="00456147"/>
    <w:rsid w:val="0049750E"/>
    <w:rsid w:val="00503BE0"/>
    <w:rsid w:val="005A0D6D"/>
    <w:rsid w:val="00690805"/>
    <w:rsid w:val="0072540F"/>
    <w:rsid w:val="0074232E"/>
    <w:rsid w:val="00767244"/>
    <w:rsid w:val="00767B22"/>
    <w:rsid w:val="00784804"/>
    <w:rsid w:val="00870C83"/>
    <w:rsid w:val="008736BC"/>
    <w:rsid w:val="008A6130"/>
    <w:rsid w:val="00903EE5"/>
    <w:rsid w:val="009A43CB"/>
    <w:rsid w:val="009C2AF5"/>
    <w:rsid w:val="009D26B1"/>
    <w:rsid w:val="009D78B4"/>
    <w:rsid w:val="00A542DE"/>
    <w:rsid w:val="00AE14CC"/>
    <w:rsid w:val="00B42A10"/>
    <w:rsid w:val="00B56E90"/>
    <w:rsid w:val="00C20156"/>
    <w:rsid w:val="00C32237"/>
    <w:rsid w:val="00CF6FB9"/>
    <w:rsid w:val="00D07490"/>
    <w:rsid w:val="00D815FD"/>
    <w:rsid w:val="00DB5825"/>
    <w:rsid w:val="00DE1759"/>
    <w:rsid w:val="00EA67AC"/>
    <w:rsid w:val="00EB74BB"/>
    <w:rsid w:val="00FA196F"/>
    <w:rsid w:val="00FD6F6D"/>
    <w:rsid w:val="02A324ED"/>
    <w:rsid w:val="09677544"/>
    <w:rsid w:val="18317F78"/>
    <w:rsid w:val="19BA0C01"/>
    <w:rsid w:val="1ABC54F8"/>
    <w:rsid w:val="28E16DAA"/>
    <w:rsid w:val="2A930737"/>
    <w:rsid w:val="334579E9"/>
    <w:rsid w:val="35806CFA"/>
    <w:rsid w:val="3C3E0C7B"/>
    <w:rsid w:val="3D325C83"/>
    <w:rsid w:val="41EF004C"/>
    <w:rsid w:val="41F6370F"/>
    <w:rsid w:val="439B74A7"/>
    <w:rsid w:val="475406B8"/>
    <w:rsid w:val="4994447D"/>
    <w:rsid w:val="51F26148"/>
    <w:rsid w:val="5F6B12D4"/>
    <w:rsid w:val="657458B5"/>
    <w:rsid w:val="66B93CB8"/>
    <w:rsid w:val="73E557D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b/>
      <w:bCs/>
      <w:kern w:val="0"/>
      <w:sz w:val="32"/>
      <w:szCs w:val="32"/>
    </w:rPr>
  </w:style>
  <w:style w:type="paragraph" w:styleId="4">
    <w:name w:val="heading 3"/>
    <w:basedOn w:val="1"/>
    <w:next w:val="1"/>
    <w:link w:val="14"/>
    <w:qFormat/>
    <w:uiPriority w:val="0"/>
    <w:pPr>
      <w:keepNext/>
      <w:keepLines/>
      <w:spacing w:before="260" w:after="260" w:line="416" w:lineRule="auto"/>
      <w:outlineLvl w:val="2"/>
    </w:pPr>
    <w:rPr>
      <w:b/>
      <w:bCs/>
      <w:kern w:val="0"/>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b/>
      <w:bCs/>
      <w:kern w:val="0"/>
      <w:sz w:val="28"/>
      <w:szCs w:val="28"/>
    </w:rPr>
  </w:style>
  <w:style w:type="character" w:default="1" w:styleId="11">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20"/>
    <w:qFormat/>
    <w:uiPriority w:val="0"/>
    <w:pPr>
      <w:tabs>
        <w:tab w:val="center" w:pos="4153"/>
        <w:tab w:val="right" w:pos="8306"/>
      </w:tabs>
      <w:snapToGrid w:val="0"/>
      <w:jc w:val="left"/>
    </w:pPr>
    <w:rPr>
      <w:kern w:val="0"/>
      <w:sz w:val="18"/>
      <w:szCs w:val="18"/>
    </w:rPr>
  </w:style>
  <w:style w:type="paragraph" w:styleId="7">
    <w:name w:val="header"/>
    <w:basedOn w:val="1"/>
    <w:link w:val="21"/>
    <w:qFormat/>
    <w:uiPriority w:val="0"/>
    <w:pPr>
      <w:pBdr>
        <w:bottom w:val="single" w:color="auto" w:sz="6" w:space="1"/>
      </w:pBdr>
      <w:tabs>
        <w:tab w:val="center" w:pos="4153"/>
        <w:tab w:val="right" w:pos="8306"/>
      </w:tabs>
      <w:snapToGrid w:val="0"/>
      <w:jc w:val="center"/>
    </w:pPr>
    <w:rPr>
      <w:kern w:val="0"/>
      <w:sz w:val="18"/>
      <w:szCs w:val="18"/>
    </w:rPr>
  </w:style>
  <w:style w:type="paragraph" w:styleId="8">
    <w:name w:val="Subtitle"/>
    <w:basedOn w:val="1"/>
    <w:next w:val="1"/>
    <w:link w:val="22"/>
    <w:qFormat/>
    <w:uiPriority w:val="0"/>
    <w:pPr>
      <w:widowControl/>
      <w:spacing w:after="200" w:line="276" w:lineRule="auto"/>
      <w:jc w:val="left"/>
    </w:pPr>
    <w:rPr>
      <w:rFonts w:ascii="Calibri" w:hAnsi="Calibri"/>
      <w:i/>
      <w:iCs/>
      <w:color w:val="F0A22E"/>
      <w:spacing w:val="15"/>
      <w:kern w:val="0"/>
      <w:sz w:val="24"/>
    </w:rPr>
  </w:style>
  <w:style w:type="paragraph" w:styleId="9">
    <w:name w:val="Title"/>
    <w:basedOn w:val="1"/>
    <w:next w:val="1"/>
    <w:link w:val="23"/>
    <w:qFormat/>
    <w:uiPriority w:val="0"/>
    <w:pPr>
      <w:widowControl/>
      <w:pBdr>
        <w:bottom w:val="single" w:color="F0A22E" w:sz="8" w:space="4"/>
      </w:pBdr>
      <w:spacing w:after="300"/>
      <w:contextualSpacing/>
      <w:jc w:val="left"/>
    </w:pPr>
    <w:rPr>
      <w:rFonts w:ascii="Calibri" w:hAnsi="Calibri"/>
      <w:color w:val="392B23"/>
      <w:spacing w:val="5"/>
      <w:kern w:val="28"/>
      <w:sz w:val="52"/>
      <w:szCs w:val="52"/>
    </w:rPr>
  </w:style>
  <w:style w:type="character" w:customStyle="1" w:styleId="12">
    <w:name w:val="标题 1 Char"/>
    <w:link w:val="2"/>
    <w:semiHidden/>
    <w:qFormat/>
    <w:uiPriority w:val="0"/>
    <w:rPr>
      <w:rFonts w:ascii="Times New Roman" w:hAnsi="Times New Roman" w:eastAsia="宋体" w:cs="Times New Roman"/>
      <w:b/>
      <w:bCs/>
      <w:kern w:val="44"/>
      <w:sz w:val="44"/>
      <w:szCs w:val="44"/>
    </w:rPr>
  </w:style>
  <w:style w:type="character" w:customStyle="1" w:styleId="13">
    <w:name w:val="标题 2 Char"/>
    <w:link w:val="3"/>
    <w:semiHidden/>
    <w:qFormat/>
    <w:uiPriority w:val="0"/>
    <w:rPr>
      <w:rFonts w:ascii="Calibri" w:hAnsi="Calibri" w:eastAsia="宋体" w:cs="黑体"/>
      <w:b/>
      <w:bCs/>
      <w:sz w:val="32"/>
      <w:szCs w:val="32"/>
    </w:rPr>
  </w:style>
  <w:style w:type="character" w:customStyle="1" w:styleId="14">
    <w:name w:val="标题 3 Char"/>
    <w:link w:val="4"/>
    <w:semiHidden/>
    <w:qFormat/>
    <w:uiPriority w:val="0"/>
    <w:rPr>
      <w:rFonts w:ascii="Times New Roman" w:hAnsi="Times New Roman" w:eastAsia="宋体" w:cs="Times New Roman"/>
      <w:b/>
      <w:bCs/>
      <w:sz w:val="32"/>
      <w:szCs w:val="32"/>
    </w:rPr>
  </w:style>
  <w:style w:type="character" w:customStyle="1" w:styleId="15">
    <w:name w:val="标题 4 Char"/>
    <w:link w:val="5"/>
    <w:semiHidden/>
    <w:qFormat/>
    <w:uiPriority w:val="0"/>
    <w:rPr>
      <w:rFonts w:ascii="Calibri" w:hAnsi="Calibri" w:eastAsia="宋体" w:cs="黑体"/>
      <w:b/>
      <w:bCs/>
      <w:sz w:val="28"/>
      <w:szCs w:val="28"/>
    </w:rPr>
  </w:style>
  <w:style w:type="character" w:customStyle="1" w:styleId="16">
    <w:name w:val="日期 Char"/>
    <w:link w:val="17"/>
    <w:semiHidden/>
    <w:qFormat/>
    <w:uiPriority w:val="0"/>
    <w:rPr>
      <w:rFonts w:ascii="Times New Roman" w:hAnsi="Times New Roman" w:eastAsia="宋体" w:cs="Times New Roman"/>
      <w:szCs w:val="24"/>
    </w:rPr>
  </w:style>
  <w:style w:type="paragraph" w:customStyle="1" w:styleId="17">
    <w:name w:val="日期1"/>
    <w:basedOn w:val="1"/>
    <w:next w:val="1"/>
    <w:link w:val="16"/>
    <w:qFormat/>
    <w:uiPriority w:val="0"/>
    <w:pPr>
      <w:ind w:left="100" w:leftChars="2500"/>
    </w:pPr>
    <w:rPr>
      <w:kern w:val="0"/>
      <w:sz w:val="20"/>
    </w:rPr>
  </w:style>
  <w:style w:type="paragraph" w:customStyle="1" w:styleId="18">
    <w:name w:val="批注框文本1"/>
    <w:basedOn w:val="1"/>
    <w:link w:val="19"/>
    <w:qFormat/>
    <w:uiPriority w:val="0"/>
    <w:rPr>
      <w:kern w:val="0"/>
      <w:sz w:val="18"/>
      <w:szCs w:val="18"/>
    </w:rPr>
  </w:style>
  <w:style w:type="character" w:customStyle="1" w:styleId="19">
    <w:name w:val="批注框文本 Char"/>
    <w:link w:val="18"/>
    <w:semiHidden/>
    <w:qFormat/>
    <w:uiPriority w:val="0"/>
    <w:rPr>
      <w:rFonts w:ascii="Times New Roman" w:hAnsi="Times New Roman" w:eastAsia="宋体" w:cs="Times New Roman"/>
      <w:sz w:val="18"/>
      <w:szCs w:val="18"/>
    </w:rPr>
  </w:style>
  <w:style w:type="character" w:customStyle="1" w:styleId="20">
    <w:name w:val="页脚 Char"/>
    <w:link w:val="6"/>
    <w:semiHidden/>
    <w:qFormat/>
    <w:uiPriority w:val="0"/>
    <w:rPr>
      <w:sz w:val="18"/>
      <w:szCs w:val="18"/>
    </w:rPr>
  </w:style>
  <w:style w:type="character" w:customStyle="1" w:styleId="21">
    <w:name w:val="页眉 Char"/>
    <w:link w:val="7"/>
    <w:semiHidden/>
    <w:qFormat/>
    <w:uiPriority w:val="0"/>
    <w:rPr>
      <w:sz w:val="18"/>
      <w:szCs w:val="18"/>
    </w:rPr>
  </w:style>
  <w:style w:type="character" w:customStyle="1" w:styleId="22">
    <w:name w:val="副标题 Char"/>
    <w:link w:val="8"/>
    <w:semiHidden/>
    <w:qFormat/>
    <w:uiPriority w:val="0"/>
    <w:rPr>
      <w:rFonts w:ascii="Calibri" w:hAnsi="Calibri" w:eastAsia="宋体" w:cs="黑体"/>
      <w:i/>
      <w:iCs/>
      <w:color w:val="F0A22E"/>
      <w:spacing w:val="15"/>
      <w:kern w:val="0"/>
      <w:sz w:val="24"/>
      <w:szCs w:val="24"/>
    </w:rPr>
  </w:style>
  <w:style w:type="character" w:customStyle="1" w:styleId="23">
    <w:name w:val="标题 Char"/>
    <w:link w:val="9"/>
    <w:semiHidden/>
    <w:qFormat/>
    <w:uiPriority w:val="0"/>
    <w:rPr>
      <w:rFonts w:ascii="Calibri" w:hAnsi="Calibri" w:eastAsia="宋体" w:cs="黑体"/>
      <w:color w:val="392B23"/>
      <w:spacing w:val="5"/>
      <w:kern w:val="28"/>
      <w:sz w:val="52"/>
      <w:szCs w:val="52"/>
    </w:rPr>
  </w:style>
  <w:style w:type="paragraph" w:customStyle="1" w:styleId="24">
    <w:name w:val="无间隔1"/>
    <w:link w:val="26"/>
    <w:qFormat/>
    <w:uiPriority w:val="0"/>
    <w:pPr>
      <w:spacing w:after="160" w:line="480" w:lineRule="auto"/>
    </w:pPr>
    <w:rPr>
      <w:rFonts w:ascii="Times New Roman" w:hAnsi="Times New Roman" w:eastAsia="宋体" w:cs="Times New Roman"/>
      <w:sz w:val="22"/>
      <w:lang w:val="en-US" w:eastAsia="zh-CN" w:bidi="ar-SA"/>
    </w:rPr>
  </w:style>
  <w:style w:type="paragraph" w:customStyle="1" w:styleId="25">
    <w:name w:val="列出段落1"/>
    <w:basedOn w:val="1"/>
    <w:qFormat/>
    <w:uiPriority w:val="0"/>
    <w:pPr>
      <w:ind w:firstLine="420" w:firstLineChars="200"/>
    </w:pPr>
  </w:style>
  <w:style w:type="character" w:customStyle="1" w:styleId="26">
    <w:name w:val="无间隔 Char"/>
    <w:link w:val="24"/>
    <w:qFormat/>
    <w:uiPriority w:val="0"/>
    <w:rPr>
      <w:sz w:val="22"/>
      <w:lang w:bidi="ar-SA"/>
    </w:rPr>
  </w:style>
  <w:style w:type="character" w:customStyle="1" w:styleId="27">
    <w:name w:val="Style1"/>
    <w:qFormat/>
    <w:uiPriority w:val="0"/>
    <w:rPr>
      <w:rFonts w:ascii="Cambria" w:hAnsi="黑体" w:eastAsia="黑体" w:cs="黑体"/>
      <w:sz w:val="22"/>
      <w:szCs w:val="22"/>
      <w:lang w:eastAsia="zh-CN"/>
    </w:rPr>
  </w:style>
  <w:style w:type="character" w:customStyle="1" w:styleId="28">
    <w:name w:val="Style2"/>
    <w:qFormat/>
    <w:uiPriority w:val="0"/>
    <w:rPr>
      <w:rFonts w:ascii="Cambria" w:hAnsi="黑体" w:eastAsia="黑体" w:cs="黑体"/>
      <w:sz w:val="22"/>
      <w:szCs w:val="22"/>
      <w:lang w:eastAsia="zh-CN"/>
    </w:rPr>
  </w:style>
  <w:style w:type="character" w:customStyle="1" w:styleId="29">
    <w:name w:val="Style3"/>
    <w:qFormat/>
    <w:uiPriority w:val="0"/>
    <w:rPr>
      <w:rFonts w:ascii="Cambria" w:hAnsi="黑体" w:eastAsia="黑体" w:cs="黑体"/>
      <w:szCs w:val="22"/>
      <w:lang w:eastAsia="zh-CN"/>
    </w:rPr>
  </w:style>
  <w:style w:type="character" w:customStyle="1" w:styleId="30">
    <w:name w:val="Style4"/>
    <w:qFormat/>
    <w:uiPriority w:val="0"/>
    <w:rPr>
      <w:rFonts w:ascii="Cambria" w:hAnsi="黑体" w:eastAsia="黑体" w:cs="黑体"/>
      <w:szCs w:val="22"/>
      <w:lang w:eastAsia="zh-CN"/>
    </w:rPr>
  </w:style>
  <w:style w:type="character" w:customStyle="1" w:styleId="31">
    <w:name w:val="Style5"/>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image" Target="media/image8.jpe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41"/>
    <customShpInfo spid="_x0000_s1026"/>
    <customShpInfo spid="_x0000_s1027"/>
    <customShpInfo spid="_x0000_s1035"/>
    <customShpInfo spid="_x0000_s1029"/>
    <customShpInfo spid="_x0000_s1028"/>
    <customShpInfo spid="_x0000_s1031"/>
    <customShpInfo spid="_x0000_s1030"/>
    <customShpInfo spid="_x0000_s1033"/>
    <customShpInfo spid="_x0000_s1032"/>
    <customShpInfo spid="_x0000_s103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2029</Words>
  <Characters>11570</Characters>
  <Lines>96</Lines>
  <Paragraphs>27</Paragraphs>
  <TotalTime>102</TotalTime>
  <ScaleCrop>false</ScaleCrop>
  <LinksUpToDate>false</LinksUpToDate>
  <CharactersWithSpaces>13572</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Administrator</cp:lastModifiedBy>
  <cp:lastPrinted>2019-08-02T09:01:00Z</cp:lastPrinted>
  <dcterms:modified xsi:type="dcterms:W3CDTF">2024-01-03T07:30:06Z</dcterms:modified>
  <dc:subject>石家庄市xxx部门</dc:subject>
  <dc:title>Administrator</dc:title>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