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gif" ContentType="image/gi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45"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path/>
            <v:fill on="t" focussize="0,0"/>
            <v:stroke on="f" weight="1pt" joinstyle="miter"/>
            <v:imagedata o:title=""/>
            <o:lock v:ext="edit"/>
            <v:textbox>
              <w:txbxContent>
                <w:p>
                  <w:pPr>
                    <w:jc w:val="center"/>
                  </w:pPr>
                </w:p>
              </w:txbxContent>
            </v:textbox>
          </v:shape>
        </w:pict>
      </w:r>
      <w:r>
        <w:pict>
          <v:rect id="矩形 14" o:spid="_x0000_s1044"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3"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path/>
            <v:fill on="t" focussize="0,0"/>
            <v:stroke on="f" weight="1pt" joinstyle="miter"/>
            <v:imagedata o:title=""/>
            <o:lock v:ext="edit"/>
            <v:textbox>
              <w:txbxContent>
                <w:p>
                  <w:pPr>
                    <w:jc w:val="center"/>
                  </w:pPr>
                </w:p>
              </w:txbxContent>
            </v:textbox>
          </v:shape>
        </w:pict>
      </w:r>
      <w:r>
        <w:pict>
          <v:group id="_x0000_s1040" o:spid="_x0000_s1040"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v:rect id="矩形 6" o:spid="_x0000_s1042"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1"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7" o:spid="_x0000_s1037" o:spt="203" style="position:absolute;left:0pt;margin-left:-2.5pt;margin-top:0pt;height:308.5pt;width:600.25pt;z-index:-251649024;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v:rect id="矩形 5" o:spid="_x0000_s1039"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8" o:spid="_x0000_s1038"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无极县司法局</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5" o:spid="_x0000_s1035"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path/>
            <v:fill type="pattern" on="t" color2="#FFFFFF" o:title="5%" focussize="0,0" r:id="rId30"/>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before="75" w:after="75" w:line="440" w:lineRule="exact"/>
        <w:ind w:right="75" w:firstLine="640" w:firstLineChars="200"/>
        <w:rPr>
          <w:rFonts w:ascii="仿宋" w:hAnsi="仿宋" w:eastAsia="仿宋"/>
          <w:sz w:val="32"/>
          <w:szCs w:val="32"/>
          <w:shd w:val="clear" w:color="auto" w:fill="FFFFFF"/>
        </w:rPr>
      </w:pPr>
      <w:r>
        <w:rPr>
          <w:rFonts w:hint="eastAsia" w:ascii="仿宋" w:hAnsi="仿宋" w:eastAsia="仿宋"/>
          <w:sz w:val="32"/>
          <w:szCs w:val="32"/>
          <w:shd w:val="clear" w:color="auto" w:fill="FFFFFF"/>
        </w:rPr>
        <w:t>1、编制全县司法行政工作的中长期规划，并监督实施；</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2、制定实施全县法制宣传教育和普及法律常识规划；</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3、管理指导人民调解、司法所及法律服务所工作；</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4、管理指导律师及公证工作；</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5、管理指导全县面向社会服务的司法鉴定工作；</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6、负责刑释解教人员的安置帮教工作；</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7、负责社区服刑人员的教育矫正、监督管理工作；</w:t>
      </w:r>
    </w:p>
    <w:p>
      <w:pPr>
        <w:spacing w:before="75" w:after="75" w:line="440" w:lineRule="exact"/>
        <w:ind w:right="75" w:firstLine="640" w:firstLineChars="200"/>
        <w:rPr>
          <w:rFonts w:ascii="仿宋" w:hAnsi="仿宋" w:eastAsia="仿宋" w:cs="宋体"/>
          <w:kern w:val="0"/>
          <w:sz w:val="32"/>
          <w:szCs w:val="32"/>
        </w:rPr>
      </w:pPr>
      <w:r>
        <w:rPr>
          <w:rFonts w:hint="eastAsia" w:ascii="仿宋" w:hAnsi="仿宋" w:eastAsia="仿宋" w:cs="宋体"/>
          <w:kern w:val="0"/>
          <w:sz w:val="32"/>
          <w:szCs w:val="32"/>
        </w:rPr>
        <w:t>8、负责抓好全县司法行政系统的干部队伍管理和基础设施建设</w:t>
      </w:r>
      <w:r>
        <w:rPr>
          <w:rFonts w:ascii="仿宋" w:hAnsi="仿宋" w:eastAsia="仿宋" w:cs="宋体"/>
          <w:kern w:val="0"/>
          <w:sz w:val="32"/>
          <w:szCs w:val="32"/>
        </w:rPr>
        <w:t>;</w:t>
      </w:r>
    </w:p>
    <w:p>
      <w:pPr>
        <w:spacing w:before="75" w:after="75" w:line="440" w:lineRule="exact"/>
        <w:ind w:right="75" w:firstLine="640" w:firstLineChars="200"/>
        <w:rPr>
          <w:rFonts w:ascii="仿宋" w:hAnsi="仿宋" w:eastAsia="仿宋" w:cs="宋体"/>
          <w:kern w:val="0"/>
          <w:sz w:val="32"/>
          <w:szCs w:val="32"/>
        </w:rPr>
      </w:pPr>
      <w:r>
        <w:rPr>
          <w:rFonts w:hint="eastAsia" w:ascii="仿宋" w:hAnsi="仿宋" w:eastAsia="仿宋" w:cs="宋体"/>
          <w:kern w:val="0"/>
          <w:sz w:val="32"/>
          <w:szCs w:val="32"/>
        </w:rPr>
        <w:t>9、承办县委、县政府及上级业务部门交办的其他工作。</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无极县司法局</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cols w:space="0" w:num="1"/>
          <w:titlePg/>
          <w:docGrid w:type="lines" w:linePitch="312" w:charSpace="0"/>
        </w:sectPr>
      </w:pPr>
      <w:r>
        <w:rPr>
          <w:sz w:val="72"/>
        </w:rPr>
        <w:pict>
          <v:shape id="_x0000_s1034" o:spid="_x0000_s1034"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3" o:spid="_x0000_s1033" o:spt="202" type="#_x0000_t202" style="position:absolute;left:0pt;margin-left:-90.8pt;margin-top:4.35pt;height:263.1pt;width:613.65pt;z-index:25168691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path/>
            <v:fill type="pattern" on="t" color2="#FFFFFF" o:title="5%" focussize="0,0" r:id="rId3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本部门2019年度收支总计（含结转和结余）784.02万元。与2018年度决算相比，收支各增加118.59万元，增长17.8%，主要原因是工资调整，业务活动增加，导致收入支出增加。</w:t>
      </w:r>
    </w:p>
    <w:p>
      <w:pPr>
        <w:adjustRightInd w:val="0"/>
        <w:snapToGrid w:val="0"/>
        <w:spacing w:line="580" w:lineRule="exact"/>
        <w:ind w:firstLine="640" w:firstLineChars="200"/>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本部门2019年度本年收入合计724.85万元，其中：财政拨款收入724.85万元，占100%；事业收入0万元，占0%；经营收入0万元，占0%；其他收入0万元，占0%。如图所示：</w:t>
      </w:r>
    </w:p>
    <w:p>
      <w:pPr>
        <w:adjustRightInd w:val="0"/>
        <w:snapToGrid w:val="0"/>
        <w:spacing w:line="580" w:lineRule="exact"/>
        <w:ind w:firstLine="1920" w:firstLineChars="600"/>
        <w:rPr>
          <w:rFonts w:ascii="仿宋_GB2312" w:hAnsi="Times New Roman" w:eastAsia="仿宋_GB2312" w:cs="DengXian-Regular"/>
          <w:sz w:val="32"/>
          <w:szCs w:val="32"/>
        </w:rPr>
      </w:pPr>
      <w:r>
        <w:rPr>
          <w:rFonts w:ascii="仿宋_GB2312" w:hAnsi="Times New Roman" w:eastAsia="仿宋_GB2312" w:cs="DengXian-Regular"/>
          <w:sz w:val="32"/>
          <w:szCs w:val="32"/>
        </w:rPr>
        <w:object>
          <v:shape id="_x0000_i1025" o:spt="75" type="#_x0000_t75" style="height:283.8pt;width:442.05pt;" o:ole="t" filled="f" o:preferrelative="t" stroked="f" coordsize="21600,21600">
            <v:path/>
            <v:fill on="f" focussize="0,0"/>
            <v:stroke on="f" joinstyle="miter"/>
            <v:imagedata r:id="rId32" o:title=""/>
            <o:lock v:ext="edit" aspectratio="f"/>
            <w10:wrap type="none"/>
            <w10:anchorlock/>
          </v:shape>
          <o:OLEObject Type="Embed" ProgID="Excel.Sheet.12" ShapeID="_x0000_i1025" DrawAspect="Content" ObjectID="_1468075725" r:id="rId31">
            <o:LockedField>false</o:LockedField>
          </o:OLEObject>
        </w:object>
      </w:r>
    </w:p>
    <w:p>
      <w:pPr>
        <w:adjustRightInd w:val="0"/>
        <w:snapToGrid w:val="0"/>
        <w:rPr>
          <w:rFonts w:ascii="仿宋_GB2312" w:hAnsi="Times New Roman" w:eastAsia="仿宋_GB2312" w:cs="DengXian-Regular"/>
          <w:sz w:val="32"/>
          <w:szCs w:val="32"/>
        </w:rPr>
      </w:pPr>
      <w:r>
        <w:drawing>
          <wp:inline distT="0" distB="0" distL="114300" distR="114300">
            <wp:extent cx="6071870" cy="3554730"/>
            <wp:effectExtent l="0" t="0" r="5080" b="7620"/>
            <wp:docPr id="3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1"/>
                    <pic:cNvPicPr>
                      <a:picLocks noChangeAspect="1"/>
                    </pic:cNvPicPr>
                  </pic:nvPicPr>
                  <pic:blipFill>
                    <a:blip r:embed="rId33"/>
                    <a:stretch>
                      <a:fillRect/>
                    </a:stretch>
                  </pic:blipFill>
                  <pic:spPr>
                    <a:xfrm>
                      <a:off x="0" y="0"/>
                      <a:ext cx="6071870" cy="3554730"/>
                    </a:xfrm>
                    <a:prstGeom prst="rect">
                      <a:avLst/>
                    </a:prstGeom>
                    <a:noFill/>
                    <a:ln>
                      <a:noFill/>
                    </a:ln>
                  </pic:spPr>
                </pic:pic>
              </a:graphicData>
            </a:graphic>
          </wp:inline>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260" w:firstLineChars="600"/>
        <w:rPr>
          <w:rFonts w:ascii="黑体" w:hAnsi="Calibri" w:eastAsia="黑体" w:cs="Times New Roman"/>
          <w:b/>
          <w:bCs/>
          <w:sz w:val="32"/>
          <w:szCs w:val="32"/>
        </w:rPr>
      </w:pPr>
      <w:r>
        <w:drawing>
          <wp:inline distT="0" distB="0" distL="114300" distR="114300">
            <wp:extent cx="3933190" cy="2724150"/>
            <wp:effectExtent l="47625" t="4445" r="57785" b="106045"/>
            <wp:docPr id="32"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本部门2019年度本年支出合计726.23万元，其中：基本支出551.48万元，占75.94%；项目支出174.75万元，占24.06%；经营支出0万元，占0%。如图所示：</w:t>
      </w:r>
    </w:p>
    <w:p>
      <w:pPr>
        <w:adjustRightInd w:val="0"/>
        <w:snapToGrid w:val="0"/>
        <w:spacing w:line="580" w:lineRule="exact"/>
        <w:ind w:firstLine="1260" w:firstLineChars="600"/>
        <w:rPr>
          <w:rFonts w:ascii="仿宋_GB2312" w:hAnsi="Times New Roman" w:eastAsia="仿宋_GB2312" w:cs="DengXian-Regular"/>
          <w:sz w:val="32"/>
          <w:szCs w:val="32"/>
        </w:rPr>
      </w:pPr>
      <w:r>
        <w:drawing>
          <wp:inline distT="0" distB="0" distL="114300" distR="114300">
            <wp:extent cx="4346575" cy="2823210"/>
            <wp:effectExtent l="0" t="0" r="15875" b="15240"/>
            <wp:docPr id="3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
                    <pic:cNvPicPr>
                      <a:picLocks noChangeAspect="1"/>
                    </pic:cNvPicPr>
                  </pic:nvPicPr>
                  <pic:blipFill>
                    <a:blip r:embed="rId35"/>
                    <a:stretch>
                      <a:fillRect/>
                    </a:stretch>
                  </pic:blipFill>
                  <pic:spPr>
                    <a:xfrm>
                      <a:off x="0" y="0"/>
                      <a:ext cx="4346575" cy="2823210"/>
                    </a:xfrm>
                    <a:prstGeom prst="rect">
                      <a:avLst/>
                    </a:prstGeom>
                    <a:noFill/>
                    <a:ln>
                      <a:noFill/>
                    </a:ln>
                  </pic:spPr>
                </pic:pic>
              </a:graphicData>
            </a:graphic>
          </wp:inline>
        </w:drawing>
      </w:r>
    </w:p>
    <w:p>
      <w:pPr>
        <w:adjustRightInd w:val="0"/>
        <w:snapToGrid w:val="0"/>
        <w:rPr>
          <w:rFonts w:ascii="黑体" w:hAnsi="Calibri" w:eastAsia="黑体" w:cs="Times New Roman"/>
          <w:b/>
          <w:bCs/>
          <w:sz w:val="32"/>
          <w:szCs w:val="32"/>
        </w:rPr>
      </w:pPr>
      <w:r>
        <w:drawing>
          <wp:inline distT="0" distB="0" distL="114300" distR="114300">
            <wp:extent cx="5841365" cy="2976245"/>
            <wp:effectExtent l="0" t="0" r="6985" b="14605"/>
            <wp:docPr id="3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4"/>
                    <pic:cNvPicPr>
                      <a:picLocks noChangeAspect="1"/>
                    </pic:cNvPicPr>
                  </pic:nvPicPr>
                  <pic:blipFill>
                    <a:blip r:embed="rId35"/>
                    <a:stretch>
                      <a:fillRect/>
                    </a:stretch>
                  </pic:blipFill>
                  <pic:spPr>
                    <a:xfrm>
                      <a:off x="0" y="0"/>
                      <a:ext cx="5841365" cy="2976245"/>
                    </a:xfrm>
                    <a:prstGeom prst="rect">
                      <a:avLst/>
                    </a:prstGeom>
                    <a:noFill/>
                    <a:ln>
                      <a:noFill/>
                    </a:ln>
                  </pic:spPr>
                </pic:pic>
              </a:graphicData>
            </a:graphic>
          </wp:inline>
        </w:drawing>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724.85万元,比2018年度增加123.36万元，增长20.5%，主要是工资调整，业务活动所需经费增加；本年支出726.23万元，增加119.98万元，增长19.8%，主要是工资调整，业务活动支出费用增加。</w:t>
      </w:r>
    </w:p>
    <w:p>
      <w:pPr>
        <w:adjustRightInd w:val="0"/>
        <w:snapToGrid w:val="0"/>
        <w:ind w:firstLine="420" w:firstLineChars="200"/>
        <w:rPr>
          <w:rFonts w:ascii="仿宋_GB2312" w:hAnsi="Times New Roman" w:eastAsia="仿宋_GB2312" w:cs="DengXian-Regular"/>
          <w:sz w:val="32"/>
          <w:szCs w:val="32"/>
        </w:rPr>
      </w:pPr>
      <w:r>
        <w:drawing>
          <wp:inline distT="0" distB="0" distL="114300" distR="114300">
            <wp:extent cx="4693920" cy="3102610"/>
            <wp:effectExtent l="0" t="0" r="11430" b="2540"/>
            <wp:docPr id="37"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5"/>
                    <pic:cNvPicPr>
                      <a:picLocks noChangeAspect="1"/>
                    </pic:cNvPicPr>
                  </pic:nvPicPr>
                  <pic:blipFill>
                    <a:blip r:embed="rId36"/>
                    <a:stretch>
                      <a:fillRect/>
                    </a:stretch>
                  </pic:blipFill>
                  <pic:spPr>
                    <a:xfrm>
                      <a:off x="0" y="0"/>
                      <a:ext cx="4693920" cy="3102610"/>
                    </a:xfrm>
                    <a:prstGeom prst="rect">
                      <a:avLst/>
                    </a:prstGeom>
                    <a:noFill/>
                    <a:ln>
                      <a:noFill/>
                    </a:ln>
                  </pic:spPr>
                </pic:pic>
              </a:graphicData>
            </a:graphic>
          </wp:inline>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724.85万元，完成年初预算的106.9%（如图4）,比年初预算增加46.97万元，决算数大于预算数主要原因是工资调整，业务活动支出费用增加；本年支出726.23万元，完成年初预算的107.1%,比年初预算增加48.35万元，决算数大于预算数主要原因是主要是工资调整，业务活动开支费用增加。</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object>
          <v:shape id="_x0000_i1026" o:spt="75" type="#_x0000_t75" style="height:267.9pt;width:402.7pt;" o:ole="t" filled="f" o:preferrelative="t" stroked="f" coordsize="21600,21600">
            <v:path/>
            <v:fill on="f" focussize="0,0"/>
            <v:stroke on="f" joinstyle="miter"/>
            <v:imagedata r:id="rId38" o:title=""/>
            <o:lock v:ext="edit" aspectratio="f"/>
            <w10:wrap type="none"/>
            <w10:anchorlock/>
          </v:shape>
          <o:OLEObject Type="Embed" ProgID="Excel.Sheet.12" ShapeID="_x0000_i1026" DrawAspect="Content" ObjectID="_1468075726" r:id="rId37">
            <o:LockedField>false</o:LockedField>
          </o:OLEObject>
        </w:objec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年度财政拨款支出726.23万元，主要用于以下方面：公共安全类（类）支出595.98万元，占82.06%；社会保障和就业（类）支出 110.86万元，占15.27%；卫生健康（类）支出19.39万元，占 2.67%。</w:t>
      </w:r>
    </w:p>
    <w:p>
      <w:pPr>
        <w:adjustRightInd w:val="0"/>
        <w:snapToGrid w:val="0"/>
        <w:spacing w:line="580" w:lineRule="exact"/>
        <w:rPr>
          <w:rFonts w:ascii="楷体_GB2312" w:hAnsi="Times New Roman" w:eastAsia="楷体_GB2312" w:cs="DengXian-Bold"/>
          <w:b/>
          <w:bCs/>
          <w:sz w:val="32"/>
          <w:szCs w:val="32"/>
        </w:rPr>
      </w:pPr>
    </w:p>
    <w:p>
      <w:pPr>
        <w:adjustRightInd w:val="0"/>
        <w:snapToGrid w:val="0"/>
        <w:rPr>
          <w:rFonts w:ascii="楷体_GB2312" w:hAnsi="Times New Roman" w:eastAsia="楷体_GB2312" w:cs="DengXian-Bold"/>
          <w:b/>
          <w:bCs/>
          <w:sz w:val="32"/>
          <w:szCs w:val="32"/>
        </w:rPr>
      </w:pPr>
      <w:r>
        <w:rPr>
          <w:rFonts w:ascii="楷体_GB2312" w:hAnsi="Times New Roman" w:eastAsia="楷体_GB2312" w:cs="DengXian-Bold"/>
          <w:b/>
          <w:bCs/>
          <w:sz w:val="32"/>
          <w:szCs w:val="32"/>
        </w:rPr>
        <w:object>
          <v:shape id="_x0000_i1027" o:spt="75" type="#_x0000_t75" style="height:154.9pt;width:401pt;" o:ole="t" filled="f" o:preferrelative="t" stroked="f" coordsize="21600,21600">
            <v:path/>
            <v:fill on="f" focussize="0,0"/>
            <v:stroke on="f" joinstyle="miter"/>
            <v:imagedata r:id="rId40" o:title=""/>
            <o:lock v:ext="edit" aspectratio="f"/>
            <w10:wrap type="none"/>
            <w10:anchorlock/>
          </v:shape>
          <o:OLEObject Type="Embed" ProgID="Excel.Sheet.12" ShapeID="_x0000_i1027" DrawAspect="Content" ObjectID="_1468075727" r:id="rId39">
            <o:LockedField>false</o:LockedField>
          </o:OLEObject>
        </w:objec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年度财政拨款基本支出551.48万元，其中：人员经费 495.74万元，主要包括基本工资、津贴补贴、奖金、绩效工资、机关事业单位基本养老保险缴费、职业年金缴费、职工基本医疗保险缴费、其他社会保障缴费、退休费；公用经费55.74万元，主要包括办公费、印刷费、电费、邮电费、差旅费、维修（护）费、公务用车运行维护费、其他交通费用。</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本部门2019年度“三公”经费支出共计2.56万元，完成预算的85.3%,较预算减少0.44万元，降低14.7%，主要是</w:t>
      </w:r>
      <w:r>
        <w:rPr>
          <w:rFonts w:hint="eastAsia" w:ascii="仿宋_GB2312" w:eastAsia="仿宋_GB2312" w:cs="DengXian-Regular"/>
          <w:sz w:val="32"/>
          <w:szCs w:val="32"/>
        </w:rPr>
        <w:t>认真贯彻落实中央八项规定精神和厉行节约要求，从严控制“三公”经费开支</w:t>
      </w:r>
      <w:r>
        <w:rPr>
          <w:rFonts w:hint="eastAsia" w:ascii="仿宋_GB2312" w:hAnsi="Times New Roman" w:eastAsia="仿宋_GB2312" w:cs="DengXian-Regular"/>
          <w:sz w:val="32"/>
          <w:szCs w:val="32"/>
        </w:rPr>
        <w:t>；较2018年度增加1.87万元，增长271%，主要是执法执勤业务增加，导致公车运行费用增加。具体情况如下：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本部门2018年度因公出国（境）团组0个、共0人，支出费用0万元，与预算持平，与2018年决算无增减变化。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（二）公务用车购置及运行维护费支出2.56万元。</w:t>
      </w:r>
      <w:r>
        <w:rPr>
          <w:rFonts w:hint="eastAsia" w:ascii="仿宋_GB2312" w:hAnsi="Times New Roman" w:eastAsia="仿宋_GB2312" w:cs="DengXian-Regular"/>
          <w:sz w:val="32"/>
          <w:szCs w:val="32"/>
        </w:rPr>
        <w:t>本部门2019年度公务用车购置及运行维护费较预算减少0.44万元，降低14.7%,主要是</w:t>
      </w:r>
      <w:r>
        <w:rPr>
          <w:rFonts w:hint="eastAsia" w:ascii="仿宋_GB2312" w:eastAsia="仿宋_GB2312" w:cs="DengXian-Regular"/>
          <w:sz w:val="32"/>
          <w:szCs w:val="32"/>
        </w:rPr>
        <w:t>认真贯彻落实中央八项规定精神和厉行节约要求，从严控制“三公”经费开支</w:t>
      </w:r>
      <w:r>
        <w:rPr>
          <w:rFonts w:hint="eastAsia" w:ascii="仿宋_GB2312" w:hAnsi="Times New Roman" w:eastAsia="仿宋_GB2312" w:cs="DengXian-Regular"/>
          <w:sz w:val="32"/>
          <w:szCs w:val="32"/>
        </w:rPr>
        <w:t>；较上年增加1.87万元，增长271%，主要是执法执勤业务增加，导致公车运行费用增加。</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eastAsia="仿宋_GB2312" w:cs="DengXian-Regular"/>
          <w:sz w:val="32"/>
          <w:szCs w:val="32"/>
        </w:rPr>
        <w:t>本部门2019年度公务用车购置量0辆，“公务用车购置”经费支出0万元。与预算持平，与上年无增减变化。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本部门2019年度单位公务用车保有量5辆。公车运行维护费支出较预算减少0.44万元，降低14.7%,主要是</w:t>
      </w:r>
      <w:r>
        <w:rPr>
          <w:rFonts w:hint="eastAsia" w:ascii="仿宋_GB2312" w:eastAsia="仿宋_GB2312" w:cs="DengXian-Regular"/>
          <w:sz w:val="32"/>
          <w:szCs w:val="32"/>
        </w:rPr>
        <w:t>认真贯彻落实中央</w:t>
      </w:r>
      <w:bookmarkStart w:id="0" w:name="_GoBack"/>
      <w:bookmarkEnd w:id="0"/>
      <w:r>
        <w:rPr>
          <w:rFonts w:hint="eastAsia" w:ascii="仿宋_GB2312" w:eastAsia="仿宋_GB2312" w:cs="DengXian-Regular"/>
          <w:sz w:val="32"/>
          <w:szCs w:val="32"/>
        </w:rPr>
        <w:t>八项规定精神和厉行节约要求，从严控制“三公”经费开支；</w:t>
      </w:r>
      <w:r>
        <w:rPr>
          <w:rFonts w:hint="eastAsia" w:ascii="仿宋_GB2312" w:hAnsi="Times New Roman" w:eastAsia="仿宋_GB2312" w:cs="DengXian-Regular"/>
          <w:sz w:val="32"/>
          <w:szCs w:val="32"/>
        </w:rPr>
        <w:t>较上年增加1.87万元，增长271%，主要是执法执勤业务增加，导致公车运行费用增加。</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eastAsia="仿宋_GB2312" w:cs="DengXian-Regular"/>
          <w:sz w:val="32"/>
          <w:szCs w:val="32"/>
        </w:rPr>
        <w:t>本部门2019年度公务接待共0批次、0人次。支出费用0万元，相与预算持平，与上年无增减变化。</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根据预算绩效管理要求，本部门组织对2019年度一般公共预算项目支出全面开展绩效自评，其中，一级项目5个，共涉及资金174.75万元，占一般公共预算项目支出总额的100%。</w:t>
      </w:r>
      <w:r>
        <w:rPr>
          <w:rFonts w:hint="eastAsia" w:ascii="仿宋_GB2312" w:eastAsia="仿宋_GB2312" w:cs="DengXian-Regular"/>
          <w:sz w:val="32"/>
          <w:szCs w:val="32"/>
        </w:rPr>
        <w:t>本单位认真开展了预算绩效管理改革开展情况自查，对部门全面规范绩效预算编制、严格预算执行管理、推进绩效评价工作、推进预决算信息公开等方面进行了自评.</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本部门在今年部门决算公开中反映基层司法业务、普法宣传、律师公证管理、法律援助、社区矫正等5个项目绩效自评结果。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基层司法业务项目自评综述：根据年初设定的绩效目标，该项目绩效自评得分为96分（绩效自评表附后）。全年预算数为120.3万元，执行数为94.3万元，完成预算的78%。项目绩效目标完成情况：一是全县法律服务水平有所提高；二是办案装备水平大幅度提高，实现了办案信息化。</w:t>
      </w:r>
    </w:p>
    <w:tbl>
      <w:tblPr>
        <w:tblStyle w:val="7"/>
        <w:tblW w:w="0" w:type="auto"/>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基层司法业务</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无极县司法局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无极县司法局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992917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1202917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943001</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tabs>
                <w:tab w:val="left" w:pos="286"/>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78%</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780000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990000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730084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212917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212917</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212917</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1、满足基层司法行政机关开展各类业务经费需求，提高法律服务水平。2、提高基层司法行政机关办案装备水平。</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1法律服务水平有所提高。2、办案装备水平大幅度提高，实现了办案信息化。</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指标1：法律宣传次数</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≧12</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指标2：人民调解案件数</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1200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rPr>
              <w:tab/>
            </w:r>
            <w:r>
              <w:rPr>
                <w:rFonts w:hint="eastAsia" w:ascii="宋体" w:hAnsi="宋体" w:eastAsia="宋体" w:cs="宋体"/>
                <w:color w:val="000000"/>
                <w:kern w:val="0"/>
                <w:sz w:val="18"/>
                <w:szCs w:val="18"/>
              </w:rPr>
              <w:t>公共法律服务覆盖率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4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指标2：购置业务装备合格率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指标1：工作按时完成率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9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指标1：再犯罪控制率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≦0.2%</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69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指标1：人民群众满意度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vAlign w:val="center"/>
          </w:tcPr>
          <w:p>
            <w:pPr>
              <w:widowControl/>
              <w:tabs>
                <w:tab w:val="left" w:pos="204"/>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对司法政</w:t>
            </w:r>
            <w:r>
              <w:rPr>
                <w:rFonts w:hint="eastAsia" w:ascii="宋体" w:hAnsi="宋体" w:eastAsia="宋体" w:cs="宋体"/>
                <w:kern w:val="0"/>
                <w:sz w:val="18"/>
                <w:szCs w:val="18"/>
                <w:lang w:eastAsia="zh-CN"/>
              </w:rPr>
              <w:t>工作</w:t>
            </w:r>
            <w:r>
              <w:rPr>
                <w:rFonts w:hint="eastAsia" w:ascii="宋体" w:hAnsi="宋体" w:eastAsia="宋体" w:cs="宋体"/>
                <w:kern w:val="0"/>
                <w:sz w:val="18"/>
                <w:szCs w:val="18"/>
              </w:rPr>
              <w:t>的了解需要加强</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2"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rPr>
              <w:tab/>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普法宣传项目自评综述：根据年初设定的绩效目标，该项目绩效自评得分为94分（绩效自评表附后）。全年预算数为5万元，执行数为4.9万元，完成预算的97%。项目绩效目标完成情况：全县人民法律意识水平得到提高。</w:t>
      </w:r>
    </w:p>
    <w:tbl>
      <w:tblPr>
        <w:tblStyle w:val="7"/>
        <w:tblW w:w="0" w:type="auto"/>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323"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普法宣传</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无极县司法局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无极县司法局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50000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50000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48695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97%</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50000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50000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48695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43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提高全县人民法律意识和法律素质</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全县人民法律意识水平大幅提高</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指标1：法律宣传次数</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≧12</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指标1：普法考核通过率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指标1：法律宣传及时程度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69"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1"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指标1：普法宣传覆盖率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1417" w:type="dxa"/>
            <w:gridSpan w:val="2"/>
            <w:tcBorders>
              <w:top w:val="single" w:color="auto" w:sz="4" w:space="0"/>
              <w:left w:val="nil"/>
              <w:bottom w:val="single" w:color="auto" w:sz="4" w:space="0"/>
              <w:right w:val="single" w:color="auto" w:sz="4" w:space="0"/>
            </w:tcBorders>
            <w:vAlign w:val="center"/>
          </w:tcPr>
          <w:p>
            <w:pPr>
              <w:widowControl/>
              <w:tabs>
                <w:tab w:val="left" w:pos="245"/>
              </w:tabs>
              <w:spacing w:line="240" w:lineRule="exact"/>
              <w:rPr>
                <w:rFonts w:ascii="宋体" w:hAnsi="宋体" w:eastAsia="宋体" w:cs="宋体"/>
                <w:kern w:val="0"/>
                <w:sz w:val="18"/>
                <w:szCs w:val="18"/>
              </w:rPr>
            </w:pPr>
            <w:r>
              <w:rPr>
                <w:rFonts w:hint="eastAsia" w:ascii="宋体" w:hAnsi="宋体" w:eastAsia="宋体" w:cs="宋体"/>
                <w:kern w:val="0"/>
                <w:sz w:val="18"/>
                <w:szCs w:val="18"/>
              </w:rPr>
              <w:t>农村法律宣传有待加强</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66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指标1：群众法律意识提高率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农民法律意识有待进一步加强</w:t>
            </w: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2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指标1：普法宣传对象满意度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sz w:val="32"/>
          <w:szCs w:val="32"/>
        </w:rPr>
      </w:pP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律师公证管理项目自评综述：根据年初设定的绩效目标，该项目绩效自评得分为93分（绩效自评表附后）。全年预算数为35万元，执行数为28.4万元，完成预算的81%。项目绩效目标完成情况：通过推行律师公证微信公众号，扩大了证源，方便了人民群众，提高了办案质量。</w:t>
      </w:r>
    </w:p>
    <w:tbl>
      <w:tblPr>
        <w:tblStyle w:val="7"/>
        <w:tblW w:w="0" w:type="auto"/>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律师公证管理</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无极县司法局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无极县司法局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350000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350000</w:t>
            </w: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283785.95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81%</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350000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350000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283785.95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776"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积极开拓证源,加强宣传,提高办理案件的水平和质量,为全县经济发展营造良好的法制环境.</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推行律师公证服务微信公众号,扩大证源,方便人民群众,提高办理法律服务案件质量.</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76"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指标1：提供法律咨询数量</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指标1：微信公众号覆盖率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加强宣传,提高覆盖率</w:t>
            </w:r>
          </w:p>
        </w:tc>
      </w:tr>
      <w:tr>
        <w:tblPrEx>
          <w:tblCellMar>
            <w:top w:w="0" w:type="dxa"/>
            <w:left w:w="108" w:type="dxa"/>
            <w:bottom w:w="0" w:type="dxa"/>
            <w:right w:w="108" w:type="dxa"/>
          </w:tblCellMar>
        </w:tblPrEx>
        <w:trPr>
          <w:trHeight w:val="5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指标2：案卷质量提高率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加强学习,提高案卷质量</w:t>
            </w:r>
          </w:p>
        </w:tc>
      </w:tr>
      <w:tr>
        <w:tblPrEx>
          <w:tblCellMar>
            <w:top w:w="0" w:type="dxa"/>
            <w:left w:w="108" w:type="dxa"/>
            <w:bottom w:w="0" w:type="dxa"/>
            <w:right w:w="108" w:type="dxa"/>
          </w:tblCellMar>
        </w:tblPrEx>
        <w:trPr>
          <w:trHeight w:val="2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指标1：提供法律咨询及时率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指标1：群众法律意识提高率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93</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sz w:val="32"/>
          <w:szCs w:val="32"/>
        </w:rPr>
      </w:pP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法律援助项目自评综述：根据年初设定的绩效目标，该项目绩效自评得分为94分（绩效自评表附后）。全年预算数为50.9万元，执行数为24.3万元，完成预算的48%。项目绩效目标完成情况：法律援助覆盖面不断扩大，法律援助案件质量得到了提高。</w:t>
      </w:r>
    </w:p>
    <w:tbl>
      <w:tblPr>
        <w:tblStyle w:val="7"/>
        <w:tblW w:w="0" w:type="auto"/>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法律援助</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无极县司法局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无极县司法局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379341</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509341</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243156</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48%</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150000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280000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13815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229341</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229341</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229341</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1、扩大法律援助覆盖面。2、推动全县法律援助工作长足发展。</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法律援助覆盖面不断扩大，法律援助质量不断提高。</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8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指标1：法律援助宣传资料数量</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15000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指标1：案卷办结质量</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加强学习,提高案卷质量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指标1：案件受理率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指标1:为受援人挽回经济损失</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sz w:val="32"/>
          <w:szCs w:val="32"/>
        </w:rPr>
      </w:pP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社区矫正项目自评综述：根据年初设定的绩效目标，该项目绩效自评得分为95分（绩效自评表附后）。全年预算数为34.8万元，执行数为22.9万元，完成预算的66%。项目绩效目标完成情况：通过不断加强对社区矫正人员的日常监管，有效控制了重新犯罪率，维护了社会稳定。</w:t>
      </w:r>
    </w:p>
    <w:p>
      <w:pPr>
        <w:adjustRightInd w:val="0"/>
        <w:snapToGrid w:val="0"/>
        <w:spacing w:line="580" w:lineRule="exact"/>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p>
    <w:tbl>
      <w:tblPr>
        <w:tblStyle w:val="7"/>
        <w:tblW w:w="0" w:type="auto"/>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社区矫正</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无极县司法局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无极县司法局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348443.4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348443.4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228869.4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66%</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314800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314800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195226</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33643.4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33643.4</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33643.4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1、对社区服刑人员的信息核查。2、降低社区矫正与安置帮教人员重新犯罪率。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1、加强了对社区矫正人员的日常监管。2、重新犯罪率控制在0.2%之内。</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eastAsia="宋体" w:cs="宋体"/>
                <w:color w:val="000000"/>
                <w:kern w:val="0"/>
                <w:sz w:val="18"/>
                <w:szCs w:val="18"/>
              </w:rPr>
              <w:tab/>
            </w:r>
            <w:r>
              <w:rPr>
                <w:rFonts w:hint="eastAsia" w:ascii="宋体" w:hAnsi="宋体" w:eastAsia="宋体" w:cs="宋体"/>
                <w:color w:val="000000"/>
                <w:kern w:val="0"/>
                <w:sz w:val="18"/>
                <w:szCs w:val="18"/>
              </w:rPr>
              <w:t>对社区矫正人员定位抽查次数</w:t>
            </w:r>
          </w:p>
        </w:tc>
        <w:tc>
          <w:tcPr>
            <w:tcW w:w="850" w:type="dxa"/>
            <w:tcBorders>
              <w:top w:val="nil"/>
              <w:left w:val="nil"/>
              <w:bottom w:val="single" w:color="auto" w:sz="4" w:space="0"/>
              <w:right w:val="single" w:color="auto" w:sz="4" w:space="0"/>
            </w:tcBorders>
            <w:vAlign w:val="center"/>
          </w:tcPr>
          <w:p>
            <w:pPr>
              <w:widowControl/>
              <w:tabs>
                <w:tab w:val="left" w:pos="217"/>
              </w:tabs>
              <w:spacing w:line="240" w:lineRule="exac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每天抽查</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每天抽查</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指标1：社区服刑人员参训率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严格控制请假次数,保证培训质量</w:t>
            </w:r>
          </w:p>
        </w:tc>
      </w:tr>
      <w:tr>
        <w:tblPrEx>
          <w:tblCellMar>
            <w:top w:w="0" w:type="dxa"/>
            <w:left w:w="108" w:type="dxa"/>
            <w:bottom w:w="0" w:type="dxa"/>
            <w:right w:w="108" w:type="dxa"/>
          </w:tblCellMar>
        </w:tblPrEx>
        <w:trPr>
          <w:trHeight w:val="51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指标2：对社区矫正人员帮教率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指标1：对社区服刑人员接收及时率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指标1：社区服刑人员再犯罪控制率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≦0.2%</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ind w:left="420" w:leftChars="200"/>
        <w:rPr>
          <w:rFonts w:ascii="仿宋_GB2312" w:hAnsi="仿宋_GB2312" w:eastAsia="仿宋_GB2312" w:cs="仿宋_GB2312"/>
          <w:sz w:val="32"/>
          <w:szCs w:val="32"/>
        </w:rPr>
      </w:pPr>
    </w:p>
    <w:p>
      <w:pPr>
        <w:keepNext/>
        <w:keepLines/>
        <w:snapToGrid w:val="0"/>
        <w:spacing w:line="580" w:lineRule="exact"/>
        <w:ind w:firstLine="640" w:firstLineChars="200"/>
        <w:outlineLvl w:val="1"/>
        <w:rPr>
          <w:rFonts w:ascii="仿宋" w:hAnsi="仿宋" w:eastAsia="仿宋_GB2312" w:cs="仿宋"/>
          <w:sz w:val="32"/>
          <w:szCs w:val="32"/>
        </w:rPr>
      </w:pPr>
      <w:r>
        <w:rPr>
          <w:rFonts w:hint="eastAsia" w:ascii="仿宋" w:hAnsi="仿宋" w:eastAsia="仿宋" w:cs="仿宋"/>
          <w:sz w:val="32"/>
          <w:szCs w:val="32"/>
        </w:rPr>
        <w:t>发现的问题及原因：</w:t>
      </w:r>
      <w:r>
        <w:rPr>
          <w:rFonts w:hint="eastAsia" w:ascii="仿宋_GB2312" w:eastAsia="仿宋_GB2312"/>
          <w:sz w:val="30"/>
          <w:szCs w:val="30"/>
        </w:rPr>
        <w:t>尽管我局的部门整体绩效评价工作取得了一定的成绩，但也存在一些问题和不足：一是预算编制的合理性有待进一步提高；二是工作缺乏主动性；三是规范高效的预算绩效管理模式还处于起步阶段，预算绩效管理基础工作有待进一步加强；四是部分资金使用率有待于进一步提高。下一步整改措施：一是提高资金的使用效率；二是完善项目实施程序；三是加强日常监督；四是科学合理制定产出目标。</w:t>
      </w:r>
    </w:p>
    <w:p>
      <w:pPr>
        <w:keepNext/>
        <w:keepLines/>
        <w:numPr>
          <w:ilvl w:val="0"/>
          <w:numId w:val="3"/>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firstLine="600" w:firstLineChars="200"/>
        <w:outlineLvl w:val="1"/>
        <w:rPr>
          <w:rFonts w:ascii="仿宋_GB2312" w:eastAsia="仿宋_GB2312"/>
          <w:sz w:val="30"/>
          <w:szCs w:val="30"/>
        </w:rPr>
      </w:pPr>
      <w:r>
        <w:rPr>
          <w:rFonts w:hint="eastAsia" w:ascii="仿宋_GB2312" w:eastAsia="仿宋_GB2312"/>
          <w:sz w:val="30"/>
          <w:szCs w:val="30"/>
        </w:rPr>
        <w:t>无</w:t>
      </w: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本部门2019年度机关运行经费支出55.74万元，比2018年度减少7.69万元，降低12.1%。主要原因是</w:t>
      </w:r>
      <w:r>
        <w:rPr>
          <w:rFonts w:hint="eastAsia" w:ascii="仿宋_GB2312" w:eastAsia="仿宋_GB2312" w:cs="DengXian-Regular"/>
          <w:sz w:val="32"/>
          <w:szCs w:val="32"/>
        </w:rPr>
        <w:t>坚持厉行节约原则，控制办公经费支出。</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eastAsia="仿宋_GB2312" w:cs="DengXian-Regular"/>
          <w:sz w:val="32"/>
          <w:szCs w:val="32"/>
        </w:rPr>
        <w:t>本部门2019年度政府采购支出总额71.78万元，政府货物支出71.78万元，</w:t>
      </w:r>
      <w:r>
        <w:rPr>
          <w:rFonts w:ascii="仿宋_GB2312" w:hAnsi="仿宋_GB2312" w:eastAsia="仿宋_GB2312" w:cs="仿宋_GB2312"/>
          <w:color w:val="000000"/>
          <w:kern w:val="0"/>
          <w:sz w:val="32"/>
          <w:szCs w:val="32"/>
        </w:rPr>
        <w:t>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keepNext/>
        <w:keepLines/>
        <w:snapToGrid w:val="0"/>
        <w:spacing w:line="580" w:lineRule="exact"/>
        <w:ind w:firstLine="640" w:firstLineChars="200"/>
        <w:outlineLvl w:val="2"/>
        <w:rPr>
          <w:rFonts w:ascii="仿宋_GB2312" w:eastAsia="仿宋_GB2312" w:cs="DengXian-Regular"/>
          <w:sz w:val="32"/>
          <w:szCs w:val="32"/>
        </w:rPr>
      </w:pPr>
      <w:r>
        <w:rPr>
          <w:rFonts w:hint="eastAsia" w:ascii="仿宋_GB2312" w:eastAsia="仿宋_GB2312" w:cs="DengXian-Regular"/>
          <w:sz w:val="32"/>
          <w:szCs w:val="32"/>
        </w:rPr>
        <w:t>截至2019年12月31日，本部门共有车辆5辆，与上年持平。其中，副部（省）级及以上领导用车0辆，主要领导干部用车0辆，机要通信用车0辆，应急保障用车1辆，执法执勤用车4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万元以上通用设备0台（套），与上年持平，单位价值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widowControl/>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本部门2019年度政府性基金预算财政拨款以及国有资本经营预算财政拨款无收支及结转结余情况，</w:t>
      </w:r>
      <w:r>
        <w:rPr>
          <w:rFonts w:eastAsia="仿宋_GB2312"/>
          <w:sz w:val="32"/>
          <w:szCs w:val="32"/>
        </w:rPr>
        <w:t>政府性基金预算财政拨款收入支出决算表</w:t>
      </w:r>
      <w:r>
        <w:rPr>
          <w:rFonts w:hint="eastAsia" w:eastAsia="仿宋_GB2312"/>
          <w:sz w:val="32"/>
          <w:szCs w:val="32"/>
        </w:rPr>
        <w:t>、</w:t>
      </w:r>
      <w:r>
        <w:rPr>
          <w:rFonts w:eastAsia="仿宋_GB2312"/>
          <w:sz w:val="32"/>
          <w:szCs w:val="32"/>
        </w:rPr>
        <w:t>国有资本经营预算财政拨款收入支出决算表</w:t>
      </w:r>
      <w:r>
        <w:rPr>
          <w:rFonts w:hint="eastAsia" w:eastAsia="仿宋_GB2312"/>
          <w:sz w:val="32"/>
          <w:szCs w:val="32"/>
        </w:rPr>
        <w:t>为空，故</w:t>
      </w:r>
      <w:r>
        <w:rPr>
          <w:rFonts w:hint="eastAsia" w:ascii="仿宋_GB2312" w:eastAsia="仿宋_GB2312" w:cs="DengXian-Regular"/>
          <w:sz w:val="32"/>
          <w:szCs w:val="32"/>
        </w:rPr>
        <w:t>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0" w:type="first"/>
          <w:footerReference r:id="rId22" w:type="first"/>
          <w:headerReference r:id="rId19" w:type="default"/>
          <w:footerReference r:id="rId21"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8793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path/>
            <v:fill type="pattern" on="t" color2="#FFFFFF" o:title="5%" focussize="0,0" r:id="rId30"/>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3"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sectPr>
          <w:headerReference r:id="rId24"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8896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path/>
            <v:fill type="pattern" on="t" color2="#FFFFFF" o:title="5%" focussize="0,0" r:id="rId3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18"/>
                <w:szCs w:val="18"/>
              </w:rPr>
              <w:t>724.85</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457"/>
                <w:tab w:val="right" w:pos="1154"/>
              </w:tabs>
              <w:jc w:val="center"/>
              <w:textAlignment w:val="center"/>
              <w:rPr>
                <w:rFonts w:ascii="宋体" w:hAnsi="宋体" w:eastAsia="宋体" w:cs="宋体"/>
                <w:color w:val="000000"/>
                <w:sz w:val="22"/>
              </w:rPr>
            </w:pPr>
            <w:r>
              <w:rPr>
                <w:rFonts w:hint="eastAsia" w:ascii="宋体" w:hAnsi="宋体" w:eastAsia="宋体" w:cs="宋体"/>
                <w:color w:val="000000"/>
                <w:kern w:val="0"/>
                <w:sz w:val="18"/>
                <w:szCs w:val="18"/>
              </w:rPr>
              <w:t>595.98</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18"/>
                <w:szCs w:val="18"/>
              </w:rPr>
              <w:t>110.86</w:t>
            </w: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18"/>
                <w:szCs w:val="18"/>
              </w:rPr>
              <w:t>19.39</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center" w:pos="330"/>
                <w:tab w:val="right" w:pos="1001"/>
              </w:tabs>
              <w:jc w:val="left"/>
              <w:textAlignment w:val="center"/>
              <w:rPr>
                <w:rFonts w:ascii="宋体" w:hAnsi="宋体" w:eastAsia="宋体" w:cs="宋体"/>
                <w:color w:val="000000"/>
                <w:sz w:val="22"/>
              </w:rPr>
            </w:pPr>
            <w:r>
              <w:rPr>
                <w:rFonts w:hint="eastAsia" w:ascii="宋体" w:hAnsi="宋体" w:eastAsia="宋体" w:cs="宋体"/>
                <w:color w:val="000000"/>
                <w:kern w:val="0"/>
                <w:sz w:val="22"/>
              </w:rPr>
              <w:tab/>
            </w:r>
            <w:r>
              <w:rPr>
                <w:rFonts w:hint="eastAsia" w:ascii="宋体" w:hAnsi="宋体" w:eastAsia="宋体" w:cs="宋体"/>
                <w:color w:val="000000"/>
                <w:kern w:val="0"/>
                <w:sz w:val="18"/>
                <w:szCs w:val="18"/>
              </w:rPr>
              <w:t>724.85</w:t>
            </w:r>
            <w:r>
              <w:rPr>
                <w:rFonts w:hint="eastAsia" w:ascii="宋体" w:hAnsi="宋体" w:eastAsia="宋体" w:cs="宋体"/>
                <w:color w:val="000000"/>
                <w:kern w:val="0"/>
                <w:sz w:val="22"/>
              </w:rPr>
              <w:tab/>
            </w: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center" w:pos="407"/>
                <w:tab w:val="right" w:pos="1154"/>
              </w:tabs>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726.23</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507"/>
                <w:tab w:val="right" w:pos="1001"/>
              </w:tabs>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59.17</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57.8</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784.02</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325"/>
                <w:tab w:val="right" w:pos="1154"/>
              </w:tabs>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784.02</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10169" w:type="dxa"/>
        <w:jc w:val="center"/>
        <w:tblLayout w:type="fixed"/>
        <w:tblCellMar>
          <w:top w:w="0" w:type="dxa"/>
          <w:left w:w="0" w:type="dxa"/>
          <w:bottom w:w="0" w:type="dxa"/>
          <w:right w:w="0" w:type="dxa"/>
        </w:tblCellMar>
      </w:tblPr>
      <w:tblGrid>
        <w:gridCol w:w="375"/>
        <w:gridCol w:w="922"/>
        <w:gridCol w:w="86"/>
        <w:gridCol w:w="240"/>
        <w:gridCol w:w="90"/>
        <w:gridCol w:w="1455"/>
        <w:gridCol w:w="1000"/>
        <w:gridCol w:w="893"/>
        <w:gridCol w:w="107"/>
        <w:gridCol w:w="852"/>
        <w:gridCol w:w="148"/>
        <w:gridCol w:w="689"/>
        <w:gridCol w:w="311"/>
        <w:gridCol w:w="356"/>
        <w:gridCol w:w="616"/>
        <w:gridCol w:w="28"/>
        <w:gridCol w:w="517"/>
        <w:gridCol w:w="575"/>
        <w:gridCol w:w="514"/>
        <w:gridCol w:w="181"/>
        <w:gridCol w:w="214"/>
      </w:tblGrid>
      <w:tr>
        <w:tblPrEx>
          <w:tblCellMar>
            <w:top w:w="0" w:type="dxa"/>
            <w:left w:w="0" w:type="dxa"/>
            <w:bottom w:w="0" w:type="dxa"/>
            <w:right w:w="0" w:type="dxa"/>
          </w:tblCellMar>
        </w:tblPrEx>
        <w:trPr>
          <w:gridBefore w:val="1"/>
          <w:gridAfter w:val="1"/>
          <w:wBefore w:w="375" w:type="dxa"/>
          <w:wAfter w:w="214" w:type="dxa"/>
          <w:trHeight w:val="670" w:hRule="atLeast"/>
          <w:jc w:val="center"/>
        </w:trPr>
        <w:tc>
          <w:tcPr>
            <w:tcW w:w="9580" w:type="dxa"/>
            <w:gridSpan w:val="19"/>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gridBefore w:val="1"/>
          <w:wBefore w:w="375" w:type="dxa"/>
          <w:trHeight w:val="357" w:hRule="atLeast"/>
          <w:jc w:val="center"/>
        </w:trPr>
        <w:tc>
          <w:tcPr>
            <w:tcW w:w="100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01" w:type="dxa"/>
            <w:gridSpan w:val="5"/>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gridBefore w:val="1"/>
          <w:wBefore w:w="375" w:type="dxa"/>
          <w:trHeight w:val="357" w:hRule="atLeast"/>
          <w:jc w:val="center"/>
        </w:trPr>
        <w:tc>
          <w:tcPr>
            <w:tcW w:w="2793" w:type="dxa"/>
            <w:gridSpan w:val="5"/>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部门：无极县司法局</w:t>
            </w: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001" w:type="dxa"/>
            <w:gridSpan w:val="8"/>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2"/>
          <w:wAfter w:w="395" w:type="dxa"/>
          <w:trHeight w:val="308" w:hRule="atLeast"/>
          <w:jc w:val="center"/>
        </w:trPr>
        <w:tc>
          <w:tcPr>
            <w:tcW w:w="5061"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959" w:type="dxa"/>
            <w:gridSpan w:val="2"/>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837" w:type="dxa"/>
            <w:gridSpan w:val="2"/>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667" w:type="dxa"/>
            <w:gridSpan w:val="2"/>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616"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545" w:type="dxa"/>
            <w:gridSpan w:val="2"/>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575"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514"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gridAfter w:val="2"/>
          <w:wAfter w:w="395" w:type="dxa"/>
          <w:trHeight w:val="312" w:hRule="atLeast"/>
          <w:jc w:val="center"/>
        </w:trPr>
        <w:tc>
          <w:tcPr>
            <w:tcW w:w="1297" w:type="dxa"/>
            <w:gridSpan w:val="2"/>
            <w:vMerge w:val="restart"/>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64" w:type="dxa"/>
            <w:gridSpan w:val="6"/>
            <w:vMerge w:val="restart"/>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59"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837"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67"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16"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545"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575"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514"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12" w:hRule="atLeast"/>
          <w:jc w:val="center"/>
        </w:trPr>
        <w:tc>
          <w:tcPr>
            <w:tcW w:w="1297" w:type="dxa"/>
            <w:gridSpan w:val="2"/>
            <w:vMerge w:val="continue"/>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3764" w:type="dxa"/>
            <w:gridSpan w:val="6"/>
            <w:vMerge w:val="continue"/>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ascii="宋体" w:hAnsi="宋体" w:eastAsia="宋体" w:cs="宋体"/>
                <w:color w:val="000000"/>
                <w:sz w:val="22"/>
              </w:rPr>
            </w:pPr>
          </w:p>
        </w:tc>
        <w:tc>
          <w:tcPr>
            <w:tcW w:w="959"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837"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67"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16"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545"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575"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514"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12" w:hRule="atLeast"/>
          <w:jc w:val="center"/>
        </w:trPr>
        <w:tc>
          <w:tcPr>
            <w:tcW w:w="1297" w:type="dxa"/>
            <w:gridSpan w:val="2"/>
            <w:vMerge w:val="continue"/>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3764" w:type="dxa"/>
            <w:gridSpan w:val="6"/>
            <w:vMerge w:val="continue"/>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ascii="宋体" w:hAnsi="宋体" w:eastAsia="宋体" w:cs="宋体"/>
                <w:color w:val="000000"/>
                <w:sz w:val="22"/>
              </w:rPr>
            </w:pPr>
          </w:p>
        </w:tc>
        <w:tc>
          <w:tcPr>
            <w:tcW w:w="959"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837"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67"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16"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545"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575"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514"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5061" w:type="dxa"/>
            <w:gridSpan w:val="8"/>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59" w:type="dxa"/>
            <w:gridSpan w:val="2"/>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37" w:type="dxa"/>
            <w:gridSpan w:val="2"/>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7" w:type="dxa"/>
            <w:gridSpan w:val="2"/>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16"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545" w:type="dxa"/>
            <w:gridSpan w:val="2"/>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75"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514"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gridAfter w:val="2"/>
          <w:wAfter w:w="395" w:type="dxa"/>
          <w:trHeight w:val="308" w:hRule="atLeast"/>
          <w:jc w:val="center"/>
        </w:trPr>
        <w:tc>
          <w:tcPr>
            <w:tcW w:w="5061" w:type="dxa"/>
            <w:gridSpan w:val="8"/>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724.85</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724.85</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b/>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b/>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b/>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b/>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公共安全支出</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594.60</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594.60</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司法</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594.60</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594.60</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2040601</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409.65</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409.65</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2040604</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基层司法业务</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98.93</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98.93</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2040605</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普法宣传</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4.87</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4.87</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2040606</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律师公证管理</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28.38</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28.38</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2040607</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法律援助</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22.54</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22.54</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2040610</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社区矫正</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30.24</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30.24</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110.86</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110.86</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108.96</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108.96</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57.33</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57.33</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51.63</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51.63</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1.20</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1.20</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0.70</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0.70</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1297"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3764" w:type="dxa"/>
            <w:gridSpan w:val="6"/>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959"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83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667"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45"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75"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5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395" w:type="dxa"/>
          <w:trHeight w:val="308" w:hRule="atLeast"/>
          <w:jc w:val="center"/>
        </w:trPr>
        <w:tc>
          <w:tcPr>
            <w:tcW w:w="9774" w:type="dxa"/>
            <w:gridSpan w:val="19"/>
            <w:tcBorders>
              <w:top w:val="nil"/>
              <w:left w:val="nil"/>
              <w:bottom w:val="nil"/>
              <w:right w:val="nil"/>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970" w:type="dxa"/>
        <w:jc w:val="center"/>
        <w:tblLayout w:type="fixed"/>
        <w:tblCellMar>
          <w:top w:w="0" w:type="dxa"/>
          <w:left w:w="0" w:type="dxa"/>
          <w:bottom w:w="0" w:type="dxa"/>
          <w:right w:w="0" w:type="dxa"/>
        </w:tblCellMar>
      </w:tblPr>
      <w:tblGrid>
        <w:gridCol w:w="290"/>
        <w:gridCol w:w="941"/>
        <w:gridCol w:w="53"/>
        <w:gridCol w:w="111"/>
        <w:gridCol w:w="1359"/>
        <w:gridCol w:w="1161"/>
        <w:gridCol w:w="1161"/>
        <w:gridCol w:w="87"/>
        <w:gridCol w:w="852"/>
        <w:gridCol w:w="222"/>
        <w:gridCol w:w="690"/>
        <w:gridCol w:w="471"/>
        <w:gridCol w:w="219"/>
        <w:gridCol w:w="732"/>
        <w:gridCol w:w="210"/>
        <w:gridCol w:w="474"/>
        <w:gridCol w:w="701"/>
        <w:gridCol w:w="91"/>
        <w:gridCol w:w="145"/>
      </w:tblGrid>
      <w:tr>
        <w:tblPrEx>
          <w:tblCellMar>
            <w:top w:w="0" w:type="dxa"/>
            <w:left w:w="0" w:type="dxa"/>
            <w:bottom w:w="0" w:type="dxa"/>
            <w:right w:w="0" w:type="dxa"/>
          </w:tblCellMar>
        </w:tblPrEx>
        <w:trPr>
          <w:gridBefore w:val="1"/>
          <w:wBefore w:w="290" w:type="dxa"/>
          <w:trHeight w:val="612" w:hRule="atLeast"/>
          <w:jc w:val="center"/>
        </w:trPr>
        <w:tc>
          <w:tcPr>
            <w:tcW w:w="9680" w:type="dxa"/>
            <w:gridSpan w:val="18"/>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gridBefore w:val="1"/>
          <w:wBefore w:w="290" w:type="dxa"/>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3"/>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gridAfter w:val="1"/>
          <w:wAfter w:w="145" w:type="dxa"/>
          <w:trHeight w:val="264" w:hRule="atLeast"/>
          <w:jc w:val="center"/>
        </w:trPr>
        <w:tc>
          <w:tcPr>
            <w:tcW w:w="5163" w:type="dxa"/>
            <w:gridSpan w:val="8"/>
            <w:tcBorders>
              <w:top w:val="nil"/>
              <w:left w:val="nil"/>
              <w:bottom w:val="nil"/>
              <w:right w:val="nil"/>
            </w:tcBorders>
            <w:shd w:val="clear" w:color="auto" w:fill="auto"/>
            <w:noWrap/>
            <w:tcMar>
              <w:top w:w="12" w:type="dxa"/>
              <w:left w:w="12" w:type="dxa"/>
              <w:right w:w="12"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部门：无极县司法局</w:t>
            </w:r>
          </w:p>
        </w:tc>
        <w:tc>
          <w:tcPr>
            <w:tcW w:w="852" w:type="dxa"/>
            <w:tcBorders>
              <w:top w:val="nil"/>
              <w:left w:val="nil"/>
              <w:bottom w:val="nil"/>
              <w:right w:val="nil"/>
            </w:tcBorders>
            <w:shd w:val="clear" w:color="auto" w:fill="auto"/>
            <w:noWrap/>
            <w:tcMar>
              <w:top w:w="12" w:type="dxa"/>
              <w:left w:w="12" w:type="dxa"/>
              <w:right w:w="12" w:type="dxa"/>
            </w:tcMar>
            <w:vAlign w:val="bottom"/>
          </w:tcPr>
          <w:p>
            <w:pPr>
              <w:rPr>
                <w:rFonts w:ascii="Arial" w:hAnsi="Arial" w:cs="Arial"/>
                <w:color w:val="000000"/>
                <w:sz w:val="20"/>
                <w:szCs w:val="20"/>
              </w:rPr>
            </w:pPr>
          </w:p>
        </w:tc>
        <w:tc>
          <w:tcPr>
            <w:tcW w:w="912" w:type="dxa"/>
            <w:gridSpan w:val="2"/>
            <w:tcBorders>
              <w:top w:val="nil"/>
              <w:left w:val="nil"/>
              <w:bottom w:val="nil"/>
              <w:right w:val="nil"/>
            </w:tcBorders>
            <w:shd w:val="clear" w:color="auto" w:fill="auto"/>
            <w:noWrap/>
            <w:tcMar>
              <w:top w:w="12" w:type="dxa"/>
              <w:left w:w="12" w:type="dxa"/>
              <w:right w:w="12" w:type="dxa"/>
            </w:tcMar>
            <w:vAlign w:val="bottom"/>
          </w:tcPr>
          <w:p>
            <w:pPr>
              <w:rPr>
                <w:rFonts w:ascii="Arial" w:hAnsi="Arial" w:cs="Arial"/>
                <w:color w:val="000000"/>
                <w:sz w:val="20"/>
                <w:szCs w:val="20"/>
              </w:rPr>
            </w:pPr>
          </w:p>
        </w:tc>
        <w:tc>
          <w:tcPr>
            <w:tcW w:w="690" w:type="dxa"/>
            <w:gridSpan w:val="2"/>
            <w:tcBorders>
              <w:top w:val="nil"/>
              <w:left w:val="nil"/>
              <w:bottom w:val="nil"/>
              <w:right w:val="nil"/>
            </w:tcBorders>
            <w:shd w:val="clear" w:color="auto" w:fill="auto"/>
            <w:noWrap/>
            <w:tcMar>
              <w:top w:w="12" w:type="dxa"/>
              <w:left w:w="12" w:type="dxa"/>
              <w:right w:w="12" w:type="dxa"/>
            </w:tcMar>
            <w:vAlign w:val="bottom"/>
          </w:tcPr>
          <w:p>
            <w:pPr>
              <w:rPr>
                <w:rFonts w:ascii="Arial" w:hAnsi="Arial" w:cs="Arial"/>
                <w:color w:val="000000"/>
                <w:sz w:val="20"/>
                <w:szCs w:val="20"/>
              </w:rPr>
            </w:pPr>
          </w:p>
        </w:tc>
        <w:tc>
          <w:tcPr>
            <w:tcW w:w="732" w:type="dxa"/>
            <w:tcBorders>
              <w:top w:val="nil"/>
              <w:left w:val="nil"/>
              <w:bottom w:val="nil"/>
              <w:right w:val="nil"/>
            </w:tcBorders>
            <w:shd w:val="clear" w:color="auto" w:fill="auto"/>
            <w:noWrap/>
            <w:tcMar>
              <w:top w:w="12" w:type="dxa"/>
              <w:left w:w="12" w:type="dxa"/>
              <w:right w:w="12" w:type="dxa"/>
            </w:tcMar>
            <w:vAlign w:val="bottom"/>
          </w:tcPr>
          <w:p>
            <w:pPr>
              <w:rPr>
                <w:rFonts w:ascii="Arial" w:hAnsi="Arial" w:cs="Arial"/>
                <w:color w:val="000000"/>
                <w:sz w:val="20"/>
                <w:szCs w:val="20"/>
              </w:rPr>
            </w:pPr>
          </w:p>
        </w:tc>
        <w:tc>
          <w:tcPr>
            <w:tcW w:w="1476" w:type="dxa"/>
            <w:gridSpan w:val="4"/>
            <w:tcBorders>
              <w:top w:val="nil"/>
              <w:left w:val="nil"/>
              <w:bottom w:val="nil"/>
              <w:right w:val="nil"/>
            </w:tcBorders>
            <w:shd w:val="clear" w:color="auto" w:fill="auto"/>
            <w:noWrap/>
            <w:tcMar>
              <w:top w:w="12" w:type="dxa"/>
              <w:left w:w="12" w:type="dxa"/>
              <w:right w:w="12"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1"/>
          <w:wAfter w:w="145" w:type="dxa"/>
          <w:trHeight w:val="308" w:hRule="atLeast"/>
          <w:jc w:val="center"/>
        </w:trPr>
        <w:tc>
          <w:tcPr>
            <w:tcW w:w="5163"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852"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912" w:type="dxa"/>
            <w:gridSpan w:val="2"/>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690" w:type="dxa"/>
            <w:gridSpan w:val="2"/>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732" w:type="dxa"/>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684" w:type="dxa"/>
            <w:gridSpan w:val="2"/>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792" w:type="dxa"/>
            <w:gridSpan w:val="2"/>
            <w:vMerge w:val="restart"/>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gridAfter w:val="1"/>
          <w:wAfter w:w="145" w:type="dxa"/>
          <w:trHeight w:val="312" w:hRule="atLeast"/>
          <w:jc w:val="center"/>
        </w:trPr>
        <w:tc>
          <w:tcPr>
            <w:tcW w:w="1395" w:type="dxa"/>
            <w:gridSpan w:val="4"/>
            <w:vMerge w:val="restart"/>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68" w:type="dxa"/>
            <w:gridSpan w:val="4"/>
            <w:vMerge w:val="restart"/>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5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912"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90"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73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84"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792"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12" w:hRule="atLeast"/>
          <w:jc w:val="center"/>
        </w:trPr>
        <w:tc>
          <w:tcPr>
            <w:tcW w:w="1395" w:type="dxa"/>
            <w:gridSpan w:val="4"/>
            <w:vMerge w:val="continue"/>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3768" w:type="dxa"/>
            <w:gridSpan w:val="4"/>
            <w:vMerge w:val="continue"/>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ascii="宋体" w:hAnsi="宋体" w:eastAsia="宋体" w:cs="宋体"/>
                <w:color w:val="000000"/>
                <w:sz w:val="22"/>
              </w:rPr>
            </w:pPr>
          </w:p>
        </w:tc>
        <w:tc>
          <w:tcPr>
            <w:tcW w:w="85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912"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90"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73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84"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792"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12" w:hRule="atLeast"/>
          <w:jc w:val="center"/>
        </w:trPr>
        <w:tc>
          <w:tcPr>
            <w:tcW w:w="1395" w:type="dxa"/>
            <w:gridSpan w:val="4"/>
            <w:vMerge w:val="continue"/>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3768" w:type="dxa"/>
            <w:gridSpan w:val="4"/>
            <w:vMerge w:val="continue"/>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ascii="宋体" w:hAnsi="宋体" w:eastAsia="宋体" w:cs="宋体"/>
                <w:color w:val="000000"/>
                <w:sz w:val="22"/>
              </w:rPr>
            </w:pPr>
          </w:p>
        </w:tc>
        <w:tc>
          <w:tcPr>
            <w:tcW w:w="85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912"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90"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732" w:type="dxa"/>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684"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792" w:type="dxa"/>
            <w:gridSpan w:val="2"/>
            <w:vMerge w:val="continue"/>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5163" w:type="dxa"/>
            <w:gridSpan w:val="8"/>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85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912" w:type="dxa"/>
            <w:gridSpan w:val="2"/>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0" w:type="dxa"/>
            <w:gridSpan w:val="2"/>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32" w:type="dxa"/>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84" w:type="dxa"/>
            <w:gridSpan w:val="2"/>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92" w:type="dxa"/>
            <w:gridSpan w:val="2"/>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gridAfter w:val="1"/>
          <w:wAfter w:w="145" w:type="dxa"/>
          <w:trHeight w:val="308" w:hRule="atLeast"/>
          <w:jc w:val="center"/>
        </w:trPr>
        <w:tc>
          <w:tcPr>
            <w:tcW w:w="5163" w:type="dxa"/>
            <w:gridSpan w:val="8"/>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726.23</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551.48</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174.75</w:t>
            </w:r>
          </w:p>
        </w:tc>
        <w:tc>
          <w:tcPr>
            <w:tcW w:w="7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b/>
                <w:color w:val="000000"/>
                <w:sz w:val="22"/>
              </w:rPr>
            </w:pPr>
          </w:p>
        </w:tc>
        <w:tc>
          <w:tcPr>
            <w:tcW w:w="6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b/>
                <w:color w:val="000000"/>
                <w:sz w:val="22"/>
              </w:rPr>
            </w:pPr>
          </w:p>
        </w:tc>
        <w:tc>
          <w:tcPr>
            <w:tcW w:w="79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公共安全支出</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595.98</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421.23</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174.75</w:t>
            </w:r>
          </w:p>
        </w:tc>
        <w:tc>
          <w:tcPr>
            <w:tcW w:w="7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司法</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595.98</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421.23</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174.75</w:t>
            </w:r>
          </w:p>
        </w:tc>
        <w:tc>
          <w:tcPr>
            <w:tcW w:w="732" w:type="dxa"/>
            <w:tcBorders>
              <w:top w:val="nil"/>
              <w:left w:val="nil"/>
              <w:bottom w:val="single" w:color="auto"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nil"/>
              <w:left w:val="nil"/>
              <w:bottom w:val="single" w:color="auto"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nil"/>
              <w:left w:val="nil"/>
              <w:bottom w:val="single" w:color="auto"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2040601</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421.23</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421.23</w:t>
            </w:r>
          </w:p>
        </w:tc>
        <w:tc>
          <w:tcPr>
            <w:tcW w:w="690" w:type="dxa"/>
            <w:gridSpan w:val="2"/>
            <w:tcBorders>
              <w:top w:val="nil"/>
              <w:left w:val="nil"/>
              <w:bottom w:val="single" w:color="000000"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32"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2040604</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基层司法业务</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94.30</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90" w:type="dxa"/>
            <w:gridSpan w:val="2"/>
            <w:tcBorders>
              <w:top w:val="nil"/>
              <w:left w:val="nil"/>
              <w:bottom w:val="single" w:color="000000" w:sz="4" w:space="0"/>
              <w:right w:val="single" w:color="auto"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94.30</w:t>
            </w:r>
          </w:p>
        </w:tc>
        <w:tc>
          <w:tcPr>
            <w:tcW w:w="732"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2040605</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普法宣传</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4.87</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90" w:type="dxa"/>
            <w:gridSpan w:val="2"/>
            <w:tcBorders>
              <w:top w:val="nil"/>
              <w:left w:val="nil"/>
              <w:bottom w:val="single" w:color="000000" w:sz="4" w:space="0"/>
              <w:right w:val="single" w:color="auto"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4.87</w:t>
            </w:r>
          </w:p>
        </w:tc>
        <w:tc>
          <w:tcPr>
            <w:tcW w:w="732"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bottom"/>
          </w:tcPr>
          <w:p>
            <w:pPr>
              <w:rPr>
                <w:rFonts w:ascii="Arial" w:hAnsi="Arial" w:cs="Arial"/>
                <w:color w:val="000000"/>
                <w:sz w:val="20"/>
                <w:szCs w:val="20"/>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2040606</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律师公证管理</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28.38</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90" w:type="dxa"/>
            <w:gridSpan w:val="2"/>
            <w:tcBorders>
              <w:top w:val="nil"/>
              <w:left w:val="nil"/>
              <w:bottom w:val="single" w:color="000000" w:sz="4" w:space="0"/>
              <w:right w:val="single" w:color="auto"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28.38</w:t>
            </w:r>
          </w:p>
        </w:tc>
        <w:tc>
          <w:tcPr>
            <w:tcW w:w="732"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bottom"/>
          </w:tcPr>
          <w:p>
            <w:pPr>
              <w:rPr>
                <w:rFonts w:ascii="Arial" w:hAnsi="Arial" w:cs="Arial"/>
                <w:color w:val="000000"/>
                <w:sz w:val="20"/>
                <w:szCs w:val="20"/>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2040607</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法律援助</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90" w:type="dxa"/>
            <w:gridSpan w:val="2"/>
            <w:tcBorders>
              <w:top w:val="nil"/>
              <w:left w:val="nil"/>
              <w:bottom w:val="single" w:color="000000" w:sz="4" w:space="0"/>
              <w:right w:val="single" w:color="auto"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732" w:type="dxa"/>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2040610</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社区矫正</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732" w:type="dxa"/>
            <w:tcBorders>
              <w:top w:val="single" w:color="auto"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single" w:color="auto" w:sz="4" w:space="0"/>
              <w:left w:val="nil"/>
              <w:bottom w:val="single" w:color="auto"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single" w:color="auto" w:sz="4" w:space="0"/>
              <w:left w:val="nil"/>
              <w:bottom w:val="single" w:color="auto"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110.86</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110.86</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32" w:type="dxa"/>
            <w:tcBorders>
              <w:top w:val="nil"/>
              <w:left w:val="nil"/>
              <w:bottom w:val="single" w:color="000000"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bottom"/>
          </w:tcPr>
          <w:p>
            <w:pPr>
              <w:rPr>
                <w:rFonts w:ascii="Arial" w:hAnsi="Arial" w:cs="Arial"/>
                <w:color w:val="000000"/>
                <w:sz w:val="20"/>
                <w:szCs w:val="20"/>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108.96</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108.96</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32" w:type="dxa"/>
            <w:tcBorders>
              <w:top w:val="nil"/>
              <w:left w:val="nil"/>
              <w:bottom w:val="single" w:color="000000"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single" w:color="auto" w:sz="4" w:space="0"/>
              <w:left w:val="single" w:color="auto" w:sz="4" w:space="0"/>
              <w:bottom w:val="single" w:color="auto" w:sz="4" w:space="0"/>
              <w:right w:val="single" w:color="auto"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57.33</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57.33</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single" w:color="auto"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single" w:color="auto" w:sz="4" w:space="0"/>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51.63</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51.63</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1.20</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1.20</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0.70</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0.70</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145" w:type="dxa"/>
          <w:trHeight w:val="308" w:hRule="atLeast"/>
          <w:jc w:val="center"/>
        </w:trPr>
        <w:tc>
          <w:tcPr>
            <w:tcW w:w="1395" w:type="dxa"/>
            <w:gridSpan w:val="4"/>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3768" w:type="dxa"/>
            <w:gridSpan w:val="4"/>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85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91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690"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32"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6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c>
          <w:tcPr>
            <w:tcW w:w="792"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2"/>
          <w:wAfter w:w="236" w:type="dxa"/>
          <w:trHeight w:val="308" w:hRule="atLeast"/>
          <w:jc w:val="center"/>
        </w:trPr>
        <w:tc>
          <w:tcPr>
            <w:tcW w:w="9734" w:type="dxa"/>
            <w:gridSpan w:val="17"/>
            <w:tcBorders>
              <w:top w:val="nil"/>
              <w:left w:val="nil"/>
              <w:bottom w:val="nil"/>
              <w:right w:val="nil"/>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507"/>
        <w:gridCol w:w="593"/>
        <w:gridCol w:w="676"/>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部门：无极县司法局</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59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67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9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7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18"/>
                <w:szCs w:val="18"/>
              </w:rPr>
              <w:t>724.85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595.98</w:t>
            </w: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595.98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110.86</w:t>
            </w: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110.86</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19.39</w:t>
            </w: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19.39</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724.85</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726.23</w:t>
            </w: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33"/>
              </w:tabs>
              <w:jc w:val="center"/>
              <w:rPr>
                <w:rFonts w:ascii="宋体" w:hAnsi="宋体" w:eastAsia="宋体" w:cs="宋体"/>
                <w:color w:val="000000"/>
                <w:sz w:val="18"/>
                <w:szCs w:val="18"/>
              </w:rPr>
            </w:pPr>
            <w:r>
              <w:rPr>
                <w:rFonts w:hint="eastAsia" w:ascii="宋体" w:hAnsi="宋体" w:eastAsia="宋体" w:cs="宋体"/>
                <w:color w:val="000000"/>
                <w:sz w:val="18"/>
                <w:szCs w:val="18"/>
              </w:rPr>
              <w:t>726.23</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59.17</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57.8</w:t>
            </w: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18"/>
                <w:szCs w:val="18"/>
              </w:rPr>
            </w:pPr>
            <w:r>
              <w:rPr>
                <w:rFonts w:hint="eastAsia" w:ascii="宋体" w:hAnsi="宋体" w:eastAsia="宋体" w:cs="宋体"/>
                <w:color w:val="000000"/>
                <w:sz w:val="18"/>
                <w:szCs w:val="18"/>
              </w:rPr>
              <w:t>57.8</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59.17</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65"/>
              </w:tabs>
              <w:jc w:val="left"/>
              <w:rPr>
                <w:rFonts w:ascii="宋体" w:hAnsi="宋体" w:eastAsia="宋体" w:cs="宋体"/>
                <w:color w:val="000000"/>
                <w:sz w:val="18"/>
                <w:szCs w:val="18"/>
              </w:rPr>
            </w:pPr>
            <w:r>
              <w:rPr>
                <w:rFonts w:hint="eastAsia" w:ascii="宋体" w:hAnsi="宋体" w:eastAsia="宋体" w:cs="宋体"/>
                <w:color w:val="000000"/>
                <w:sz w:val="18"/>
                <w:szCs w:val="18"/>
              </w:rPr>
              <w:t>784.02</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59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784.02</w:t>
            </w: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784.02</w:t>
            </w:r>
          </w:p>
        </w:tc>
        <w:tc>
          <w:tcPr>
            <w:tcW w:w="78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10340" w:type="dxa"/>
        <w:jc w:val="center"/>
        <w:tblLayout w:type="fixed"/>
        <w:tblCellMar>
          <w:top w:w="0" w:type="dxa"/>
          <w:left w:w="0" w:type="dxa"/>
          <w:bottom w:w="0" w:type="dxa"/>
          <w:right w:w="0" w:type="dxa"/>
        </w:tblCellMar>
      </w:tblPr>
      <w:tblGrid>
        <w:gridCol w:w="492"/>
        <w:gridCol w:w="963"/>
        <w:gridCol w:w="69"/>
        <w:gridCol w:w="67"/>
        <w:gridCol w:w="67"/>
        <w:gridCol w:w="1695"/>
        <w:gridCol w:w="1866"/>
        <w:gridCol w:w="463"/>
        <w:gridCol w:w="1121"/>
        <w:gridCol w:w="1416"/>
        <w:gridCol w:w="1714"/>
        <w:gridCol w:w="407"/>
      </w:tblGrid>
      <w:tr>
        <w:tblPrEx>
          <w:tblCellMar>
            <w:top w:w="0" w:type="dxa"/>
            <w:left w:w="0" w:type="dxa"/>
            <w:bottom w:w="0" w:type="dxa"/>
            <w:right w:w="0" w:type="dxa"/>
          </w:tblCellMar>
        </w:tblPrEx>
        <w:trPr>
          <w:gridBefore w:val="1"/>
          <w:wBefore w:w="492" w:type="dxa"/>
          <w:trHeight w:val="600" w:hRule="atLeast"/>
          <w:jc w:val="center"/>
        </w:trPr>
        <w:tc>
          <w:tcPr>
            <w:tcW w:w="9848"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gridBefore w:val="1"/>
          <w:wBefore w:w="492" w:type="dxa"/>
          <w:trHeight w:val="255" w:hRule="atLeast"/>
          <w:jc w:val="center"/>
        </w:trPr>
        <w:tc>
          <w:tcPr>
            <w:tcW w:w="1032"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29"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58"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gridAfter w:val="1"/>
          <w:wAfter w:w="407" w:type="dxa"/>
          <w:trHeight w:val="264" w:hRule="atLeast"/>
          <w:jc w:val="center"/>
        </w:trPr>
        <w:tc>
          <w:tcPr>
            <w:tcW w:w="5219" w:type="dxa"/>
            <w:gridSpan w:val="7"/>
            <w:tcBorders>
              <w:top w:val="nil"/>
              <w:left w:val="nil"/>
              <w:bottom w:val="nil"/>
              <w:right w:val="nil"/>
            </w:tcBorders>
            <w:shd w:val="clear" w:color="auto" w:fill="auto"/>
            <w:noWrap/>
            <w:tcMar>
              <w:top w:w="12" w:type="dxa"/>
              <w:left w:w="12" w:type="dxa"/>
              <w:right w:w="12"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部门：无极县司法局</w:t>
            </w:r>
          </w:p>
        </w:tc>
        <w:tc>
          <w:tcPr>
            <w:tcW w:w="1584" w:type="dxa"/>
            <w:gridSpan w:val="2"/>
            <w:tcBorders>
              <w:top w:val="nil"/>
              <w:left w:val="nil"/>
              <w:bottom w:val="nil"/>
              <w:right w:val="nil"/>
            </w:tcBorders>
            <w:shd w:val="clear" w:color="auto" w:fill="auto"/>
            <w:noWrap/>
            <w:tcMar>
              <w:top w:w="12" w:type="dxa"/>
              <w:left w:w="12" w:type="dxa"/>
              <w:right w:w="12" w:type="dxa"/>
            </w:tcMar>
            <w:vAlign w:val="bottom"/>
          </w:tcPr>
          <w:p>
            <w:pPr>
              <w:rPr>
                <w:rFonts w:ascii="Arial" w:hAnsi="Arial" w:cs="Arial"/>
                <w:color w:val="000000"/>
                <w:sz w:val="20"/>
                <w:szCs w:val="20"/>
              </w:rPr>
            </w:pPr>
          </w:p>
        </w:tc>
        <w:tc>
          <w:tcPr>
            <w:tcW w:w="1416" w:type="dxa"/>
            <w:tcBorders>
              <w:top w:val="nil"/>
              <w:left w:val="nil"/>
              <w:bottom w:val="nil"/>
              <w:right w:val="nil"/>
            </w:tcBorders>
            <w:shd w:val="clear" w:color="auto" w:fill="auto"/>
            <w:noWrap/>
            <w:tcMar>
              <w:top w:w="12" w:type="dxa"/>
              <w:left w:w="12" w:type="dxa"/>
              <w:right w:w="12" w:type="dxa"/>
            </w:tcMar>
            <w:vAlign w:val="bottom"/>
          </w:tcPr>
          <w:p>
            <w:pPr>
              <w:rPr>
                <w:rFonts w:ascii="Arial" w:hAnsi="Arial" w:cs="Arial"/>
                <w:color w:val="000000"/>
                <w:sz w:val="20"/>
                <w:szCs w:val="20"/>
              </w:rPr>
            </w:pPr>
          </w:p>
        </w:tc>
        <w:tc>
          <w:tcPr>
            <w:tcW w:w="1714" w:type="dxa"/>
            <w:tcBorders>
              <w:top w:val="nil"/>
              <w:left w:val="nil"/>
              <w:bottom w:val="nil"/>
              <w:right w:val="nil"/>
            </w:tcBorders>
            <w:shd w:val="clear" w:color="auto" w:fill="auto"/>
            <w:noWrap/>
            <w:tcMar>
              <w:top w:w="12" w:type="dxa"/>
              <w:left w:w="12" w:type="dxa"/>
              <w:right w:w="12"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1"/>
          <w:wAfter w:w="407" w:type="dxa"/>
          <w:trHeight w:val="308" w:hRule="atLeast"/>
          <w:jc w:val="center"/>
        </w:trPr>
        <w:tc>
          <w:tcPr>
            <w:tcW w:w="5219"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714" w:type="dxa"/>
            <w:gridSpan w:val="4"/>
            <w:tcBorders>
              <w:top w:val="single" w:color="000000" w:sz="4" w:space="0"/>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gridAfter w:val="1"/>
          <w:wAfter w:w="407" w:type="dxa"/>
          <w:trHeight w:val="312" w:hRule="atLeast"/>
          <w:jc w:val="center"/>
        </w:trPr>
        <w:tc>
          <w:tcPr>
            <w:tcW w:w="1455" w:type="dxa"/>
            <w:gridSpan w:val="2"/>
            <w:vMerge w:val="restart"/>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64" w:type="dxa"/>
            <w:gridSpan w:val="5"/>
            <w:vMerge w:val="restart"/>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584" w:type="dxa"/>
            <w:gridSpan w:val="2"/>
            <w:vMerge w:val="restart"/>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416" w:type="dxa"/>
            <w:vMerge w:val="restart"/>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714" w:type="dxa"/>
            <w:vMerge w:val="restart"/>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gridAfter w:val="1"/>
          <w:wAfter w:w="407" w:type="dxa"/>
          <w:trHeight w:val="312" w:hRule="atLeast"/>
          <w:jc w:val="center"/>
        </w:trPr>
        <w:tc>
          <w:tcPr>
            <w:tcW w:w="1455" w:type="dxa"/>
            <w:gridSpan w:val="2"/>
            <w:vMerge w:val="continue"/>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3764" w:type="dxa"/>
            <w:gridSpan w:val="5"/>
            <w:vMerge w:val="continue"/>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ascii="宋体" w:hAnsi="宋体" w:eastAsia="宋体" w:cs="宋体"/>
                <w:color w:val="000000"/>
                <w:sz w:val="22"/>
              </w:rPr>
            </w:pPr>
          </w:p>
        </w:tc>
        <w:tc>
          <w:tcPr>
            <w:tcW w:w="1584" w:type="dxa"/>
            <w:gridSpan w:val="2"/>
            <w:vMerge w:val="continue"/>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1416" w:type="dxa"/>
            <w:vMerge w:val="continue"/>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1714" w:type="dxa"/>
            <w:vMerge w:val="continue"/>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312" w:hRule="atLeast"/>
          <w:jc w:val="center"/>
        </w:trPr>
        <w:tc>
          <w:tcPr>
            <w:tcW w:w="1455" w:type="dxa"/>
            <w:gridSpan w:val="2"/>
            <w:vMerge w:val="continue"/>
            <w:tcBorders>
              <w:top w:val="nil"/>
              <w:left w:val="single" w:color="000000" w:sz="4" w:space="0"/>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3764" w:type="dxa"/>
            <w:gridSpan w:val="5"/>
            <w:vMerge w:val="continue"/>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jc w:val="center"/>
              <w:rPr>
                <w:rFonts w:ascii="宋体" w:hAnsi="宋体" w:eastAsia="宋体" w:cs="宋体"/>
                <w:color w:val="000000"/>
                <w:sz w:val="22"/>
              </w:rPr>
            </w:pPr>
          </w:p>
        </w:tc>
        <w:tc>
          <w:tcPr>
            <w:tcW w:w="1584" w:type="dxa"/>
            <w:gridSpan w:val="2"/>
            <w:vMerge w:val="continue"/>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1416" w:type="dxa"/>
            <w:vMerge w:val="continue"/>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c>
          <w:tcPr>
            <w:tcW w:w="1714" w:type="dxa"/>
            <w:vMerge w:val="continue"/>
            <w:tcBorders>
              <w:top w:val="nil"/>
              <w:left w:val="nil"/>
              <w:bottom w:val="single" w:color="000000" w:sz="4" w:space="0"/>
              <w:right w:val="single" w:color="000000" w:sz="4" w:space="0"/>
            </w:tcBorders>
            <w:shd w:val="clear" w:color="auto" w:fill="auto"/>
            <w:tcMar>
              <w:top w:w="12" w:type="dxa"/>
              <w:left w:w="12" w:type="dxa"/>
              <w:right w:w="12"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388" w:hRule="atLeast"/>
          <w:jc w:val="center"/>
        </w:trPr>
        <w:tc>
          <w:tcPr>
            <w:tcW w:w="5219" w:type="dxa"/>
            <w:gridSpan w:val="7"/>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gridAfter w:val="1"/>
          <w:wAfter w:w="407" w:type="dxa"/>
          <w:trHeight w:val="340" w:hRule="atLeast"/>
          <w:jc w:val="center"/>
        </w:trPr>
        <w:tc>
          <w:tcPr>
            <w:tcW w:w="5219" w:type="dxa"/>
            <w:gridSpan w:val="7"/>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726.23</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551.48</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174.75</w:t>
            </w:r>
          </w:p>
        </w:tc>
      </w:tr>
      <w:tr>
        <w:tblPrEx>
          <w:tblCellMar>
            <w:top w:w="0" w:type="dxa"/>
            <w:left w:w="0" w:type="dxa"/>
            <w:bottom w:w="0" w:type="dxa"/>
            <w:right w:w="0" w:type="dxa"/>
          </w:tblCellMar>
        </w:tblPrEx>
        <w:trPr>
          <w:gridAfter w:val="1"/>
          <w:wAfter w:w="407" w:type="dxa"/>
          <w:trHeight w:val="424"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公共安全支出</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595.98</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421.23</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174.75</w:t>
            </w: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司法</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595.98</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421.23</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174.75</w:t>
            </w: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2040601</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行政运行</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421.23</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421.23</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2040604</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基层司法业务</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94.30</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94.30</w:t>
            </w: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2040605</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普法宣传</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4.87</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4.87</w:t>
            </w: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2040606</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律师公证管理</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28.38</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28.38</w:t>
            </w: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2040607</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法律援助</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2040610</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社区矫正</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22.89</w:t>
            </w: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110.86</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110.86</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108.96</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108.96</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归口管理的行政单位离退休</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57.33</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57.33</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机关事业单位基本养老保险缴费支出</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51.63</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51.63</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1.90</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1.90</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财政对工伤保险基金的补助</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1.20</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1.20</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财政对生育保险基金的补助</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0.70</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0.70</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07" w:type="dxa"/>
          <w:trHeight w:val="460" w:hRule="atLeast"/>
          <w:jc w:val="center"/>
        </w:trPr>
        <w:tc>
          <w:tcPr>
            <w:tcW w:w="1455" w:type="dxa"/>
            <w:gridSpan w:val="2"/>
            <w:tcBorders>
              <w:top w:val="nil"/>
              <w:left w:val="single" w:color="000000" w:sz="4" w:space="0"/>
              <w:bottom w:val="single" w:color="000000" w:sz="4" w:space="0"/>
              <w:right w:val="single" w:color="000000" w:sz="4" w:space="0"/>
            </w:tcBorders>
            <w:shd w:val="clear" w:color="auto" w:fill="auto"/>
            <w:noWrap/>
            <w:tcMar>
              <w:top w:w="12" w:type="dxa"/>
              <w:left w:w="12" w:type="dxa"/>
              <w:right w:w="12"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3764" w:type="dxa"/>
            <w:gridSpan w:val="5"/>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ind w:firstLine="220" w:firstLineChars="100"/>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行政单位医疗</w:t>
            </w:r>
          </w:p>
        </w:tc>
        <w:tc>
          <w:tcPr>
            <w:tcW w:w="1584" w:type="dxa"/>
            <w:gridSpan w:val="2"/>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1416"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19.39</w:t>
            </w:r>
          </w:p>
        </w:tc>
        <w:tc>
          <w:tcPr>
            <w:tcW w:w="1714" w:type="dxa"/>
            <w:tcBorders>
              <w:top w:val="nil"/>
              <w:left w:val="nil"/>
              <w:bottom w:val="single" w:color="000000" w:sz="4" w:space="0"/>
              <w:right w:val="single" w:color="000000" w:sz="4" w:space="0"/>
            </w:tcBorders>
            <w:shd w:val="clear" w:color="auto" w:fill="auto"/>
            <w:noWrap/>
            <w:tcMar>
              <w:top w:w="12" w:type="dxa"/>
              <w:left w:w="12" w:type="dxa"/>
              <w:right w:w="12" w:type="dxa"/>
            </w:tcMar>
            <w:vAlign w:val="center"/>
          </w:tcPr>
          <w:p>
            <w:pPr>
              <w:widowControl/>
              <w:jc w:val="right"/>
              <w:textAlignment w:val="center"/>
              <w:rPr>
                <w:rFonts w:ascii="宋体" w:hAnsi="宋体" w:eastAsia="宋体" w:cs="宋体"/>
                <w:color w:val="000000"/>
                <w:sz w:val="22"/>
              </w:rPr>
            </w:pP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282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部门：无极县司法局</w:t>
            </w: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43"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438.41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51"/>
              </w:tabs>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55.74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80"/>
              </w:tabs>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160.59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31"/>
              </w:tabs>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18.19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152.71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27"/>
              </w:tabs>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3.5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13.06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6.53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70.64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0.8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9.51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5.14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256"/>
              </w:tabs>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23.49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76"/>
              </w:tabs>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1.9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0.52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4.82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57.33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57.33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2.56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20.2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495.74</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tabs>
                <w:tab w:val="left" w:pos="332"/>
              </w:tabs>
              <w:spacing w:line="180" w:lineRule="exact"/>
              <w:jc w:val="center"/>
              <w:rPr>
                <w:rFonts w:ascii="宋体" w:hAnsi="宋体" w:eastAsia="宋体" w:cs="宋体"/>
                <w:color w:val="000000"/>
                <w:sz w:val="20"/>
                <w:szCs w:val="20"/>
              </w:rPr>
            </w:pPr>
            <w:r>
              <w:rPr>
                <w:rFonts w:hint="eastAsia" w:ascii="宋体" w:hAnsi="宋体" w:eastAsia="宋体" w:cs="宋体"/>
                <w:color w:val="000000"/>
                <w:sz w:val="20"/>
                <w:szCs w:val="20"/>
              </w:rPr>
              <w:t>55.74</w:t>
            </w:r>
          </w:p>
        </w:tc>
      </w:tr>
    </w:tbl>
    <w:p>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2953"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eastAsia="宋体" w:cs="Arial"/>
                <w:color w:val="000000"/>
                <w:sz w:val="20"/>
                <w:szCs w:val="20"/>
              </w:rPr>
            </w:pPr>
            <w:r>
              <w:rPr>
                <w:rFonts w:hint="eastAsia" w:ascii="宋体" w:hAnsi="宋体" w:eastAsia="宋体" w:cs="宋体"/>
                <w:color w:val="000000"/>
                <w:kern w:val="0"/>
                <w:sz w:val="20"/>
                <w:szCs w:val="20"/>
              </w:rPr>
              <w:t>部门：无极县司法局</w:t>
            </w: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3</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3</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3</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2.56</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tabs>
                <w:tab w:val="left" w:pos="463"/>
              </w:tabs>
              <w:jc w:val="left"/>
              <w:rPr>
                <w:rFonts w:ascii="宋体" w:hAnsi="宋体" w:eastAsia="宋体" w:cs="宋体"/>
                <w:color w:val="000000"/>
                <w:sz w:val="22"/>
              </w:rPr>
            </w:pPr>
            <w:r>
              <w:rPr>
                <w:rFonts w:hint="eastAsia" w:ascii="宋体" w:hAnsi="宋体" w:eastAsia="宋体" w:cs="宋体"/>
                <w:color w:val="000000"/>
                <w:sz w:val="22"/>
              </w:rPr>
              <w:tab/>
            </w:r>
            <w:r>
              <w:rPr>
                <w:rFonts w:hint="eastAsia" w:ascii="宋体" w:hAnsi="宋体" w:eastAsia="宋体" w:cs="宋体"/>
                <w:color w:val="000000"/>
                <w:sz w:val="22"/>
              </w:rPr>
              <w:t>2.56</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2610"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eastAsia="宋体" w:cs="Arial"/>
                <w:color w:val="000000"/>
                <w:sz w:val="20"/>
                <w:szCs w:val="20"/>
              </w:rPr>
            </w:pPr>
            <w:r>
              <w:rPr>
                <w:rFonts w:hint="eastAsia" w:ascii="宋体" w:hAnsi="宋体" w:eastAsia="宋体" w:cs="宋体"/>
                <w:color w:val="000000"/>
                <w:kern w:val="0"/>
                <w:sz w:val="20"/>
                <w:szCs w:val="20"/>
              </w:rPr>
              <w:t>部门：无极县司法局</w:t>
            </w: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注：本部门无政府性基金预算财政拨款收入支出，故空表列式。</w:t>
      </w:r>
      <w:r>
        <w:br w:type="page"/>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eastAsia="宋体" w:cs="Arial"/>
                <w:color w:val="000000"/>
                <w:sz w:val="20"/>
                <w:szCs w:val="20"/>
              </w:rPr>
            </w:pPr>
            <w:r>
              <w:rPr>
                <w:rFonts w:hint="eastAsia" w:ascii="宋体" w:hAnsi="宋体" w:eastAsia="宋体" w:cs="宋体"/>
                <w:color w:val="000000"/>
                <w:kern w:val="0"/>
                <w:sz w:val="20"/>
                <w:szCs w:val="20"/>
              </w:rPr>
              <w:t>部门：无极县司法局</w:t>
            </w: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注：本部门无国有资本经营预算财政拨款支出，故空表列式。</w:t>
      </w:r>
      <w:r>
        <w:br w:type="page"/>
      </w:r>
    </w:p>
    <w:p>
      <w:r>
        <w:pict>
          <v:rect id="_x0000_s1027" o:spid="_x0000_s1027" o:spt="1" style="position:absolute;left:0pt;margin-left:-70.5pt;margin-top:-85.25pt;height:841.15pt;width:595.1pt;z-index:25168998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path/>
            <v:fill on="t" focussize="0,0"/>
            <v:stroke on="f" weight="1pt"/>
            <v:imagedata o:title=""/>
            <o:lock v:ext="edit"/>
          </v:rect>
        </w:pict>
      </w:r>
    </w:p>
    <w:sectPr>
      <w:headerReference r:id="rId27" w:type="first"/>
      <w:headerReference r:id="rId26" w:type="default"/>
      <w:footerReference r:id="rId28"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w:panose1 w:val="000000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Meiryo">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7872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179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- 37 -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85" o:spid="_x0000_s2085" o:spt="202" type="#_x0000_t202" style="position:absolute;left:0pt;margin-left:209.65pt;margin-top:-12.95pt;height:14.3pt;width:30.6pt;mso-position-horizontal-relative:margin;z-index:25167564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- 12 -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3" o:spid="_x0000_s2093" o:spt="202" type="#_x0000_t202" style="position:absolute;left:0pt;margin-left:206.55pt;margin-top:-22.45pt;height:35.15pt;width:34pt;mso-position-horizontal-relative:margin;z-index:25167667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769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- 26 -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8" o:spid="_x0000_s2098"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v:shape id="_x0000_s2100" o:spid="_x0000_s2100"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99"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94" o:spid="_x0000_s2094"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v:rect id="矩形 2" o:spid="_x0000_s2097"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96"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5"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84864;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168588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82816;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3840;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79744;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0768;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0" o:spid="_x0000_s2090" o:spt="203" style="position:absolute;left:0pt;margin-left:2.25pt;margin-top:45.75pt;height:32.05pt;width:239.85pt;mso-position-horizontal-relative:page;mso-position-vertical-relative:page;z-index:25166950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v:shape id="_x0000_s2092" o:spid="_x0000_s2092"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1"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6" o:spid="_x0000_s2086"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v:rect id="矩形 2" o:spid="_x0000_s2089"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8"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7"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3B60F4"/>
    <w:multiLevelType w:val="singleLevel"/>
    <w:tmpl w:val="983B60F4"/>
    <w:lvl w:ilvl="0" w:tentative="0">
      <w:start w:val="3"/>
      <w:numFmt w:val="decimal"/>
      <w:suff w:val="nothing"/>
      <w:lvlText w:val="%1、"/>
      <w:lvlJc w:val="left"/>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F222FFA"/>
    <w:multiLevelType w:val="singleLevel"/>
    <w:tmpl w:val="5F222FFA"/>
    <w:lvl w:ilvl="0" w:tentative="0">
      <w:start w:val="1"/>
      <w:numFmt w:val="decimal"/>
      <w:suff w:val="nothing"/>
      <w:lvlText w:val="（%1）"/>
      <w:lvlJc w:val="left"/>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70194"/>
    <w:rsid w:val="00376ABB"/>
    <w:rsid w:val="003A4EE8"/>
    <w:rsid w:val="00442CC2"/>
    <w:rsid w:val="00446244"/>
    <w:rsid w:val="00473C20"/>
    <w:rsid w:val="004D61CB"/>
    <w:rsid w:val="004F27F7"/>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54AAF"/>
    <w:rsid w:val="00A929C2"/>
    <w:rsid w:val="00AB051D"/>
    <w:rsid w:val="00AD097F"/>
    <w:rsid w:val="00AD7CC5"/>
    <w:rsid w:val="00B417C9"/>
    <w:rsid w:val="00B844F4"/>
    <w:rsid w:val="00BA06A1"/>
    <w:rsid w:val="00BA770A"/>
    <w:rsid w:val="00C054DE"/>
    <w:rsid w:val="00C679A9"/>
    <w:rsid w:val="00C7541C"/>
    <w:rsid w:val="00CC0FAA"/>
    <w:rsid w:val="00CD0736"/>
    <w:rsid w:val="00D07CB5"/>
    <w:rsid w:val="00D1570F"/>
    <w:rsid w:val="00D32830"/>
    <w:rsid w:val="00DB7153"/>
    <w:rsid w:val="00DB7F05"/>
    <w:rsid w:val="00DE2332"/>
    <w:rsid w:val="00E028C3"/>
    <w:rsid w:val="00E14F77"/>
    <w:rsid w:val="00E3076B"/>
    <w:rsid w:val="00E36978"/>
    <w:rsid w:val="00E82A1E"/>
    <w:rsid w:val="00EA05EC"/>
    <w:rsid w:val="00EC06F4"/>
    <w:rsid w:val="00EE4E36"/>
    <w:rsid w:val="00F35DB0"/>
    <w:rsid w:val="00F665F4"/>
    <w:rsid w:val="00FD225F"/>
    <w:rsid w:val="014F1F12"/>
    <w:rsid w:val="04AB2A80"/>
    <w:rsid w:val="05B00A30"/>
    <w:rsid w:val="06FE22DC"/>
    <w:rsid w:val="0B011416"/>
    <w:rsid w:val="14DC2EC0"/>
    <w:rsid w:val="179963E4"/>
    <w:rsid w:val="207B343F"/>
    <w:rsid w:val="26A74998"/>
    <w:rsid w:val="276C761A"/>
    <w:rsid w:val="2C74792B"/>
    <w:rsid w:val="2E4D026D"/>
    <w:rsid w:val="31C2036A"/>
    <w:rsid w:val="320D02A5"/>
    <w:rsid w:val="33C35486"/>
    <w:rsid w:val="341B4AC6"/>
    <w:rsid w:val="348E566F"/>
    <w:rsid w:val="36752B49"/>
    <w:rsid w:val="37B2147D"/>
    <w:rsid w:val="39220250"/>
    <w:rsid w:val="3A226944"/>
    <w:rsid w:val="3AEE6A48"/>
    <w:rsid w:val="3B4D1054"/>
    <w:rsid w:val="3C1620AA"/>
    <w:rsid w:val="3C2B21C3"/>
    <w:rsid w:val="3D8F080F"/>
    <w:rsid w:val="3DBF3724"/>
    <w:rsid w:val="41896E2E"/>
    <w:rsid w:val="43B85DE7"/>
    <w:rsid w:val="44366CC9"/>
    <w:rsid w:val="44CE1FA4"/>
    <w:rsid w:val="4681079F"/>
    <w:rsid w:val="487B44AC"/>
    <w:rsid w:val="487F73ED"/>
    <w:rsid w:val="492065DA"/>
    <w:rsid w:val="4A347EAE"/>
    <w:rsid w:val="4D590C0E"/>
    <w:rsid w:val="516905C9"/>
    <w:rsid w:val="52600405"/>
    <w:rsid w:val="528D6372"/>
    <w:rsid w:val="529B4319"/>
    <w:rsid w:val="57773DD6"/>
    <w:rsid w:val="578B79AB"/>
    <w:rsid w:val="57BE20C4"/>
    <w:rsid w:val="58CC4516"/>
    <w:rsid w:val="5961649E"/>
    <w:rsid w:val="5B3305BE"/>
    <w:rsid w:val="5CCD3FD5"/>
    <w:rsid w:val="5F376D15"/>
    <w:rsid w:val="608C252E"/>
    <w:rsid w:val="61FA5F9D"/>
    <w:rsid w:val="64CD6910"/>
    <w:rsid w:val="651A4B14"/>
    <w:rsid w:val="6789158D"/>
    <w:rsid w:val="67D81BA4"/>
    <w:rsid w:val="6A302D77"/>
    <w:rsid w:val="6AAF1C96"/>
    <w:rsid w:val="72B31A35"/>
    <w:rsid w:val="73274AD7"/>
    <w:rsid w:val="734F377D"/>
    <w:rsid w:val="74203C43"/>
    <w:rsid w:val="754F3665"/>
    <w:rsid w:val="75681757"/>
    <w:rsid w:val="75A346A8"/>
    <w:rsid w:val="775E14CA"/>
    <w:rsid w:val="78B7030C"/>
    <w:rsid w:val="79B9382C"/>
    <w:rsid w:val="7B043B76"/>
    <w:rsid w:val="7C041A6A"/>
    <w:rsid w:val="7C9B4B76"/>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4" Type="http://schemas.openxmlformats.org/officeDocument/2006/relationships/fontTable" Target="fontTable.xml"/><Relationship Id="rId43" Type="http://schemas.openxmlformats.org/officeDocument/2006/relationships/customXml" Target="../customXml/item2.xml"/><Relationship Id="rId42" Type="http://schemas.openxmlformats.org/officeDocument/2006/relationships/numbering" Target="numbering.xml"/><Relationship Id="rId41" Type="http://schemas.openxmlformats.org/officeDocument/2006/relationships/customXml" Target="../customXml/item1.xml"/><Relationship Id="rId40" Type="http://schemas.openxmlformats.org/officeDocument/2006/relationships/image" Target="media/image8.emf"/><Relationship Id="rId4" Type="http://schemas.openxmlformats.org/officeDocument/2006/relationships/header" Target="header2.xml"/><Relationship Id="rId39" Type="http://schemas.openxmlformats.org/officeDocument/2006/relationships/package" Target="embeddings/Workbook3.xlsx"/><Relationship Id="rId38" Type="http://schemas.openxmlformats.org/officeDocument/2006/relationships/image" Target="media/image7.emf"/><Relationship Id="rId37" Type="http://schemas.openxmlformats.org/officeDocument/2006/relationships/package" Target="embeddings/Workbook2.xlsx"/><Relationship Id="rId36" Type="http://schemas.openxmlformats.org/officeDocument/2006/relationships/image" Target="media/image6.png"/><Relationship Id="rId35" Type="http://schemas.openxmlformats.org/officeDocument/2006/relationships/image" Target="media/image5.png"/><Relationship Id="rId34" Type="http://schemas.openxmlformats.org/officeDocument/2006/relationships/chart" Target="charts/chart1.xml"/><Relationship Id="rId33" Type="http://schemas.openxmlformats.org/officeDocument/2006/relationships/image" Target="media/image4.png"/><Relationship Id="rId32" Type="http://schemas.openxmlformats.org/officeDocument/2006/relationships/image" Target="media/image3.emf"/><Relationship Id="rId31" Type="http://schemas.openxmlformats.org/officeDocument/2006/relationships/package" Target="embeddings/Workbook1.xlsx"/><Relationship Id="rId30" Type="http://schemas.openxmlformats.org/officeDocument/2006/relationships/image" Target="media/image2.GIF"/><Relationship Id="rId3" Type="http://schemas.openxmlformats.org/officeDocument/2006/relationships/header" Target="header1.xml"/><Relationship Id="rId29" Type="http://schemas.openxmlformats.org/officeDocument/2006/relationships/theme" Target="theme/theme1.xml"/><Relationship Id="rId28" Type="http://schemas.openxmlformats.org/officeDocument/2006/relationships/footer" Target="footer11.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footer" Target="footer9.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724.85</c:v>
                </c:pt>
                <c:pt idx="1">
                  <c:v>0</c:v>
                </c:pt>
                <c:pt idx="3">
                  <c:v>0</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2100"/>
    <customShpInfo spid="_x0000_s2099"/>
    <customShpInfo spid="_x0000_s2098"/>
    <customShpInfo spid="_x0000_s2097"/>
    <customShpInfo spid="_x0000_s2096"/>
    <customShpInfo spid="_x0000_s2095"/>
    <customShpInfo spid="_x0000_s2094"/>
    <customShpInfo spid="_x0000_s2092"/>
    <customShpInfo spid="_x0000_s2091"/>
    <customShpInfo spid="_x0000_s2090"/>
    <customShpInfo spid="_x0000_s2089"/>
    <customShpInfo spid="_x0000_s2088"/>
    <customShpInfo spid="_x0000_s2087"/>
    <customShpInfo spid="_x0000_s2086"/>
    <customShpInfo spid="_x0000_s2085"/>
    <customShpInfo spid="_x0000_s2093"/>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5B8C48C-87E5-4527-888A-F4074BB01065}">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37</Pages>
  <Words>2454</Words>
  <Characters>13991</Characters>
  <Lines>116</Lines>
  <Paragraphs>32</Paragraphs>
  <TotalTime>4</TotalTime>
  <ScaleCrop>false</ScaleCrop>
  <LinksUpToDate>false</LinksUpToDate>
  <CharactersWithSpaces>16413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2024-01-03T07:13:11Z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98ABF18D83E547CAAAEEE6012A627B1A</vt:lpwstr>
  </property>
</Properties>
</file>