
<file path=[Content_Types].xml><?xml version="1.0" encoding="utf-8"?>
<Types xmlns="http://schemas.openxmlformats.org/package/2006/content-types">
  <Default Extension="xml" ContentType="application/xml"/>
  <Default Extension="emf" ContentType="image/x-emf"/>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bookmarkStart w:id="0" w:name="_GoBack"/>
      <w:bookmarkEnd w:id="0"/>
      <w:r>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w:r>
      <w:r>
        <w:pict>
          <v:shape id="椭圆 8" o:spid="_x0000_s1042"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path/>
            <v:fill on="t" focussize="0,0"/>
            <v:stroke on="f" weight="1pt" joinstyle="miter"/>
            <v:imagedata o:title=""/>
            <o:lock v:ext="edit"/>
            <v:textbox>
              <w:txbxContent>
                <w:p>
                  <w:pPr>
                    <w:jc w:val="center"/>
                  </w:pPr>
                </w:p>
              </w:txbxContent>
            </v:textbox>
          </v:shape>
        </w:pict>
      </w:r>
      <w:r>
        <w:pict>
          <v:rect id="矩形 14" o:spid="_x0000_s1041"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0"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path/>
            <v:fill on="t" focussize="0,0"/>
            <v:stroke on="f" weight="1pt" joinstyle="miter"/>
            <v:imagedata o:title=""/>
            <o:lock v:ext="edit"/>
            <v:textbox>
              <w:txbxContent>
                <w:p>
                  <w:pPr>
                    <w:jc w:val="center"/>
                  </w:pPr>
                </w:p>
              </w:txbxContent>
            </v:textbox>
          </v:shape>
        </w:pict>
      </w:r>
      <w:r>
        <w:pict>
          <v:group id="_x0000_s1037" o:spid="_x0000_s1037" o:spt="203" style="position:absolute;left:0pt;margin-left:1.25pt;margin-top:821.7pt;height:21.45pt;width:595.25pt;z-index:251662336;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v:rect id="矩形 6" o:spid="_x0000_s1039"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38"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34" o:spid="_x0000_s1034" o:spt="203" style="position:absolute;left:0pt;margin-left:-2.5pt;margin-top:-3.35pt;height:69.6pt;width:600.25pt;z-index:-251649024;mso-width-relative:page;mso-height-relative:page;"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v:rect id="矩形 5" o:spid="_x0000_s103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35" o:spid="_x0000_s1035" o:spt="202" type="#_x0000_t202" style="position:absolute;left:17229;top:-66719;height:1392046;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33"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无极县卫生健康局</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32" o:spid="_x0000_s1032"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path/>
            <v:fill type="pattern" on="t" color2="#FFFFFF" o:title="5%" focussize="0,0" r:id="rId31"/>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rPr>
          <w:sz w:val="44"/>
          <w:szCs w:val="44"/>
        </w:rPr>
      </w:pPr>
      <w:r>
        <w:rPr>
          <w:rFonts w:hint="eastAsia"/>
          <w:sz w:val="44"/>
          <w:szCs w:val="44"/>
        </w:rPr>
        <w:t>一、部门职责</w:t>
      </w:r>
    </w:p>
    <w:p>
      <w:pPr>
        <w:rPr>
          <w:sz w:val="44"/>
          <w:szCs w:val="44"/>
        </w:rPr>
      </w:pPr>
      <w:r>
        <w:rPr>
          <w:rFonts w:hint="eastAsia" w:ascii="仿宋" w:hAnsi="仿宋" w:eastAsia="仿宋" w:cs="仿宋"/>
          <w:color w:val="000000"/>
          <w:sz w:val="24"/>
          <w:szCs w:val="24"/>
          <w:shd w:val="clear" w:color="auto" w:fill="FFFFFF"/>
        </w:rPr>
        <w:t>（1）</w:t>
      </w:r>
      <w:r>
        <w:rPr>
          <w:rFonts w:ascii="仿宋" w:hAnsi="仿宋" w:eastAsia="仿宋" w:cs="仿宋"/>
          <w:color w:val="000000"/>
          <w:sz w:val="24"/>
          <w:szCs w:val="24"/>
          <w:shd w:val="clear" w:color="auto" w:fill="FFFFFF"/>
        </w:rPr>
        <w:t>负责协调推进医药卫生体制改革和医疗保障，统筹规划卫生和计划生育服务资源配置，指导区域卫生和计划生育规划的编制与实施。</w:t>
      </w:r>
      <w:r>
        <w:rPr>
          <w:rFonts w:ascii="仿宋" w:hAnsi="仿宋" w:eastAsia="仿宋" w:cs="仿宋"/>
          <w:color w:val="000000"/>
          <w:sz w:val="24"/>
          <w:szCs w:val="24"/>
          <w:shd w:val="clear" w:color="auto" w:fill="FFFFFF"/>
        </w:rPr>
        <w:br w:type="textWrapping"/>
      </w:r>
      <w:r>
        <w:rPr>
          <w:rFonts w:ascii="仿宋" w:hAnsi="仿宋" w:eastAsia="仿宋" w:cs="仿宋"/>
          <w:color w:val="000000"/>
          <w:sz w:val="24"/>
          <w:szCs w:val="24"/>
          <w:shd w:val="clear" w:color="auto" w:fill="FFFFFF"/>
        </w:rPr>
        <w:t> </w:t>
      </w:r>
      <w:r>
        <w:rPr>
          <w:rFonts w:hint="eastAsia" w:ascii="仿宋" w:hAnsi="仿宋" w:eastAsia="仿宋" w:cs="仿宋"/>
          <w:color w:val="000000"/>
          <w:sz w:val="24"/>
          <w:szCs w:val="24"/>
          <w:shd w:val="clear" w:color="auto" w:fill="FFFFFF"/>
        </w:rPr>
        <w:t xml:space="preserve">  </w:t>
      </w:r>
      <w:r>
        <w:rPr>
          <w:rFonts w:ascii="仿宋" w:hAnsi="仿宋" w:eastAsia="仿宋" w:cs="仿宋"/>
          <w:color w:val="000000"/>
          <w:sz w:val="24"/>
          <w:szCs w:val="24"/>
          <w:shd w:val="clear" w:color="auto" w:fill="FFFFFF"/>
        </w:rPr>
        <w:t>(</w:t>
      </w:r>
      <w:r>
        <w:rPr>
          <w:rFonts w:hint="eastAsia" w:ascii="仿宋" w:hAnsi="仿宋" w:eastAsia="仿宋" w:cs="仿宋"/>
          <w:color w:val="000000"/>
          <w:sz w:val="24"/>
          <w:szCs w:val="24"/>
          <w:shd w:val="clear" w:color="auto" w:fill="FFFFFF"/>
        </w:rPr>
        <w:t>2</w:t>
      </w:r>
      <w:r>
        <w:rPr>
          <w:rFonts w:ascii="仿宋" w:hAnsi="仿宋" w:eastAsia="仿宋" w:cs="仿宋"/>
          <w:color w:val="000000"/>
          <w:sz w:val="24"/>
          <w:szCs w:val="24"/>
          <w:shd w:val="clear" w:color="auto" w:fill="FFFFFF"/>
        </w:rPr>
        <w:t>)负责制定疾病预防控制规划、严重危害人民健康的公共卫生问题干预措施并组织落实，制定卫生应急和紧急医疗救援预案、突发公共卫生事件监测工作计划，组织和指导突发公共卫生事件预防控制和各类突发公共事件的医疗卫生救援，依法发布突发公共卫生事件应急处置信息。</w:t>
      </w:r>
      <w:r>
        <w:rPr>
          <w:rFonts w:ascii="仿宋" w:hAnsi="仿宋" w:eastAsia="仿宋" w:cs="仿宋"/>
          <w:color w:val="000000"/>
          <w:sz w:val="24"/>
          <w:szCs w:val="24"/>
          <w:shd w:val="clear" w:color="auto" w:fill="FFFFFF"/>
        </w:rPr>
        <w:br w:type="textWrapping"/>
      </w:r>
      <w:r>
        <w:rPr>
          <w:rFonts w:hint="eastAsia" w:ascii="仿宋" w:hAnsi="仿宋" w:eastAsia="仿宋" w:cs="仿宋"/>
          <w:color w:val="000000"/>
          <w:sz w:val="24"/>
          <w:szCs w:val="24"/>
          <w:shd w:val="clear" w:color="auto" w:fill="FFFFFF"/>
        </w:rPr>
        <w:t xml:space="preserve">   </w:t>
      </w:r>
      <w:r>
        <w:rPr>
          <w:rFonts w:ascii="仿宋" w:hAnsi="仿宋" w:eastAsia="仿宋" w:cs="仿宋"/>
          <w:color w:val="000000"/>
          <w:sz w:val="24"/>
          <w:szCs w:val="24"/>
          <w:shd w:val="clear" w:color="auto" w:fill="FFFFFF"/>
        </w:rPr>
        <w:t>(</w:t>
      </w:r>
      <w:r>
        <w:rPr>
          <w:rFonts w:hint="eastAsia" w:ascii="仿宋" w:hAnsi="仿宋" w:eastAsia="仿宋" w:cs="仿宋"/>
          <w:color w:val="000000"/>
          <w:sz w:val="24"/>
          <w:szCs w:val="24"/>
          <w:shd w:val="clear" w:color="auto" w:fill="FFFFFF"/>
        </w:rPr>
        <w:t>3</w:t>
      </w:r>
      <w:r>
        <w:rPr>
          <w:rFonts w:ascii="仿宋" w:hAnsi="仿宋" w:eastAsia="仿宋" w:cs="仿宋"/>
          <w:color w:val="000000"/>
          <w:sz w:val="24"/>
          <w:szCs w:val="24"/>
          <w:shd w:val="clear" w:color="auto" w:fill="FFFFFF"/>
        </w:rPr>
        <w:t>)拟定基层卫生和计划生育服务、妇幼卫生发展规划和政策措施并组织实施，指导基层卫生和计划生育、妇幼卫生服务体系建设，推进基本公共卫生和计划生育服务均等化，完善基层运行新机制和乡村医生管理制度。</w:t>
      </w:r>
      <w:r>
        <w:rPr>
          <w:rFonts w:ascii="仿宋" w:hAnsi="仿宋" w:eastAsia="仿宋" w:cs="仿宋"/>
          <w:color w:val="000000"/>
          <w:sz w:val="24"/>
          <w:szCs w:val="24"/>
          <w:shd w:val="clear" w:color="auto" w:fill="FFFFFF"/>
        </w:rPr>
        <w:br w:type="textWrapping"/>
      </w:r>
      <w:r>
        <w:rPr>
          <w:rFonts w:hint="eastAsia" w:ascii="仿宋" w:hAnsi="仿宋" w:eastAsia="仿宋" w:cs="仿宋"/>
          <w:color w:val="000000"/>
          <w:sz w:val="24"/>
          <w:szCs w:val="24"/>
          <w:shd w:val="clear" w:color="auto" w:fill="FFFFFF"/>
        </w:rPr>
        <w:t xml:space="preserve">   </w:t>
      </w:r>
      <w:r>
        <w:rPr>
          <w:rFonts w:ascii="仿宋" w:hAnsi="仿宋" w:eastAsia="仿宋" w:cs="仿宋"/>
          <w:color w:val="000000"/>
          <w:sz w:val="24"/>
          <w:szCs w:val="24"/>
          <w:shd w:val="clear" w:color="auto" w:fill="FFFFFF"/>
        </w:rPr>
        <w:t>(</w:t>
      </w:r>
      <w:r>
        <w:rPr>
          <w:rFonts w:hint="eastAsia" w:ascii="仿宋" w:hAnsi="仿宋" w:eastAsia="仿宋" w:cs="仿宋"/>
          <w:color w:val="000000"/>
          <w:sz w:val="24"/>
          <w:szCs w:val="24"/>
          <w:shd w:val="clear" w:color="auto" w:fill="FFFFFF"/>
        </w:rPr>
        <w:t>4</w:t>
      </w:r>
      <w:r>
        <w:rPr>
          <w:rFonts w:ascii="仿宋" w:hAnsi="仿宋" w:eastAsia="仿宋" w:cs="仿宋"/>
          <w:color w:val="000000"/>
          <w:sz w:val="24"/>
          <w:szCs w:val="24"/>
          <w:shd w:val="clear" w:color="auto" w:fill="FFFFFF"/>
        </w:rPr>
        <w:t>)负责制定医疗机构和医疗服务全行业管理办法并监督实施；制定医疗机构及其医疗服务、医疗技术、医疗质量、医疗安全以及采供血机构管理的规范并组织实施；会同有关部门组织实施卫生专业技术人员资格准入，实施卫生专业技术人员执业规则和服务规范，建立医疗服务评价和监督管理体系。</w:t>
      </w:r>
      <w:r>
        <w:rPr>
          <w:rFonts w:ascii="仿宋" w:hAnsi="仿宋" w:eastAsia="仿宋" w:cs="仿宋"/>
          <w:color w:val="000000"/>
          <w:sz w:val="24"/>
          <w:szCs w:val="24"/>
          <w:shd w:val="clear" w:color="auto" w:fill="FFFFFF"/>
        </w:rPr>
        <w:br w:type="textWrapping"/>
      </w:r>
      <w:r>
        <w:rPr>
          <w:rFonts w:hint="eastAsia" w:ascii="仿宋" w:hAnsi="仿宋" w:eastAsia="仿宋" w:cs="仿宋"/>
          <w:color w:val="000000"/>
          <w:sz w:val="24"/>
          <w:szCs w:val="24"/>
          <w:shd w:val="clear" w:color="auto" w:fill="FFFFFF"/>
        </w:rPr>
        <w:t xml:space="preserve">   </w:t>
      </w:r>
      <w:r>
        <w:rPr>
          <w:rFonts w:ascii="仿宋" w:hAnsi="仿宋" w:eastAsia="仿宋" w:cs="仿宋"/>
          <w:color w:val="000000"/>
          <w:sz w:val="24"/>
          <w:szCs w:val="24"/>
          <w:shd w:val="clear" w:color="auto" w:fill="FFFFFF"/>
        </w:rPr>
        <w:t>(</w:t>
      </w:r>
      <w:r>
        <w:rPr>
          <w:rFonts w:hint="eastAsia" w:ascii="仿宋" w:hAnsi="仿宋" w:eastAsia="仿宋" w:cs="仿宋"/>
          <w:color w:val="000000"/>
          <w:sz w:val="24"/>
          <w:szCs w:val="24"/>
          <w:shd w:val="clear" w:color="auto" w:fill="FFFFFF"/>
        </w:rPr>
        <w:t>5</w:t>
      </w:r>
      <w:r>
        <w:rPr>
          <w:rFonts w:ascii="仿宋" w:hAnsi="仿宋" w:eastAsia="仿宋" w:cs="仿宋"/>
          <w:color w:val="000000"/>
          <w:sz w:val="24"/>
          <w:szCs w:val="24"/>
          <w:shd w:val="clear" w:color="auto" w:fill="FFFFFF"/>
        </w:rPr>
        <w:t>)负责组织推进公立医院改革，建立公益性为导向的绩效考评各评价运行机制，建设和谐医患关系，提出医疗服务和药品价格政策的建议。</w:t>
      </w:r>
      <w:r>
        <w:rPr>
          <w:rFonts w:ascii="仿宋" w:hAnsi="仿宋" w:eastAsia="仿宋" w:cs="仿宋"/>
          <w:color w:val="000000"/>
          <w:sz w:val="24"/>
          <w:szCs w:val="24"/>
          <w:shd w:val="clear" w:color="auto" w:fill="FFFFFF"/>
        </w:rPr>
        <w:br w:type="textWrapping"/>
      </w:r>
      <w:r>
        <w:rPr>
          <w:rFonts w:hint="eastAsia" w:ascii="仿宋" w:hAnsi="仿宋" w:eastAsia="仿宋" w:cs="仿宋"/>
          <w:color w:val="000000"/>
          <w:sz w:val="24"/>
          <w:szCs w:val="24"/>
          <w:shd w:val="clear" w:color="auto" w:fill="FFFFFF"/>
        </w:rPr>
        <w:t xml:space="preserve">   </w:t>
      </w:r>
      <w:r>
        <w:rPr>
          <w:rFonts w:ascii="仿宋" w:hAnsi="仿宋" w:eastAsia="仿宋" w:cs="仿宋"/>
          <w:color w:val="000000"/>
          <w:sz w:val="24"/>
          <w:szCs w:val="24"/>
          <w:shd w:val="clear" w:color="auto" w:fill="FFFFFF"/>
        </w:rPr>
        <w:t>(</w:t>
      </w:r>
      <w:r>
        <w:rPr>
          <w:rFonts w:hint="eastAsia" w:ascii="仿宋" w:hAnsi="仿宋" w:eastAsia="仿宋" w:cs="仿宋"/>
          <w:color w:val="000000"/>
          <w:sz w:val="24"/>
          <w:szCs w:val="24"/>
          <w:shd w:val="clear" w:color="auto" w:fill="FFFFFF"/>
        </w:rPr>
        <w:t>6</w:t>
      </w:r>
      <w:r>
        <w:rPr>
          <w:rFonts w:ascii="仿宋" w:hAnsi="仿宋" w:eastAsia="仿宋" w:cs="仿宋"/>
          <w:color w:val="000000"/>
          <w:sz w:val="24"/>
          <w:szCs w:val="24"/>
          <w:shd w:val="clear" w:color="auto" w:fill="FFFFFF"/>
        </w:rPr>
        <w:t>)组织实施国家基本药物制度，落实基本药物采购、配送、使用的管理措施，监督和规范各级医疗机构基本药物使用。</w:t>
      </w:r>
      <w:r>
        <w:rPr>
          <w:rFonts w:ascii="仿宋" w:hAnsi="仿宋" w:eastAsia="仿宋" w:cs="仿宋"/>
          <w:color w:val="000000"/>
          <w:sz w:val="24"/>
          <w:szCs w:val="24"/>
          <w:shd w:val="clear" w:color="auto" w:fill="FFFFFF"/>
        </w:rPr>
        <w:br w:type="textWrapping"/>
      </w:r>
      <w:r>
        <w:rPr>
          <w:rFonts w:hint="eastAsia" w:ascii="仿宋" w:hAnsi="仿宋" w:eastAsia="仿宋" w:cs="仿宋"/>
          <w:color w:val="000000"/>
          <w:sz w:val="24"/>
          <w:szCs w:val="24"/>
          <w:shd w:val="clear" w:color="auto" w:fill="FFFFFF"/>
        </w:rPr>
        <w:t xml:space="preserve">  </w:t>
      </w:r>
      <w:r>
        <w:rPr>
          <w:rFonts w:ascii="仿宋" w:hAnsi="仿宋" w:eastAsia="仿宋" w:cs="仿宋"/>
          <w:color w:val="000000"/>
          <w:sz w:val="24"/>
          <w:szCs w:val="24"/>
          <w:shd w:val="clear" w:color="auto" w:fill="FFFFFF"/>
        </w:rPr>
        <w:t>（</w:t>
      </w:r>
      <w:r>
        <w:rPr>
          <w:rFonts w:hint="eastAsia" w:ascii="仿宋" w:hAnsi="仿宋" w:eastAsia="仿宋" w:cs="仿宋"/>
          <w:color w:val="000000"/>
          <w:sz w:val="24"/>
          <w:szCs w:val="24"/>
          <w:shd w:val="clear" w:color="auto" w:fill="FFFFFF"/>
        </w:rPr>
        <w:t>7</w:t>
      </w:r>
      <w:r>
        <w:rPr>
          <w:rFonts w:ascii="仿宋" w:hAnsi="仿宋" w:eastAsia="仿宋" w:cs="仿宋"/>
          <w:color w:val="000000"/>
          <w:sz w:val="24"/>
          <w:szCs w:val="24"/>
          <w:shd w:val="clear" w:color="auto" w:fill="FFFFFF"/>
        </w:rPr>
        <w:t>）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r>
        <w:rPr>
          <w:rFonts w:ascii="仿宋" w:hAnsi="仿宋" w:eastAsia="仿宋" w:cs="仿宋"/>
          <w:color w:val="000000"/>
          <w:sz w:val="24"/>
          <w:szCs w:val="24"/>
          <w:shd w:val="clear" w:color="auto" w:fill="FFFFFF"/>
        </w:rPr>
        <w:br w:type="textWrapping"/>
      </w:r>
      <w:r>
        <w:rPr>
          <w:rFonts w:hint="eastAsia" w:ascii="仿宋" w:hAnsi="仿宋" w:eastAsia="仿宋" w:cs="仿宋"/>
          <w:color w:val="000000"/>
          <w:sz w:val="24"/>
          <w:szCs w:val="24"/>
          <w:shd w:val="clear" w:color="auto" w:fill="FFFFFF"/>
        </w:rPr>
        <w:t xml:space="preserve">   </w:t>
      </w:r>
      <w:r>
        <w:rPr>
          <w:rFonts w:ascii="仿宋" w:hAnsi="仿宋" w:eastAsia="仿宋" w:cs="仿宋"/>
          <w:color w:val="000000"/>
          <w:sz w:val="24"/>
          <w:szCs w:val="24"/>
          <w:shd w:val="clear" w:color="auto" w:fill="FFFFFF"/>
        </w:rPr>
        <w:t>（</w:t>
      </w:r>
      <w:r>
        <w:rPr>
          <w:rFonts w:hint="eastAsia" w:ascii="仿宋" w:hAnsi="仿宋" w:eastAsia="仿宋" w:cs="仿宋"/>
          <w:color w:val="000000"/>
          <w:sz w:val="24"/>
          <w:szCs w:val="24"/>
          <w:shd w:val="clear" w:color="auto" w:fill="FFFFFF"/>
        </w:rPr>
        <w:t>8</w:t>
      </w:r>
      <w:r>
        <w:rPr>
          <w:rFonts w:ascii="仿宋" w:hAnsi="仿宋" w:eastAsia="仿宋" w:cs="仿宋"/>
          <w:color w:val="000000"/>
          <w:sz w:val="24"/>
          <w:szCs w:val="24"/>
          <w:shd w:val="clear" w:color="auto" w:fill="FFFFFF"/>
        </w:rPr>
        <w:t>）组织拟订卫生和计划生育人才发展规划，指导卫生和计划生育人才队伍建设；加强全科医生等急需紧缺专业人才培养，建立完善住院医师和专科医师规范化培训制度并指导实施。</w:t>
      </w:r>
      <w:r>
        <w:rPr>
          <w:rFonts w:ascii="仿宋" w:hAnsi="仿宋" w:eastAsia="仿宋" w:cs="仿宋"/>
          <w:color w:val="000000"/>
          <w:sz w:val="24"/>
          <w:szCs w:val="24"/>
          <w:shd w:val="clear" w:color="auto" w:fill="FFFFFF"/>
        </w:rPr>
        <w:br w:type="textWrapping"/>
      </w:r>
      <w:r>
        <w:rPr>
          <w:rFonts w:hint="eastAsia" w:ascii="仿宋" w:hAnsi="仿宋" w:eastAsia="仿宋" w:cs="仿宋"/>
          <w:color w:val="000000"/>
          <w:sz w:val="24"/>
          <w:szCs w:val="24"/>
          <w:shd w:val="clear" w:color="auto" w:fill="FFFFFF"/>
        </w:rPr>
        <w:t xml:space="preserve">   </w:t>
      </w:r>
      <w:r>
        <w:rPr>
          <w:rFonts w:ascii="仿宋" w:hAnsi="仿宋" w:eastAsia="仿宋" w:cs="仿宋"/>
          <w:color w:val="000000"/>
          <w:sz w:val="24"/>
          <w:szCs w:val="24"/>
          <w:shd w:val="clear" w:color="auto" w:fill="FFFFFF"/>
        </w:rPr>
        <w:t>（</w:t>
      </w:r>
      <w:r>
        <w:rPr>
          <w:rFonts w:hint="eastAsia" w:ascii="仿宋" w:hAnsi="仿宋" w:eastAsia="仿宋" w:cs="仿宋"/>
          <w:color w:val="000000"/>
          <w:sz w:val="24"/>
          <w:szCs w:val="24"/>
          <w:shd w:val="clear" w:color="auto" w:fill="FFFFFF"/>
        </w:rPr>
        <w:t>9</w:t>
      </w:r>
      <w:r>
        <w:rPr>
          <w:rFonts w:ascii="仿宋" w:hAnsi="仿宋" w:eastAsia="仿宋" w:cs="仿宋"/>
          <w:color w:val="000000"/>
          <w:sz w:val="24"/>
          <w:szCs w:val="24"/>
          <w:shd w:val="clear" w:color="auto" w:fill="FFFFFF"/>
        </w:rPr>
        <w:t>）负责卫生和计划生育宣传、健康教育、健康促进、交流合作和信息化建设等工作，依法组织实施统计调查。</w:t>
      </w:r>
    </w:p>
    <w:p>
      <w:pPr>
        <w:pStyle w:val="2"/>
        <w:spacing w:before="0" w:after="0" w:line="240" w:lineRule="auto"/>
        <w:ind w:firstLine="240" w:firstLineChars="100"/>
        <w:jc w:val="left"/>
        <w:rPr>
          <w:rFonts w:ascii="黑体" w:hAnsi="Calibri" w:eastAsia="黑体" w:cs="黑体"/>
          <w:kern w:val="0"/>
          <w:sz w:val="32"/>
          <w:szCs w:val="32"/>
        </w:rPr>
      </w:pPr>
      <w:r>
        <w:rPr>
          <w:rFonts w:ascii="仿宋" w:hAnsi="仿宋" w:eastAsia="仿宋" w:cs="仿宋"/>
          <w:b w:val="0"/>
          <w:color w:val="000000"/>
          <w:sz w:val="24"/>
          <w:szCs w:val="24"/>
          <w:shd w:val="clear" w:color="auto" w:fill="FFFFFF"/>
        </w:rPr>
        <w:t>（</w:t>
      </w:r>
      <w:r>
        <w:rPr>
          <w:rFonts w:hint="eastAsia" w:ascii="仿宋" w:hAnsi="仿宋" w:eastAsia="仿宋" w:cs="仿宋"/>
          <w:b w:val="0"/>
          <w:color w:val="000000"/>
          <w:sz w:val="24"/>
          <w:szCs w:val="24"/>
          <w:shd w:val="clear" w:color="auto" w:fill="FFFFFF"/>
        </w:rPr>
        <w:t>10</w:t>
      </w:r>
      <w:r>
        <w:rPr>
          <w:rFonts w:ascii="仿宋" w:hAnsi="仿宋" w:eastAsia="仿宋" w:cs="仿宋"/>
          <w:b w:val="0"/>
          <w:color w:val="000000"/>
          <w:sz w:val="24"/>
          <w:szCs w:val="24"/>
          <w:shd w:val="clear" w:color="auto" w:fill="FFFFFF"/>
        </w:rPr>
        <w:t>）拟订中医中长期发展规划，并纳入卫生和计划生育事业发展总体规划和战略目标。</w:t>
      </w:r>
      <w:r>
        <w:rPr>
          <w:rFonts w:ascii="仿宋" w:hAnsi="仿宋" w:eastAsia="仿宋" w:cs="仿宋"/>
          <w:b w:val="0"/>
          <w:color w:val="000000"/>
          <w:sz w:val="24"/>
          <w:szCs w:val="24"/>
          <w:shd w:val="clear" w:color="auto" w:fill="FFFFFF"/>
        </w:rPr>
        <w:br w:type="textWrapping"/>
      </w: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年度本部门决算汇编范围的独立核算单位7个，具体情况如下：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无极县卫生健康局(本级）</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无极县医院</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经费自理事业单</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无极县中医院</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经费自理事业单</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4</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无极县妇幼保健院</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5</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无极县卫生监督所</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6</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无极县疾病预防控制中心</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7</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无极县镇卫生院</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经费自理事业</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31" o:spid="_x0000_s1031"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0" o:spid="_x0000_s1030"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path/>
            <v:fill type="pattern" on="t" color2="#FFFFFF" o:title="5%"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本部门2019年度收支总计47311.74万元。与2018年度决算相比，收支各6359.52万元，增长15.52%，主要原因是2019年度项目资金增加。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本部门2019年度本年收入合计45697.67万元，其中：财政拨款收入12658.75万元，占27.7%；事业收入32842.1万元，占71.87%；经营收入0万元，占0%；其他收入196.83万元，占0.43%。如图所示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93056" behindDoc="0" locked="0" layoutInCell="1" allowOverlap="1">
            <wp:simplePos x="0" y="0"/>
            <wp:positionH relativeFrom="column">
              <wp:posOffset>728345</wp:posOffset>
            </wp:positionH>
            <wp:positionV relativeFrom="paragraph">
              <wp:posOffset>226695</wp:posOffset>
            </wp:positionV>
            <wp:extent cx="4391025" cy="2552700"/>
            <wp:effectExtent l="0" t="0" r="9525" b="19050"/>
            <wp:wrapTopAndBottom/>
            <wp:docPr id="32"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本部门2019年度本年支出合计43071.3万元，其中：基本支出37492.34万元，占87.05%；项目支出5578.96万元，占12.95%；经营支出0万元，占0%。如图所示：</w:t>
      </w:r>
    </w:p>
    <w:p>
      <w:pPr>
        <w:adjustRightInd w:val="0"/>
        <w:snapToGrid w:val="0"/>
        <w:spacing w:line="580" w:lineRule="exact"/>
        <w:rPr>
          <w:rFonts w:ascii="仿宋_GB2312" w:hAnsi="Times New Roman" w:eastAsia="仿宋_GB2312" w:cs="DengXian-Regular"/>
          <w:sz w:val="32"/>
          <w:szCs w:val="32"/>
        </w:rPr>
      </w:pPr>
      <w:r>
        <w:drawing>
          <wp:anchor distT="0" distB="0" distL="114300" distR="114300" simplePos="0" relativeHeight="251694080" behindDoc="0" locked="0" layoutInCell="1" allowOverlap="1">
            <wp:simplePos x="0" y="0"/>
            <wp:positionH relativeFrom="column">
              <wp:posOffset>585470</wp:posOffset>
            </wp:positionH>
            <wp:positionV relativeFrom="paragraph">
              <wp:posOffset>337185</wp:posOffset>
            </wp:positionV>
            <wp:extent cx="4219575" cy="2514600"/>
            <wp:effectExtent l="4445" t="4445" r="5080" b="14605"/>
            <wp:wrapTopAndBottom/>
            <wp:docPr id="3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形成的财政拨款收支均为一般公共预算财政拨款，其中本年收入12658.75万元,比2018年度增加4257.24万元，增长50.67%，主要是2019年度项目资金增加；本年支出10365.5万元，比2018年增加2044.12万元，增长24.56%，主要是项目资金增加。</w:t>
      </w: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114300" distR="114300" simplePos="0" relativeHeight="251695104" behindDoc="0" locked="0" layoutInCell="1" allowOverlap="1">
            <wp:simplePos x="0" y="0"/>
            <wp:positionH relativeFrom="column">
              <wp:posOffset>423545</wp:posOffset>
            </wp:positionH>
            <wp:positionV relativeFrom="paragraph">
              <wp:posOffset>184785</wp:posOffset>
            </wp:positionV>
            <wp:extent cx="4572000" cy="2981325"/>
            <wp:effectExtent l="0" t="0" r="19050" b="9525"/>
            <wp:wrapTopAndBottom/>
            <wp:docPr id="35"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114300" distR="114300" simplePos="0" relativeHeight="251696128" behindDoc="0" locked="0" layoutInCell="1" allowOverlap="1">
            <wp:simplePos x="0" y="0"/>
            <wp:positionH relativeFrom="column">
              <wp:posOffset>627380</wp:posOffset>
            </wp:positionH>
            <wp:positionV relativeFrom="paragraph">
              <wp:posOffset>1864360</wp:posOffset>
            </wp:positionV>
            <wp:extent cx="4305300" cy="2505075"/>
            <wp:effectExtent l="0" t="0" r="19050" b="9525"/>
            <wp:wrapTopAndBottom/>
            <wp:docPr id="3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r>
        <w:rPr>
          <w:rFonts w:hint="eastAsia" w:ascii="仿宋_GB2312" w:hAnsi="Times New Roman" w:eastAsia="仿宋_GB2312" w:cs="DengXian-Regular"/>
          <w:sz w:val="32"/>
          <w:szCs w:val="32"/>
        </w:rPr>
        <w:t>本部门2019年度一般公共预算财政拨款收入12658.75万元，完成年初预算的99.8%（如图4）,比年初预算减少27.25万元，决算数小于预算数主要原因是人员经费的减少；本年支出10365.5万元，完成年初预算的81.7%,比年初预算减少2320.5万元，决算数小于预算数主要原因是主要是项目资金结转。</w:t>
      </w:r>
    </w:p>
    <w:p>
      <w:pPr>
        <w:rPr>
          <w:sz w:val="32"/>
          <w:szCs w:val="32"/>
        </w:rPr>
      </w:pPr>
      <w:r>
        <w:rPr>
          <w:rFonts w:hint="eastAsia"/>
          <w:sz w:val="32"/>
          <w:szCs w:val="32"/>
        </w:rPr>
        <w:t>（三）财政拨款支出决算结构情况。</w:t>
      </w:r>
    </w:p>
    <w:p>
      <w:pPr>
        <w:adjustRightInd w:val="0"/>
        <w:snapToGrid w:val="0"/>
        <w:spacing w:line="580" w:lineRule="exact"/>
        <w:ind w:firstLine="420" w:firstLineChars="200"/>
        <w:rPr>
          <w:rFonts w:ascii="楷体_GB2312" w:hAnsi="Times New Roman" w:eastAsia="楷体_GB2312" w:cs="DengXian-Bold"/>
          <w:b/>
          <w:bCs/>
          <w:sz w:val="32"/>
          <w:szCs w:val="32"/>
        </w:rPr>
      </w:pPr>
      <w:r>
        <w:drawing>
          <wp:anchor distT="0" distB="0" distL="114300" distR="114300" simplePos="0" relativeHeight="251697152" behindDoc="0" locked="0" layoutInCell="1" allowOverlap="1">
            <wp:simplePos x="0" y="0"/>
            <wp:positionH relativeFrom="column">
              <wp:posOffset>1090295</wp:posOffset>
            </wp:positionH>
            <wp:positionV relativeFrom="paragraph">
              <wp:posOffset>1209040</wp:posOffset>
            </wp:positionV>
            <wp:extent cx="3181350" cy="2609850"/>
            <wp:effectExtent l="19050" t="0" r="19050" b="0"/>
            <wp:wrapTopAndBottom/>
            <wp:docPr id="3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r>
        <w:rPr>
          <w:rFonts w:hint="eastAsia" w:ascii="仿宋_GB2312" w:hAnsi="Times New Roman" w:eastAsia="仿宋_GB2312" w:cs="DengXian-Regular"/>
          <w:sz w:val="32"/>
          <w:szCs w:val="32"/>
        </w:rPr>
        <w:t>2019 年度财政拨款支出10356.5万元，主要用于以下方面；社会保障和就业（类）支出425.98万元，占4.11%；卫生健康支出9939.51万元，占95.89%</w:t>
      </w:r>
    </w:p>
    <w:p>
      <w:pPr>
        <w:adjustRightInd w:val="0"/>
        <w:snapToGrid w:val="0"/>
        <w:spacing w:line="580" w:lineRule="exact"/>
        <w:ind w:left="420" w:left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10365.5万元，其中：人员经费2232.92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2553.62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仿宋_GB2312" w:hAnsi="Times New Roman" w:eastAsia="仿宋_GB2312" w:cs="DengXian-Regular"/>
          <w:sz w:val="32"/>
          <w:szCs w:val="32"/>
          <w:highlight w:val="yellow"/>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本部门2019年度“三公”经费支出共计1.21万元，完成预算的40%,较预算减少1.82万元，降低60%，主要是认真贯彻落实中央</w:t>
      </w:r>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精神和厉行节约要求，从严控制“三公”经费开支，较2018年度增加0.39万元，增长47.56%，主要是公务用车费用增加。具体情况如下：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无变化，增长无变化,主要是本单位未涉及到出国；较上年无变化，增长无变化,主要是本单位未涉及到出国。</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（二）公务用车购置及运行维护费支出1.18万元。</w:t>
      </w:r>
      <w:r>
        <w:rPr>
          <w:rFonts w:hint="eastAsia" w:ascii="仿宋_GB2312" w:hAnsi="Times New Roman" w:eastAsia="仿宋_GB2312" w:cs="DengXian-Regular"/>
          <w:sz w:val="32"/>
          <w:szCs w:val="32"/>
        </w:rPr>
        <w:t>本部门2019年度公务用车购置及运行维护费较预算减少1.82万元，降低60.66%,主要是认真贯彻落实中央</w:t>
      </w:r>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精神和厉行节约要求，从严控制“三公”经费开支；较上年增加0.36万元，增长43.9%,主要是公务用车次数增多。</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本部门2019年度公务用车购置量0辆，发生“公务用车购置”经费支出0万元。公务用车购置费支出较预算无变化，增长无变化,主要是本单位未购置车辆；较上年无变化，增长无变化,主要是本单位未购置车辆。</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本部门2019年度单位公务用车保有量1辆。公车运行维护费支出较预算减少1.82万元，降低60.66x%,主要是认真贯彻落实中央</w:t>
      </w:r>
      <w:r>
        <w:rPr>
          <w:rFonts w:hint="eastAsia" w:ascii="仿宋_GB2312" w:hAnsi="Times New Roman" w:eastAsia="仿宋_GB2312" w:cs="DengXian-Regular"/>
          <w:sz w:val="32"/>
          <w:szCs w:val="32"/>
          <w:lang w:eastAsia="zh-CN"/>
        </w:rPr>
        <w:t>八项规定</w:t>
      </w:r>
      <w:r>
        <w:rPr>
          <w:rFonts w:hint="eastAsia" w:ascii="仿宋_GB2312" w:hAnsi="Times New Roman" w:eastAsia="仿宋_GB2312" w:cs="DengXian-Regular"/>
          <w:sz w:val="32"/>
          <w:szCs w:val="32"/>
        </w:rPr>
        <w:t>精神和厉行节约要求，从严控制“三公”经费开支；较上年增加0.36万元，增长43.9%，主要是公务用车次数增多。</w:t>
      </w:r>
    </w:p>
    <w:p>
      <w:pPr>
        <w:adjustRightInd w:val="0"/>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（三）公务接待费支出0.03万元。</w:t>
      </w:r>
      <w:r>
        <w:rPr>
          <w:rFonts w:hint="eastAsia" w:ascii="仿宋_GB2312" w:hAnsi="Times New Roman" w:eastAsia="仿宋_GB2312" w:cs="DengXian-Regular"/>
          <w:sz w:val="32"/>
          <w:szCs w:val="32"/>
        </w:rPr>
        <w:t>本部门2019年度公务接待共1次、共计15人。公务接待费支出较预算持平；较上年度增加0.03万元，增长100%,主要是上级领导指导项目资金。</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spacing w:line="600" w:lineRule="exact"/>
        <w:ind w:firstLine="640" w:firstLineChars="200"/>
        <w:rPr>
          <w:rFonts w:ascii="仿宋_GB2312" w:eastAsia="仿宋_GB2312" w:hAnsiTheme="minorEastAsia" w:cstheme="minorEastAsia"/>
          <w:sz w:val="32"/>
          <w:szCs w:val="32"/>
        </w:rPr>
      </w:pPr>
      <w:r>
        <w:rPr>
          <w:rFonts w:hint="eastAsia" w:ascii="仿宋_GB2312" w:eastAsia="仿宋_GB2312" w:cs="DengXian-Regular"/>
          <w:sz w:val="32"/>
          <w:szCs w:val="32"/>
        </w:rPr>
        <w:t>（一）绩效管理工作开展情况:</w:t>
      </w:r>
      <w:r>
        <w:rPr>
          <w:rFonts w:hint="eastAsia" w:ascii="仿宋_GB2312" w:eastAsia="仿宋_GB2312" w:hAnsiTheme="minorEastAsia" w:cstheme="minorEastAsia"/>
          <w:sz w:val="32"/>
          <w:szCs w:val="32"/>
        </w:rPr>
        <w:t>据《石家庄市财政支出绩效评价办法》（石财绩〔2013〕2号），遵循“科学性、规范性、客观性和公正性”的原则，我局组织财务科、医政药政科、公共卫生科、基层科、家庭发展科，通过调取数据、实地检查、调查问卷和访谈的形式，对2019年度三大类项目的实施情况进行了绩效自评价，评价资金总额5578.96万元，其中公立医院项目资金179万元、公共卫生项目资金4859.72万元、计划生育项目资金540.24万元。</w:t>
      </w:r>
    </w:p>
    <w:p>
      <w:pPr>
        <w:spacing w:line="600" w:lineRule="exact"/>
        <w:ind w:firstLine="640" w:firstLineChars="200"/>
        <w:rPr>
          <w:rFonts w:ascii="仿宋_GB2312" w:hAnsi="仿宋_GB2312" w:eastAsia="仿宋_GB2312" w:cs="仿宋_GB2312"/>
          <w:sz w:val="32"/>
          <w:szCs w:val="32"/>
        </w:rPr>
      </w:pPr>
      <w:r>
        <w:rPr>
          <w:rFonts w:hint="eastAsia" w:ascii="仿宋_GB2312" w:eastAsia="仿宋_GB2312" w:hAnsiTheme="minorEastAsia" w:cstheme="minorEastAsia"/>
          <w:sz w:val="32"/>
          <w:szCs w:val="32"/>
        </w:rPr>
        <w:t>项目资金全部采用按进度拨付的方式，2019年，开展专项督导检查3次，项目实施取得了较好的效果。</w:t>
      </w:r>
    </w:p>
    <w:p>
      <w:pPr>
        <w:adjustRightInd w:val="0"/>
        <w:snapToGrid w:val="0"/>
        <w:spacing w:line="580" w:lineRule="exact"/>
        <w:ind w:left="420" w:leftChars="200" w:firstLine="321" w:firstLineChars="100"/>
        <w:rPr>
          <w:rFonts w:asciiTheme="minorEastAsia" w:hAnsiTheme="minorEastAsia" w:cstheme="minorEastAsia"/>
          <w:sz w:val="32"/>
          <w:szCs w:val="32"/>
        </w:rPr>
      </w:pPr>
      <w:r>
        <w:rPr>
          <w:rFonts w:hint="eastAsia" w:ascii="仿宋_GB2312" w:hAnsi="仿宋_GB2312" w:eastAsia="仿宋_GB2312" w:cs="仿宋_GB2312"/>
          <w:b/>
          <w:bCs/>
          <w:sz w:val="32"/>
          <w:szCs w:val="32"/>
        </w:rPr>
        <w:t>2. 部门决算中项目绩效自评结果。</w:t>
      </w:r>
    </w:p>
    <w:p>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firstLineChars="200"/>
        <w:jc w:val="left"/>
        <w:rPr>
          <w:rFonts w:ascii="仿宋_GB2312" w:eastAsia="仿宋_GB2312" w:hAnsiTheme="minorEastAsia" w:cstheme="minorEastAsia"/>
          <w:sz w:val="32"/>
          <w:szCs w:val="32"/>
          <w:lang w:eastAsia="zh-CN"/>
        </w:rPr>
      </w:pPr>
      <w:r>
        <w:rPr>
          <w:rFonts w:hint="eastAsia" w:ascii="仿宋_GB2312" w:eastAsia="仿宋_GB2312" w:hAnsiTheme="minorEastAsia" w:cstheme="minorEastAsia"/>
          <w:sz w:val="32"/>
          <w:szCs w:val="32"/>
          <w:lang w:eastAsia="zh-CN"/>
        </w:rPr>
        <w:t>1、公立医院项目预算资金179万元，执行资金179万元，完成率100%。全部用于对两所县级，通过取消药品加成，健全完善公立医院药品和高值医用耗材集中采购制度，建立基层首诊、分级医疗、双向转诊、急慢分治、上下联动机制等各项工作的开展，有效缓解了群众看病难、看病贵问题，提高了公立医院的疾病救治能力，推动了综合改革的进行，提高医疗救治水平，满足各类患者的医疗服务需求。</w:t>
      </w:r>
    </w:p>
    <w:p>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firstLineChars="200"/>
        <w:jc w:val="left"/>
        <w:rPr>
          <w:rFonts w:ascii="仿宋_GB2312" w:eastAsia="仿宋_GB2312" w:hAnsiTheme="minorEastAsia" w:cstheme="minorEastAsia"/>
          <w:sz w:val="32"/>
          <w:szCs w:val="32"/>
          <w:lang w:eastAsia="zh-CN"/>
        </w:rPr>
      </w:pPr>
      <w:r>
        <w:rPr>
          <w:rFonts w:hint="eastAsia" w:ascii="仿宋_GB2312" w:eastAsia="仿宋_GB2312" w:hAnsiTheme="minorEastAsia" w:cstheme="minorEastAsia"/>
          <w:sz w:val="32"/>
          <w:szCs w:val="32"/>
          <w:lang w:eastAsia="zh-CN"/>
        </w:rPr>
        <w:t>2、公共卫生项目预算资金4859.72万元，项目执行资金4859.72万元，完成率100%。全部用于实施基本公共卫生服务项目及重大公共卫生项目，按照国家基本公共卫生服务项目《规范》，组织全县基层医疗卫生机构开展实施基本公共卫生服务项目，对城乡居民健康实行干预，减少危害健康的因素，有效预防传染病及慢性病，使广大城乡居民享有平等的基本卫生服务。</w:t>
      </w:r>
    </w:p>
    <w:p>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560"/>
        <w:jc w:val="left"/>
        <w:rPr>
          <w:rFonts w:ascii="仿宋_GB2312" w:eastAsia="仿宋_GB2312" w:hAnsiTheme="minorEastAsia" w:cstheme="minorEastAsia"/>
          <w:sz w:val="32"/>
          <w:szCs w:val="32"/>
          <w:lang w:eastAsia="zh-CN"/>
        </w:rPr>
      </w:pPr>
      <w:r>
        <w:rPr>
          <w:rFonts w:hint="eastAsia" w:ascii="仿宋_GB2312" w:eastAsia="仿宋_GB2312" w:hAnsiTheme="minorEastAsia" w:cstheme="minorEastAsia"/>
          <w:sz w:val="32"/>
          <w:szCs w:val="32"/>
          <w:lang w:eastAsia="zh-CN"/>
        </w:rPr>
        <w:t>通过项目的开展，有效控制各类重大疾病的发生与传播，提升了我县突发公共卫生事件的应对能力，保障了妇女儿童身心健康。</w:t>
      </w:r>
    </w:p>
    <w:p>
      <w:pPr>
        <w:pStyle w:val="14"/>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firstLineChars="200"/>
        <w:jc w:val="left"/>
        <w:rPr>
          <w:rFonts w:ascii="仿宋_GB2312" w:hAnsi="仿宋_GB2312" w:eastAsia="仿宋_GB2312" w:cs="仿宋_GB2312"/>
          <w:sz w:val="32"/>
          <w:szCs w:val="32"/>
          <w:lang w:eastAsia="zh-CN"/>
        </w:rPr>
      </w:pPr>
      <w:r>
        <w:rPr>
          <w:rFonts w:hint="eastAsia" w:ascii="仿宋_GB2312" w:eastAsia="仿宋_GB2312" w:hAnsiTheme="minorEastAsia" w:cstheme="minorEastAsia"/>
          <w:sz w:val="32"/>
          <w:szCs w:val="32"/>
          <w:lang w:eastAsia="zh-CN"/>
        </w:rPr>
        <w:t>3、计划生育项目预算资金资金540.24万元，项目执行资金540.24万元，完成率100%。本项目全部用于对实施计划生育家庭的各类帮扶救助，通过提供各类计划生育技术服务，建立完善的利益导向机制，开展出生人口性别比治理以及流动人口计划生育管理等各项工作，实现改善我县农村计划怀孕夫妇健康状况，有效降低出生缺陷发生风险；为各类育龄人群提供安全、有效避孕节育技术服务；健全完善流动人口管理机制，有效遏制我县出生人口性别比偏高的严峻形势，尽早实现出生人口性别比的自然平衡的工作目标。</w:t>
      </w:r>
    </w:p>
    <w:p>
      <w:pPr>
        <w:adjustRightInd w:val="0"/>
        <w:snapToGrid w:val="0"/>
        <w:spacing w:line="580" w:lineRule="exac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xml:space="preserve">（3）财政评价项目绩效评价结果 </w:t>
      </w:r>
    </w:p>
    <w:p>
      <w:pPr>
        <w:spacing w:line="600" w:lineRule="exact"/>
        <w:ind w:firstLine="640" w:firstLineChars="200"/>
        <w:rPr>
          <w:rFonts w:ascii="仿宋_GB2312" w:hAnsi="仿宋_GB2312" w:eastAsia="仿宋_GB2312" w:cs="仿宋_GB2312"/>
          <w:b/>
          <w:bCs/>
          <w:sz w:val="32"/>
          <w:szCs w:val="32"/>
        </w:rPr>
      </w:pPr>
      <w:r>
        <w:rPr>
          <w:rFonts w:hint="eastAsia" w:ascii="仿宋_GB2312" w:eastAsia="仿宋_GB2312" w:hAnsiTheme="minorEastAsia" w:cstheme="minorEastAsia"/>
          <w:sz w:val="32"/>
          <w:szCs w:val="32"/>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本部门2019年度机关运行经费支出1.18万元，比2018年度增加0.36万元，增长43.9%。主要原因是公务用车次数增多。</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本部门2019年度政府采购支出总额5065.88万元，从采购类型来看，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437.46</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4564.76</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63.66</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33辆，较上年减少2辆，主要是下属单位核销2辆。其中，副部（省）级及以上领导用车0辆，主要领导干部用车1辆，机要通信用车0辆，应急保障用车0辆，执法执勤用车0辆，特种专业技术用车0辆，离退休干部用车0辆，其他用32车辆，其他用车主要是下属单位的救护车。</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万元以上通用设备6台（套），与上年持平，主要是医疗设备增加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万元以上专用设备17台（套）与上年持平,主要是医疗设备增加。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本部门本部门无政府性基金预算财政拨款收入支出，国有资本经营预算财政拨款支出，08表、09表以空表列示。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path/>
            <v:fill type="pattern" on="t" color2="#FFFFFF" o:title="5%" focussize="0,0" r:id="rId31"/>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rPr>
          <w:rFonts w:ascii="仿宋_GB2312" w:hAnsi="宋体" w:eastAsia="仿宋_GB2312" w:cs="MS-UIGothic,Bold"/>
          <w:bCs/>
          <w:sz w:val="32"/>
          <w:szCs w:val="32"/>
        </w:r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path/>
            <v:fill type="pattern" on="t" color2="#FFFFFF" o:title="5%"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center"/>
      </w:pPr>
      <w:r>
        <w:rPr>
          <w:rFonts w:hint="eastAsia" w:ascii="黑体" w:hAnsi="宋体" w:eastAsia="黑体" w:cs="黑体"/>
          <w:color w:val="000000"/>
          <w:kern w:val="0"/>
          <w:sz w:val="32"/>
          <w:szCs w:val="32"/>
        </w:rPr>
        <w:t>收入支出决算总表</w:t>
      </w:r>
    </w:p>
    <w:tbl>
      <w:tblPr>
        <w:tblStyle w:val="7"/>
        <w:tblpPr w:leftFromText="180" w:rightFromText="180" w:vertAnchor="text" w:horzAnchor="page" w:tblpXSpec="center" w:tblpY="31"/>
        <w:tblOverlap w:val="never"/>
        <w:tblW w:w="9964" w:type="dxa"/>
        <w:jc w:val="center"/>
        <w:tblLayout w:type="fixed"/>
        <w:tblCellMar>
          <w:top w:w="0" w:type="dxa"/>
          <w:left w:w="0" w:type="dxa"/>
          <w:bottom w:w="0" w:type="dxa"/>
          <w:right w:w="0" w:type="dxa"/>
        </w:tblCellMar>
      </w:tblPr>
      <w:tblGrid>
        <w:gridCol w:w="3049"/>
        <w:gridCol w:w="510"/>
        <w:gridCol w:w="408"/>
        <w:gridCol w:w="301"/>
        <w:gridCol w:w="1134"/>
        <w:gridCol w:w="2835"/>
        <w:gridCol w:w="567"/>
        <w:gridCol w:w="1160"/>
      </w:tblGrid>
      <w:tr>
        <w:tblPrEx>
          <w:tblCellMar>
            <w:top w:w="0" w:type="dxa"/>
            <w:left w:w="0" w:type="dxa"/>
            <w:bottom w:w="0" w:type="dxa"/>
            <w:right w:w="0" w:type="dxa"/>
          </w:tblCellMar>
        </w:tblPrEx>
        <w:trPr>
          <w:trHeight w:val="205" w:hRule="atLeast"/>
          <w:jc w:val="center"/>
        </w:trPr>
        <w:tc>
          <w:tcPr>
            <w:tcW w:w="304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18"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35"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62"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049"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部门：无极县卫生健康局</w:t>
            </w:r>
          </w:p>
        </w:tc>
        <w:tc>
          <w:tcPr>
            <w:tcW w:w="918"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35"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62"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5402"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562"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center" w:pos="330"/>
                <w:tab w:val="right" w:pos="1001"/>
              </w:tabs>
              <w:jc w:val="left"/>
              <w:textAlignment w:val="center"/>
              <w:rPr>
                <w:rFonts w:ascii="宋体" w:hAnsi="宋体" w:eastAsia="宋体" w:cs="宋体"/>
                <w:color w:val="000000"/>
                <w:sz w:val="22"/>
              </w:rPr>
            </w:pPr>
            <w:r>
              <w:rPr>
                <w:rFonts w:hint="eastAsia" w:ascii="宋体" w:hAnsi="宋体" w:eastAsia="宋体" w:cs="宋体"/>
                <w:color w:val="000000"/>
                <w:kern w:val="0"/>
                <w:sz w:val="22"/>
              </w:rPr>
              <w:t>12658.75</w:t>
            </w:r>
            <w:r>
              <w:rPr>
                <w:rFonts w:hint="eastAsia" w:ascii="宋体" w:hAnsi="宋体" w:eastAsia="宋体" w:cs="宋体"/>
                <w:color w:val="000000"/>
                <w:kern w:val="0"/>
                <w:sz w:val="22"/>
              </w:rPr>
              <w:tab/>
            </w: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44"/>
                <w:tab w:val="right" w:pos="1601"/>
              </w:tabs>
              <w:jc w:val="left"/>
              <w:textAlignment w:val="center"/>
              <w:rPr>
                <w:rFonts w:ascii="宋体" w:hAnsi="宋体" w:eastAsia="宋体" w:cs="宋体"/>
                <w:color w:val="000000"/>
                <w:sz w:val="22"/>
              </w:rPr>
            </w:pPr>
            <w:r>
              <w:rPr>
                <w:rFonts w:hint="eastAsia" w:ascii="宋体" w:hAnsi="宋体" w:eastAsia="宋体" w:cs="宋体"/>
                <w:color w:val="000000"/>
                <w:kern w:val="0"/>
                <w:sz w:val="22"/>
              </w:rPr>
              <w:tab/>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32842.1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196.83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299"/>
                <w:tab w:val="right" w:pos="1601"/>
              </w:tabs>
              <w:jc w:val="left"/>
              <w:textAlignment w:val="center"/>
              <w:rPr>
                <w:rFonts w:ascii="宋体" w:hAnsi="宋体" w:eastAsia="宋体" w:cs="宋体"/>
                <w:color w:val="000000"/>
                <w:sz w:val="22"/>
              </w:rPr>
            </w:pPr>
            <w:r>
              <w:rPr>
                <w:rFonts w:hint="eastAsia" w:ascii="宋体" w:hAnsi="宋体" w:eastAsia="宋体" w:cs="宋体"/>
                <w:color w:val="000000"/>
                <w:kern w:val="0"/>
                <w:sz w:val="22"/>
              </w:rPr>
              <w:tab/>
            </w:r>
            <w:r>
              <w:rPr>
                <w:rFonts w:hint="eastAsia" w:ascii="宋体" w:hAnsi="宋体" w:eastAsia="宋体" w:cs="宋体"/>
                <w:color w:val="000000"/>
                <w:kern w:val="0"/>
                <w:sz w:val="22"/>
              </w:rPr>
              <w:t>425.98</w:t>
            </w:r>
            <w:r>
              <w:rPr>
                <w:rFonts w:hint="eastAsia" w:ascii="宋体" w:hAnsi="宋体" w:eastAsia="宋体" w:cs="宋体"/>
                <w:color w:val="000000"/>
                <w:kern w:val="0"/>
                <w:sz w:val="22"/>
              </w:rPr>
              <w:tab/>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center" w:pos="630"/>
                <w:tab w:val="right" w:pos="1601"/>
              </w:tabs>
              <w:jc w:val="left"/>
              <w:textAlignment w:val="center"/>
              <w:rPr>
                <w:rFonts w:ascii="宋体" w:hAnsi="宋体" w:eastAsia="宋体" w:cs="宋体"/>
                <w:color w:val="000000"/>
                <w:sz w:val="22"/>
              </w:rPr>
            </w:pPr>
            <w:r>
              <w:rPr>
                <w:rFonts w:hint="eastAsia" w:ascii="宋体" w:hAnsi="宋体" w:eastAsia="宋体" w:cs="宋体"/>
                <w:color w:val="000000"/>
                <w:kern w:val="0"/>
                <w:sz w:val="22"/>
              </w:rPr>
              <w:tab/>
            </w:r>
            <w:r>
              <w:rPr>
                <w:rFonts w:hint="eastAsia" w:ascii="宋体" w:hAnsi="宋体" w:eastAsia="宋体" w:cs="宋体"/>
                <w:color w:val="000000"/>
                <w:kern w:val="0"/>
                <w:sz w:val="22"/>
              </w:rPr>
              <w:t>42645.32</w:t>
            </w:r>
            <w:r>
              <w:rPr>
                <w:rFonts w:hint="eastAsia" w:ascii="宋体" w:hAnsi="宋体" w:eastAsia="宋体" w:cs="宋体"/>
                <w:color w:val="000000"/>
                <w:kern w:val="0"/>
                <w:sz w:val="22"/>
              </w:rPr>
              <w:tab/>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45697.67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43071.3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38.1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1614.07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4202.34　</w:t>
            </w: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35"/>
                <w:tab w:val="right" w:pos="1940"/>
              </w:tabs>
              <w:jc w:val="left"/>
              <w:textAlignment w:val="center"/>
              <w:rPr>
                <w:rFonts w:ascii="宋体" w:hAnsi="宋体" w:eastAsia="宋体" w:cs="宋体"/>
                <w:color w:val="000000"/>
                <w:sz w:val="22"/>
              </w:rPr>
            </w:pPr>
            <w:r>
              <w:rPr>
                <w:rFonts w:hint="eastAsia" w:ascii="宋体" w:hAnsi="宋体" w:eastAsia="宋体" w:cs="宋体"/>
                <w:color w:val="000000"/>
                <w:kern w:val="0"/>
                <w:sz w:val="22"/>
              </w:rPr>
              <w:tab/>
            </w: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55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center" w:pos="800"/>
                <w:tab w:val="right" w:pos="1940"/>
              </w:tabs>
              <w:jc w:val="left"/>
              <w:textAlignment w:val="center"/>
              <w:rPr>
                <w:rFonts w:ascii="宋体" w:hAnsi="宋体" w:eastAsia="宋体" w:cs="宋体"/>
                <w:color w:val="000000"/>
                <w:sz w:val="22"/>
              </w:rPr>
            </w:pPr>
            <w:r>
              <w:rPr>
                <w:rFonts w:hint="eastAsia" w:ascii="宋体" w:hAnsi="宋体" w:eastAsia="宋体" w:cs="宋体"/>
                <w:color w:val="000000"/>
                <w:kern w:val="0"/>
                <w:sz w:val="22"/>
              </w:rPr>
              <w:tab/>
            </w:r>
            <w:r>
              <w:rPr>
                <w:rFonts w:hint="eastAsia" w:ascii="宋体" w:hAnsi="宋体" w:eastAsia="宋体" w:cs="宋体"/>
                <w:color w:val="000000"/>
                <w:kern w:val="0"/>
                <w:sz w:val="22"/>
              </w:rPr>
              <w:t>47311.74</w:t>
            </w:r>
            <w:r>
              <w:rPr>
                <w:rFonts w:hint="eastAsia" w:ascii="宋体" w:hAnsi="宋体" w:eastAsia="宋体" w:cs="宋体"/>
                <w:color w:val="000000"/>
                <w:kern w:val="0"/>
                <w:sz w:val="22"/>
              </w:rPr>
              <w:tab/>
            </w:r>
            <w:r>
              <w:rPr>
                <w:rFonts w:hint="eastAsia" w:ascii="宋体" w:hAnsi="宋体" w:eastAsia="宋体" w:cs="宋体"/>
                <w:color w:val="000000"/>
                <w:kern w:val="0"/>
                <w:sz w:val="22"/>
              </w:rPr>
              <w:t>　</w:t>
            </w:r>
          </w:p>
        </w:tc>
        <w:tc>
          <w:tcPr>
            <w:tcW w:w="2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11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47311.74　</w:t>
            </w:r>
          </w:p>
        </w:tc>
      </w:tr>
      <w:tr>
        <w:tblPrEx>
          <w:tblCellMar>
            <w:top w:w="0" w:type="dxa"/>
            <w:left w:w="0" w:type="dxa"/>
            <w:bottom w:w="0" w:type="dxa"/>
            <w:right w:w="0" w:type="dxa"/>
          </w:tblCellMar>
        </w:tblPrEx>
        <w:trPr>
          <w:trHeight w:val="213" w:hRule="atLeast"/>
          <w:jc w:val="center"/>
        </w:trPr>
        <w:tc>
          <w:tcPr>
            <w:tcW w:w="9964"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9679" w:type="dxa"/>
        <w:jc w:val="center"/>
        <w:tblLayout w:type="fixed"/>
        <w:tblCellMar>
          <w:top w:w="0" w:type="dxa"/>
          <w:left w:w="0" w:type="dxa"/>
          <w:bottom w:w="0" w:type="dxa"/>
          <w:right w:w="0" w:type="dxa"/>
        </w:tblCellMar>
      </w:tblPr>
      <w:tblGrid>
        <w:gridCol w:w="683"/>
        <w:gridCol w:w="50"/>
        <w:gridCol w:w="138"/>
        <w:gridCol w:w="3729"/>
        <w:gridCol w:w="949"/>
        <w:gridCol w:w="954"/>
        <w:gridCol w:w="635"/>
        <w:gridCol w:w="635"/>
        <w:gridCol w:w="635"/>
        <w:gridCol w:w="635"/>
        <w:gridCol w:w="636"/>
      </w:tblGrid>
      <w:tr>
        <w:tblPrEx>
          <w:tblCellMar>
            <w:top w:w="0" w:type="dxa"/>
            <w:left w:w="0" w:type="dxa"/>
            <w:bottom w:w="0" w:type="dxa"/>
            <w:right w:w="0" w:type="dxa"/>
          </w:tblCellMar>
        </w:tblPrEx>
        <w:trPr>
          <w:trHeight w:val="670" w:hRule="atLeast"/>
          <w:jc w:val="center"/>
        </w:trPr>
        <w:tc>
          <w:tcPr>
            <w:tcW w:w="9679"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6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4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5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3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3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3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7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683"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无极县卫生健康局</w:t>
            </w:r>
          </w:p>
        </w:tc>
        <w:tc>
          <w:tcPr>
            <w:tcW w:w="94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5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3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3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06"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460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4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95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63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63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63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63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63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871"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2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4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7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72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4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7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72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4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60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460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45697.67</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12658.75</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b/>
                <w:color w:val="000000"/>
                <w:sz w:val="22"/>
              </w:rPr>
            </w:pPr>
            <w:r>
              <w:rPr>
                <w:rFonts w:hint="eastAsia" w:ascii="宋体" w:hAnsi="宋体" w:eastAsia="宋体" w:cs="宋体"/>
                <w:b/>
                <w:color w:val="000000"/>
                <w:sz w:val="22"/>
              </w:rPr>
              <w:t>32842.1.</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196.82</w:t>
            </w: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425.98</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425.98</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264.85</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264.85</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2080502</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事业单位离退休</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37.6</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37.6</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223.13</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223.13</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2080506</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机关事业单位职业年金缴费支出</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4.12</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4.12</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29.10</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29.10</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死亡抚恤</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29.11</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29.11</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2080901</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退役士兵安置</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4.22</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4.22</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1.62</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1.62</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20899</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其他社会保障和就业支出</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117.71</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117.71</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2089901</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其他社会保障和就业支出</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117.71</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117.71</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45271.69</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12232.76</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32842.1</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196.82</w:t>
            </w: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21001</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卫生健康管理事务</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2193.84</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2193.84</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2100101</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581.01</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581.01</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2100199</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其他卫生健康管理事务支出</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1612.83</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1612.83</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21002</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公立医院</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26558.98</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1687.62</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24674.53</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196.82</w:t>
            </w: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2100201</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综合医院</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25266.98</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395.62</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24674.53</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196.82</w:t>
            </w:r>
          </w:p>
        </w:tc>
      </w:tr>
      <w:tr>
        <w:tblPrEx>
          <w:tblCellMar>
            <w:top w:w="0" w:type="dxa"/>
            <w:left w:w="0" w:type="dxa"/>
            <w:bottom w:w="0" w:type="dxa"/>
            <w:right w:w="0" w:type="dxa"/>
          </w:tblCellMar>
        </w:tblPrEx>
        <w:trPr>
          <w:trHeight w:val="534"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2100202</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中医（民族）医院</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1000.000</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1000.00</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2100299</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其他公立医院支出</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292.00</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292.00</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21003</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基层医疗卫生机构</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9702.07</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1534.51</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8167.56</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2100302</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乡镇卫生院</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8333.52</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165.96</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8167.56</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2100399</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其他基层医疗卫生机构支出</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1368.55</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1368.55</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公共卫生</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6202.89</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6202.89</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2100401</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疾病预防控制机构</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1481.41</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1481.41</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2100402</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卫生监督机构</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304.78</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304.78</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2100403</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妇幼保健机构</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720.44</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720.44</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2100408</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基本公共卫生服务</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3560.03</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3560.03</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2100409</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重大公共卫生专项</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133.73</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133.73</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2100499</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其他公共卫生支出</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21007</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计划生育事务</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540.54</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540.54</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2100717</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计划生育服务</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343.38</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343.38</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2100799</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其他计划生育事务支出</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197.16</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197.16</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42.34</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42.34</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p>
            <w:pPr>
              <w:jc w:val="left"/>
              <w:rPr>
                <w:rFonts w:ascii="宋体" w:hAnsi="宋体" w:eastAsia="宋体" w:cs="宋体"/>
                <w:color w:val="000000"/>
                <w:sz w:val="22"/>
              </w:rPr>
            </w:pP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27.48</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27.48</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2101102</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事业单位医疗</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14.86</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14.86</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21012</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财政对基本医疗保险基金的补助</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0.44</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0.44</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2101201</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财政对职工基本医疗保险基金的补助</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0.44</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0.44</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21015</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医疗保障管理事务</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30.6</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30.6</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7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2101501</w:t>
            </w:r>
          </w:p>
        </w:tc>
        <w:tc>
          <w:tcPr>
            <w:tcW w:w="37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9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30.6</w:t>
            </w: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30.6</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79"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7"/>
        <w:tblW w:w="9846" w:type="dxa"/>
        <w:jc w:val="center"/>
        <w:tblLayout w:type="fixed"/>
        <w:tblCellMar>
          <w:top w:w="0" w:type="dxa"/>
          <w:left w:w="0" w:type="dxa"/>
          <w:bottom w:w="0" w:type="dxa"/>
          <w:right w:w="0" w:type="dxa"/>
        </w:tblCellMar>
      </w:tblPr>
      <w:tblGrid>
        <w:gridCol w:w="941"/>
        <w:gridCol w:w="164"/>
        <w:gridCol w:w="76"/>
        <w:gridCol w:w="90"/>
        <w:gridCol w:w="1359"/>
        <w:gridCol w:w="734"/>
        <w:gridCol w:w="427"/>
        <w:gridCol w:w="565"/>
        <w:gridCol w:w="596"/>
        <w:gridCol w:w="538"/>
        <w:gridCol w:w="623"/>
        <w:gridCol w:w="370"/>
        <w:gridCol w:w="791"/>
        <w:gridCol w:w="343"/>
        <w:gridCol w:w="818"/>
        <w:gridCol w:w="174"/>
        <w:gridCol w:w="1071"/>
        <w:gridCol w:w="166"/>
      </w:tblGrid>
      <w:tr>
        <w:tblPrEx>
          <w:tblCellMar>
            <w:top w:w="0" w:type="dxa"/>
            <w:left w:w="0" w:type="dxa"/>
            <w:bottom w:w="0" w:type="dxa"/>
            <w:right w:w="0" w:type="dxa"/>
          </w:tblCellMar>
        </w:tblPrEx>
        <w:trPr>
          <w:gridAfter w:val="1"/>
          <w:wAfter w:w="166" w:type="dxa"/>
          <w:trHeight w:val="612" w:hRule="atLeast"/>
          <w:jc w:val="center"/>
        </w:trPr>
        <w:tc>
          <w:tcPr>
            <w:tcW w:w="9680" w:type="dxa"/>
            <w:gridSpan w:val="1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588"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011" w:type="dxa"/>
            <w:gridSpan w:val="8"/>
            <w:tcBorders>
              <w:top w:val="nil"/>
              <w:left w:val="nil"/>
              <w:bottom w:val="nil"/>
              <w:right w:val="nil"/>
            </w:tcBorders>
            <w:shd w:val="clear" w:color="auto" w:fill="auto"/>
            <w:noWrap/>
            <w:tcMar>
              <w:top w:w="15" w:type="dxa"/>
              <w:left w:w="15" w:type="dxa"/>
              <w:right w:w="15" w:type="dxa"/>
            </w:tcMar>
            <w:vAlign w:val="bottom"/>
          </w:tcPr>
          <w:p>
            <w:pPr>
              <w:jc w:val="left"/>
              <w:rPr>
                <w:rFonts w:ascii="Arial" w:hAnsi="Arial" w:cs="Arial"/>
                <w:color w:val="000000"/>
                <w:sz w:val="20"/>
                <w:szCs w:val="20"/>
              </w:rPr>
            </w:pPr>
            <w:r>
              <w:rPr>
                <w:rFonts w:hint="eastAsia" w:ascii="Arial" w:hAnsi="Arial" w:cs="Arial"/>
                <w:color w:val="000000"/>
                <w:sz w:val="20"/>
                <w:szCs w:val="20"/>
              </w:rPr>
              <w:t>无极县卫生健康局</w:t>
            </w: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5"/>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gridAfter w:val="1"/>
          <w:wAfter w:w="166" w:type="dxa"/>
          <w:trHeight w:val="323" w:hRule="atLeast"/>
          <w:jc w:val="center"/>
        </w:trPr>
        <w:tc>
          <w:tcPr>
            <w:tcW w:w="3364"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92"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34"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993"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34"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992"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07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gridAfter w:val="1"/>
          <w:wAfter w:w="166" w:type="dxa"/>
          <w:trHeight w:val="319" w:hRule="atLeast"/>
          <w:jc w:val="center"/>
        </w:trPr>
        <w:tc>
          <w:tcPr>
            <w:tcW w:w="1105" w:type="dxa"/>
            <w:gridSpan w:val="2"/>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259" w:type="dxa"/>
            <w:gridSpan w:val="4"/>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92"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3"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7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19" w:hRule="atLeast"/>
          <w:jc w:val="center"/>
        </w:trPr>
        <w:tc>
          <w:tcPr>
            <w:tcW w:w="1105"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9" w:type="dxa"/>
            <w:gridSpan w:val="4"/>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2"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3"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7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19" w:hRule="atLeast"/>
          <w:jc w:val="center"/>
        </w:trPr>
        <w:tc>
          <w:tcPr>
            <w:tcW w:w="1105"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9" w:type="dxa"/>
            <w:gridSpan w:val="4"/>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2"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3"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7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3364"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gridAfter w:val="1"/>
          <w:wAfter w:w="166" w:type="dxa"/>
          <w:trHeight w:val="323" w:hRule="atLeast"/>
          <w:jc w:val="center"/>
        </w:trPr>
        <w:tc>
          <w:tcPr>
            <w:tcW w:w="3364"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43071.3</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37492.34</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5578.96</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425.98</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425.98</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654"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264.85</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264.85</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2080502</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事业单位离退休</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37.6</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37.6</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223.13</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223.13</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2080506</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机关事业单位职业年金缴费支出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4.12</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4.12</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抚恤</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29.11</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29.11</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死亡抚恤</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29.11</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29.11</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2080901</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退役士兵安置</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4.22</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4.22</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1.62</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1.62</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20899</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其他社会保障和就业支出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117.71</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117.71</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2089901</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其他社会保障和就业支出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117.71</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117.71</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42645.32</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37066.36</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5578.96</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21001</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卫生健康管理事务</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693.84</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693.84</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2100101</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581.01</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581.01</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2100199</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其他卫生健康管理事务支出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112.83</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112.83</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21002</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公立医院</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25699.89</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25520.89</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179.00</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2100201</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综合医院</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25228.89</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25228.89</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2100299</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其他公立医院支出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471</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292</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179</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21003</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基层医疗卫生机构</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9407.05</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9407.05</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2100302</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乡镇卫生院</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8038.5</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8038.5</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2100399</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其他基层医疗卫生机构支出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1368.55</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1368.55</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公共卫生</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6230.63</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1370.91</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4859.72</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2100401</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疾病预防控制机构</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1481.4</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462.77</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1018.63</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2100402</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卫生监督机构</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304.78</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304.78</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2100403</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妇幼保健机构</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720.44</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600.86</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119.58</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2100408</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基本公共卫生服务</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3560.03</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3560.03</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2100409</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重大公共卫生专项</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161.48</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161.48</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2100499</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其他公共卫生支出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21007</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计划生育事务</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540.54</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540.24</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2100717</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计划生育服务</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343.38</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343.08</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2100799</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其他计划生育事务支出</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197.16</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197.16</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42.34</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42.34</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27.48</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27.48</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2101102</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事业单位医疗</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14.86</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14.86</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21012</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财政对基本医疗保险基金的补助</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0.44</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0.44</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2101201</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财政对职工基本医疗保险基金的补助</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0.44</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0.44</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21015</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医疗保障管理事务</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30.6</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30.6</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11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2101501</w:t>
            </w:r>
          </w:p>
        </w:tc>
        <w:tc>
          <w:tcPr>
            <w:tcW w:w="225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30.6</w:t>
            </w: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30.6</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66" w:type="dxa"/>
          <w:trHeight w:val="323" w:hRule="atLeast"/>
          <w:jc w:val="center"/>
        </w:trPr>
        <w:tc>
          <w:tcPr>
            <w:tcW w:w="9680" w:type="dxa"/>
            <w:gridSpan w:val="17"/>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10234" w:type="dxa"/>
        <w:jc w:val="center"/>
        <w:tblLayout w:type="fixed"/>
        <w:tblCellMar>
          <w:top w:w="0" w:type="dxa"/>
          <w:left w:w="0" w:type="dxa"/>
          <w:bottom w:w="0" w:type="dxa"/>
          <w:right w:w="0" w:type="dxa"/>
        </w:tblCellMar>
      </w:tblPr>
      <w:tblGrid>
        <w:gridCol w:w="622"/>
        <w:gridCol w:w="240"/>
        <w:gridCol w:w="240"/>
        <w:gridCol w:w="1820"/>
        <w:gridCol w:w="425"/>
        <w:gridCol w:w="988"/>
        <w:gridCol w:w="1309"/>
        <w:gridCol w:w="1384"/>
        <w:gridCol w:w="147"/>
        <w:gridCol w:w="287"/>
        <w:gridCol w:w="414"/>
        <w:gridCol w:w="830"/>
        <w:gridCol w:w="25"/>
        <w:gridCol w:w="789"/>
        <w:gridCol w:w="714"/>
      </w:tblGrid>
      <w:tr>
        <w:tblPrEx>
          <w:tblCellMar>
            <w:top w:w="0" w:type="dxa"/>
            <w:left w:w="0" w:type="dxa"/>
            <w:bottom w:w="0" w:type="dxa"/>
            <w:right w:w="0" w:type="dxa"/>
          </w:tblCellMar>
        </w:tblPrEx>
        <w:trPr>
          <w:gridAfter w:val="1"/>
          <w:wAfter w:w="714" w:type="dxa"/>
          <w:trHeight w:val="406" w:hRule="atLeast"/>
          <w:jc w:val="center"/>
        </w:trPr>
        <w:tc>
          <w:tcPr>
            <w:tcW w:w="9520" w:type="dxa"/>
            <w:gridSpan w:val="14"/>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93"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34"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部门：无极县卫生健康局</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93"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34"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gridAfter w:val="1"/>
          <w:wAfter w:w="714" w:type="dxa"/>
          <w:trHeight w:val="90" w:hRule="atLeast"/>
          <w:jc w:val="center"/>
        </w:trPr>
        <w:tc>
          <w:tcPr>
            <w:tcW w:w="433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185" w:type="dxa"/>
            <w:gridSpan w:val="8"/>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gridAfter w:val="1"/>
          <w:wAfter w:w="714" w:type="dxa"/>
          <w:trHeight w:val="312" w:hRule="atLeast"/>
          <w:jc w:val="center"/>
        </w:trPr>
        <w:tc>
          <w:tcPr>
            <w:tcW w:w="2922"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693"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34"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41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5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gridAfter w:val="1"/>
          <w:wAfter w:w="714" w:type="dxa"/>
          <w:trHeight w:val="312" w:hRule="atLeast"/>
          <w:jc w:val="center"/>
        </w:trPr>
        <w:tc>
          <w:tcPr>
            <w:tcW w:w="2922"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3"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3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12658.75</w:t>
            </w: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七、文化旅游体育与传媒支出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425.98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9939.51</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十八、自然资源海洋气象等支出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二十一、灾害防治及应急管理支出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12658.75</w:t>
            </w: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10365.5</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535"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1614.07</w:t>
            </w: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3907.32</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1614.07</w:t>
            </w: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292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9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14272.82</w:t>
            </w: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14272.82</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14" w:type="dxa"/>
          <w:trHeight w:val="90" w:hRule="atLeast"/>
          <w:jc w:val="center"/>
        </w:trPr>
        <w:tc>
          <w:tcPr>
            <w:tcW w:w="9520" w:type="dxa"/>
            <w:gridSpan w:val="14"/>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r>
        <w:tblPrEx>
          <w:tblCellMar>
            <w:top w:w="0" w:type="dxa"/>
            <w:left w:w="0" w:type="dxa"/>
            <w:bottom w:w="0" w:type="dxa"/>
            <w:right w:w="0" w:type="dxa"/>
          </w:tblCellMar>
        </w:tblPrEx>
        <w:trPr>
          <w:trHeight w:val="600" w:hRule="atLeast"/>
          <w:jc w:val="center"/>
        </w:trPr>
        <w:tc>
          <w:tcPr>
            <w:tcW w:w="10234" w:type="dxa"/>
            <w:gridSpan w:val="15"/>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br w:type="page"/>
            </w: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6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42"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3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59" w:type="dxa"/>
            <w:gridSpan w:val="6"/>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6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42"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Cs w:val="21"/>
              </w:rPr>
              <w:t>无极县卫生健康局</w:t>
            </w:r>
          </w:p>
        </w:tc>
        <w:tc>
          <w:tcPr>
            <w:tcW w:w="153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59" w:type="dxa"/>
            <w:gridSpan w:val="6"/>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644"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590" w:type="dxa"/>
            <w:gridSpan w:val="8"/>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11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4542" w:type="dxa"/>
            <w:gridSpan w:val="4"/>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531"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31"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528"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11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42" w:type="dxa"/>
            <w:gridSpan w:val="4"/>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531"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31"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28"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42" w:type="dxa"/>
            <w:gridSpan w:val="4"/>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531"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31"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28"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5644"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644"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10365.5</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4786.54</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5578.96</w:t>
            </w: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425.98</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425.98</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264.85</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264.85</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2080502</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事业单位离退休</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37.6</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37.6</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95"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223.13</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223.13</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2080506</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机关事业单位职业年金缴费支出</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4.12</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4.12</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29.11</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29.11</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死亡抚恤</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29.11</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29.11</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10.10</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10.10</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2080901</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退役士兵安置</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10.10</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10.10</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4.22</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4.22</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2.60</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2.60</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1.62</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1.62</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20899</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其他社会保障和就业支出</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117.71</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117.71</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2089901</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其他社会保障和就业支出</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117.71</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117.71</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06"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9939.52</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4360.56</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5578.96</w:t>
            </w: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21001</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卫生健康管理事务</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693.84</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693.84</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2100101</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581.01</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581.01</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2100199</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其他卫生健康管理事务支出</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112.83</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112.83</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21002</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公立医院</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866.62</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687.62</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179</w:t>
            </w: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2100201</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综合医院</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395.62</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395.62</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2100202</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中医（民族）医院</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0.00</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0.00</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2100299</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其他公立医院支出</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471.00</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292.00</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179.00</w:t>
            </w: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21003</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基层医疗卫生机构</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1534.51</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1534.51</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2100302</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乡镇卫生院</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165.96</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165.96</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2100399</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其他基层医疗卫生机构支出</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1368.55</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1368.55</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公共卫生</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6230.64</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1370.92</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4859.72</w:t>
            </w: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2100401</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疾病预防控制机构</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1481.40</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462.77</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1018.63</w:t>
            </w: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2100402</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卫生监督机构</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304.78</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304.78</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2100403</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妇幼保健机构</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720.44</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600.86</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119.58</w:t>
            </w: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2100408</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基本公共卫生服务</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3560.03</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3560.03</w:t>
            </w: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2100409</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重大公共卫生专项</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161.48</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161.48</w:t>
            </w: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2100499</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其他公共卫生支出</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2.50</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2.50</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21007</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计划生育事务</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540.54</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0.30</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540.24</w:t>
            </w: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2100717</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计划生育服务</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343.38</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343.08</w:t>
            </w: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2100799</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其他计划生育事务支出</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197.16</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197.16</w:t>
            </w: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42.34</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42.34</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27.48</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27.48</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2101102</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事业单位医疗</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14.86</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14.86</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21012</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财政对基本医疗保险基金的补助</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0.44</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0.44</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2101201</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财政的职工基本医疗保险基金的补助</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0.44</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0.44</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21015</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医疗保障管理事务</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30.6</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30.6</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2101501</w:t>
            </w:r>
          </w:p>
        </w:tc>
        <w:tc>
          <w:tcPr>
            <w:tcW w:w="454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153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30.6</w:t>
            </w:r>
          </w:p>
        </w:tc>
        <w:tc>
          <w:tcPr>
            <w:tcW w:w="153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30.6</w:t>
            </w:r>
          </w:p>
        </w:tc>
        <w:tc>
          <w:tcPr>
            <w:tcW w:w="152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7"/>
        <w:tblW w:w="10000" w:type="dxa"/>
        <w:jc w:val="center"/>
        <w:tblLayout w:type="fixed"/>
        <w:tblCellMar>
          <w:top w:w="0" w:type="dxa"/>
          <w:left w:w="0" w:type="dxa"/>
          <w:bottom w:w="0" w:type="dxa"/>
          <w:right w:w="0" w:type="dxa"/>
        </w:tblCellMar>
      </w:tblPr>
      <w:tblGrid>
        <w:gridCol w:w="896"/>
        <w:gridCol w:w="1334"/>
        <w:gridCol w:w="598"/>
        <w:gridCol w:w="783"/>
        <w:gridCol w:w="305"/>
        <w:gridCol w:w="350"/>
        <w:gridCol w:w="933"/>
        <w:gridCol w:w="666"/>
        <w:gridCol w:w="480"/>
        <w:gridCol w:w="288"/>
        <w:gridCol w:w="744"/>
        <w:gridCol w:w="273"/>
        <w:gridCol w:w="1572"/>
        <w:gridCol w:w="46"/>
        <w:gridCol w:w="732"/>
      </w:tblGrid>
      <w:tr>
        <w:tblPrEx>
          <w:tblCellMar>
            <w:top w:w="0" w:type="dxa"/>
            <w:left w:w="0" w:type="dxa"/>
            <w:bottom w:w="0" w:type="dxa"/>
            <w:right w:w="0" w:type="dxa"/>
          </w:tblCellMar>
        </w:tblPrEx>
        <w:trPr>
          <w:trHeight w:val="662" w:hRule="atLeast"/>
          <w:jc w:val="center"/>
        </w:trPr>
        <w:tc>
          <w:tcPr>
            <w:tcW w:w="10000" w:type="dxa"/>
            <w:gridSpan w:val="15"/>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Cs w:val="21"/>
              </w:rPr>
              <w:t>无极县卫生健康局</w:t>
            </w: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11"/>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1807.77</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2408.11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145.51</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785.77</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65.08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205.24</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70.17</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0.10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0.02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134.71</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2.72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122.45</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402.93</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16.39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23.06</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101.45</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2.16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74.4</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11.00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8.59</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6.90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24.51</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32.87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425.15</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2.87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20.55</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0.02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1925.71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29.11</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299.13</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15.95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298.55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0.3</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2.49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w:t>
            </w: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1.18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76.06</w:t>
            </w: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16.88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5.72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2232.92</w:t>
            </w:r>
          </w:p>
        </w:tc>
        <w:tc>
          <w:tcPr>
            <w:tcW w:w="5657" w:type="dxa"/>
            <w:gridSpan w:val="10"/>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2553.62</w:t>
            </w:r>
          </w:p>
        </w:tc>
      </w:tr>
      <w:tr>
        <w:tblPrEx>
          <w:tblCellMar>
            <w:top w:w="0" w:type="dxa"/>
            <w:left w:w="0" w:type="dxa"/>
            <w:bottom w:w="0" w:type="dxa"/>
            <w:right w:w="0" w:type="dxa"/>
          </w:tblCellMar>
        </w:tblPrEx>
        <w:trPr>
          <w:gridAfter w:val="2"/>
          <w:wAfter w:w="778" w:type="dxa"/>
          <w:trHeight w:val="638" w:hRule="atLeast"/>
          <w:jc w:val="center"/>
        </w:trPr>
        <w:tc>
          <w:tcPr>
            <w:tcW w:w="9222" w:type="dxa"/>
            <w:gridSpan w:val="13"/>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br w:type="page"/>
            </w: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gridAfter w:val="2"/>
          <w:wAfter w:w="778" w:type="dxa"/>
          <w:trHeight w:val="360" w:hRule="atLeast"/>
          <w:jc w:val="center"/>
        </w:trPr>
        <w:tc>
          <w:tcPr>
            <w:tcW w:w="223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83"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46"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05"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gridAfter w:val="2"/>
          <w:wAfter w:w="778" w:type="dxa"/>
          <w:trHeight w:val="360" w:hRule="atLeast"/>
          <w:jc w:val="center"/>
        </w:trPr>
        <w:tc>
          <w:tcPr>
            <w:tcW w:w="223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部门：无极县卫生健康局</w:t>
            </w:r>
          </w:p>
        </w:tc>
        <w:tc>
          <w:tcPr>
            <w:tcW w:w="1686"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83"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46"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05"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gridAfter w:val="2"/>
          <w:wAfter w:w="778" w:type="dxa"/>
          <w:trHeight w:val="417" w:hRule="atLeast"/>
          <w:jc w:val="center"/>
        </w:trPr>
        <w:tc>
          <w:tcPr>
            <w:tcW w:w="9222" w:type="dxa"/>
            <w:gridSpan w:val="13"/>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gridAfter w:val="2"/>
          <w:wAfter w:w="778" w:type="dxa"/>
          <w:trHeight w:val="417" w:hRule="atLeast"/>
          <w:jc w:val="center"/>
        </w:trPr>
        <w:tc>
          <w:tcPr>
            <w:tcW w:w="2230" w:type="dxa"/>
            <w:gridSpan w:val="2"/>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gridSpan w:val="3"/>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3734" w:type="dxa"/>
            <w:gridSpan w:val="7"/>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gridAfter w:val="2"/>
          <w:wAfter w:w="778" w:type="dxa"/>
          <w:trHeight w:val="417" w:hRule="atLeast"/>
          <w:jc w:val="center"/>
        </w:trPr>
        <w:tc>
          <w:tcPr>
            <w:tcW w:w="2230" w:type="dxa"/>
            <w:gridSpan w:val="2"/>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30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2"/>
          <w:wAfter w:w="778" w:type="dxa"/>
          <w:trHeight w:val="417" w:hRule="atLeast"/>
          <w:jc w:val="center"/>
        </w:trPr>
        <w:tc>
          <w:tcPr>
            <w:tcW w:w="2230" w:type="dxa"/>
            <w:gridSpan w:val="2"/>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2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30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gridAfter w:val="2"/>
          <w:wAfter w:w="778" w:type="dxa"/>
          <w:trHeight w:val="417" w:hRule="atLeast"/>
          <w:jc w:val="center"/>
        </w:trPr>
        <w:tc>
          <w:tcPr>
            <w:tcW w:w="2230" w:type="dxa"/>
            <w:gridSpan w:val="2"/>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3.03</w:t>
            </w:r>
          </w:p>
        </w:tc>
        <w:tc>
          <w:tcPr>
            <w:tcW w:w="168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0.03</w:t>
            </w:r>
          </w:p>
        </w:tc>
      </w:tr>
      <w:tr>
        <w:tblPrEx>
          <w:tblCellMar>
            <w:top w:w="0" w:type="dxa"/>
            <w:left w:w="0" w:type="dxa"/>
            <w:bottom w:w="0" w:type="dxa"/>
            <w:right w:w="0" w:type="dxa"/>
          </w:tblCellMar>
        </w:tblPrEx>
        <w:trPr>
          <w:gridAfter w:val="2"/>
          <w:wAfter w:w="778" w:type="dxa"/>
          <w:trHeight w:val="417" w:hRule="atLeast"/>
          <w:jc w:val="center"/>
        </w:trPr>
        <w:tc>
          <w:tcPr>
            <w:tcW w:w="9222" w:type="dxa"/>
            <w:gridSpan w:val="13"/>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gridAfter w:val="2"/>
          <w:wAfter w:w="778" w:type="dxa"/>
          <w:trHeight w:val="417" w:hRule="atLeast"/>
          <w:jc w:val="center"/>
        </w:trPr>
        <w:tc>
          <w:tcPr>
            <w:tcW w:w="2230" w:type="dxa"/>
            <w:gridSpan w:val="2"/>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gridSpan w:val="3"/>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3734" w:type="dxa"/>
            <w:gridSpan w:val="7"/>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gridAfter w:val="2"/>
          <w:wAfter w:w="778" w:type="dxa"/>
          <w:trHeight w:val="417" w:hRule="atLeast"/>
          <w:jc w:val="center"/>
        </w:trPr>
        <w:tc>
          <w:tcPr>
            <w:tcW w:w="2230" w:type="dxa"/>
            <w:gridSpan w:val="2"/>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30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2"/>
          <w:wAfter w:w="778" w:type="dxa"/>
          <w:trHeight w:val="417" w:hRule="atLeast"/>
          <w:jc w:val="center"/>
        </w:trPr>
        <w:tc>
          <w:tcPr>
            <w:tcW w:w="2230" w:type="dxa"/>
            <w:gridSpan w:val="2"/>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2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1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30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gridAfter w:val="2"/>
          <w:wAfter w:w="778" w:type="dxa"/>
          <w:trHeight w:val="447" w:hRule="atLeast"/>
          <w:jc w:val="center"/>
        </w:trPr>
        <w:tc>
          <w:tcPr>
            <w:tcW w:w="2230" w:type="dxa"/>
            <w:gridSpan w:val="2"/>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w:t>
            </w:r>
          </w:p>
        </w:tc>
        <w:tc>
          <w:tcPr>
            <w:tcW w:w="1686"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83"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6"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5" w:type="dxa"/>
            <w:gridSpan w:val="3"/>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1.18</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0.02</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autofit"/>
        <w:tblCellMar>
          <w:top w:w="0" w:type="dxa"/>
          <w:left w:w="0" w:type="dxa"/>
          <w:bottom w:w="0" w:type="dxa"/>
          <w:right w:w="0" w:type="dxa"/>
        </w:tblCellMar>
      </w:tblPr>
      <w:tblGrid>
        <w:gridCol w:w="2230"/>
        <w:gridCol w:w="36"/>
        <w:gridCol w:w="36"/>
        <w:gridCol w:w="910"/>
        <w:gridCol w:w="1050"/>
        <w:gridCol w:w="1050"/>
        <w:gridCol w:w="1050"/>
        <w:gridCol w:w="1050"/>
        <w:gridCol w:w="1050"/>
        <w:gridCol w:w="10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部门：无极县卫生健康局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ascii="仿宋_GB2312" w:eastAsia="仿宋_GB2312"/>
          <w:sz w:val="28"/>
          <w:szCs w:val="28"/>
        </w:rPr>
      </w:pPr>
      <w:r>
        <w:rPr>
          <w:rFonts w:hint="eastAsia" w:ascii="仿宋_GB2312" w:eastAsia="仿宋_GB2312"/>
          <w:sz w:val="28"/>
          <w:szCs w:val="28"/>
        </w:rPr>
        <w:t>本部门无政府性基金预算财政拨款收入支出及结余情况，以空表列示。</w:t>
      </w:r>
    </w:p>
    <w:tbl>
      <w:tblPr>
        <w:tblStyle w:val="7"/>
        <w:tblW w:w="9915" w:type="dxa"/>
        <w:jc w:val="center"/>
        <w:tblLayout w:type="autofit"/>
        <w:tblCellMar>
          <w:top w:w="0" w:type="dxa"/>
          <w:left w:w="0" w:type="dxa"/>
          <w:bottom w:w="0" w:type="dxa"/>
          <w:right w:w="0" w:type="dxa"/>
        </w:tblCellMar>
      </w:tblPr>
      <w:tblGrid>
        <w:gridCol w:w="3428"/>
        <w:gridCol w:w="55"/>
        <w:gridCol w:w="55"/>
        <w:gridCol w:w="2856"/>
        <w:gridCol w:w="722"/>
        <w:gridCol w:w="1399"/>
        <w:gridCol w:w="140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部门：无极县卫生健康局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ascii="仿宋_GB2312" w:eastAsia="仿宋_GB2312"/>
          <w:sz w:val="28"/>
          <w:szCs w:val="28"/>
        </w:rPr>
      </w:pPr>
      <w:r>
        <w:rPr>
          <w:rFonts w:hint="eastAsia" w:ascii="仿宋_GB2312" w:eastAsia="仿宋_GB2312"/>
          <w:sz w:val="28"/>
          <w:szCs w:val="28"/>
        </w:rPr>
        <w:t>本部门无国有资本经营预算财政拨款支出，以空表列示。</w:t>
      </w:r>
    </w:p>
    <w:p>
      <w:r>
        <w:pict>
          <v:rect id="_x0000_s1027" o:spid="_x0000_s1027" o:spt="1" style="position:absolute;left:0pt;margin-left:-52.5pt;margin-top:199.75pt;height:841.15pt;width:595.1pt;z-index:251692032;v-text-anchor:middle;mso-width-relative:page;mso-height-relative:page;" fillcolor="#FFC000" filled="t" stroked="f" coordsize="21600,21600" o:gfxdata="UEsDBAoAAAAAAIdO4kAAAAAAAAAAAAAAAAAEAAAAZHJzL1BLAwQUAAAACACHTuJAIQkpUN0AAAAO&#10;AQAADwAAAGRycy9kb3ducmV2LnhtbE2PMU/DMBSEdyT+g/WQWFBrJxDkpnE6VKqEGBAUho6O/RpH&#10;ie0odtry73EnOp7udPddtbnYgZxwCp13ArIlA4JOed25VsDP927BgYQonZaDdyjgFwNs6vu7Spba&#10;n90XnvaxJanEhVIKMDGOJaVBGbQyLP2ILnlHP1kZk5xaqid5TuV2oDljr9TKzqUFI0fcGlT9frYC&#10;+s+nt5ePd3rYNnNvduygep4pIR4fMrYGEvES/8NwxU/oUCemxs9OBzIIWGSsSGeigOfVqgByjTBe&#10;5EAaATnjGQdaV/T2Rv0H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hCSlQ3QAAAA4BAAAPAAAAAAAAAAEAIAAA&#10;ACIAAABkcnMvZG93bnJldi54bWxQSwECFAAUAAAACACHTuJACmAlp3kCAADaBAAADgAAAAAAAAAB&#10;ACAAAAAsAQAAZHJzL2Uyb0RvYy54bWxQSwUGAAAAAAYABgBZAQAAFwYAAAAA&#10;">
            <v:path/>
            <v:fill on="t" focussize="0,0"/>
            <v:stroke on="f" weight="1pt"/>
            <v:imagedata o:title=""/>
            <o:lock v:ext="edit"/>
          </v:rect>
        </w:pic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w:panose1 w:val="000000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AFF" w:usb1="C0007843" w:usb2="00000009" w:usb3="00000000" w:csb0="400001FF" w:csb1="FFFF0000"/>
  </w:font>
  <w:font w:name="等线">
    <w:altName w:val="微软雅黑"/>
    <w:panose1 w:val="00000000000000000000"/>
    <w:charset w:val="00"/>
    <w:family w:val="auto"/>
    <w:pitch w:val="default"/>
    <w:sig w:usb0="00000000" w:usb1="00000000" w:usb2="00000000" w:usb3="00000000" w:csb0="00000000" w:csb1="00000000"/>
  </w:font>
  <w:font w:name="Meiryo">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- 29 -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2" o:spid="_x0000_s2092"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100" o:spid="_x0000_s2100"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05" o:spid="_x0000_s2105" o:spt="203" style="position:absolute;left:0pt;margin-top:29.75pt;height:32pt;width:157.5pt;mso-position-horizontal:left;mso-position-horizontal-relative:page;mso-position-vertical-relative:page;z-index:25166028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7155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673600;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5" o:spid="_x0000_s2065" o:spt="203" style="position:absolute;left:0pt;margin-left:-2.15pt;margin-top:59pt;height:32.8pt;width:596.85pt;mso-position-horizontal-relative:page;mso-position-vertical-relative:page;z-index:25168691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_x0000_s2064" o:spid="_x0000_s2064"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3" o:spid="_x0000_s2053" o:spt="203" style="position:absolute;left:0pt;margin-left:2.5pt;margin-top:28.75pt;height:35.25pt;width:594.8pt;mso-position-horizontal-relative:page;mso-position-vertical-relative:page;z-index:25168486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85888;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82816;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6" o:spid="_x0000_s2096"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v:rect id="矩形 2" o:spid="_x0000_s209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67667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9" o:spid="_x0000_s2089" o:spt="203" style="position:absolute;left:0pt;margin-left:2.25pt;margin-top:45.75pt;height:32.05pt;width:239.85pt;mso-position-horizontal-relative:page;mso-position-vertical-relative:page;z-index:251669504;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3527E"/>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45236"/>
    <w:rsid w:val="0025332B"/>
    <w:rsid w:val="002650EC"/>
    <w:rsid w:val="002A6C46"/>
    <w:rsid w:val="002C19B5"/>
    <w:rsid w:val="003A4EE8"/>
    <w:rsid w:val="00442CC2"/>
    <w:rsid w:val="00446244"/>
    <w:rsid w:val="00473C20"/>
    <w:rsid w:val="00486530"/>
    <w:rsid w:val="004D61CB"/>
    <w:rsid w:val="005011D6"/>
    <w:rsid w:val="00503F2E"/>
    <w:rsid w:val="0050599F"/>
    <w:rsid w:val="00552226"/>
    <w:rsid w:val="00566120"/>
    <w:rsid w:val="00582E6D"/>
    <w:rsid w:val="005954D5"/>
    <w:rsid w:val="005A53FA"/>
    <w:rsid w:val="005D1293"/>
    <w:rsid w:val="006324CD"/>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3519"/>
    <w:rsid w:val="008F5A2D"/>
    <w:rsid w:val="00921602"/>
    <w:rsid w:val="0094025F"/>
    <w:rsid w:val="00957EA1"/>
    <w:rsid w:val="00966E5B"/>
    <w:rsid w:val="009A230A"/>
    <w:rsid w:val="009A3B97"/>
    <w:rsid w:val="009B4EF0"/>
    <w:rsid w:val="009D271F"/>
    <w:rsid w:val="00A6082C"/>
    <w:rsid w:val="00A929C2"/>
    <w:rsid w:val="00AD097F"/>
    <w:rsid w:val="00B334E4"/>
    <w:rsid w:val="00B844F4"/>
    <w:rsid w:val="00BA06A1"/>
    <w:rsid w:val="00BA1599"/>
    <w:rsid w:val="00BA770A"/>
    <w:rsid w:val="00BC0008"/>
    <w:rsid w:val="00C054DE"/>
    <w:rsid w:val="00C679A9"/>
    <w:rsid w:val="00C7541C"/>
    <w:rsid w:val="00CC0FAA"/>
    <w:rsid w:val="00CD0736"/>
    <w:rsid w:val="00D1570F"/>
    <w:rsid w:val="00D16071"/>
    <w:rsid w:val="00D32830"/>
    <w:rsid w:val="00DB7153"/>
    <w:rsid w:val="00DB7F05"/>
    <w:rsid w:val="00DC1881"/>
    <w:rsid w:val="00DE2332"/>
    <w:rsid w:val="00E00023"/>
    <w:rsid w:val="00E028C3"/>
    <w:rsid w:val="00E14F77"/>
    <w:rsid w:val="00E3076B"/>
    <w:rsid w:val="00E36978"/>
    <w:rsid w:val="00E82A1E"/>
    <w:rsid w:val="00EA05EC"/>
    <w:rsid w:val="00EC06F4"/>
    <w:rsid w:val="00EE4E36"/>
    <w:rsid w:val="00F54C76"/>
    <w:rsid w:val="00F665F4"/>
    <w:rsid w:val="00FD1CEB"/>
    <w:rsid w:val="00FD225F"/>
    <w:rsid w:val="02726A5E"/>
    <w:rsid w:val="02804E11"/>
    <w:rsid w:val="045D0C74"/>
    <w:rsid w:val="05610D5E"/>
    <w:rsid w:val="05B00A30"/>
    <w:rsid w:val="066661EC"/>
    <w:rsid w:val="06AF6FFE"/>
    <w:rsid w:val="07F81A2C"/>
    <w:rsid w:val="09E34246"/>
    <w:rsid w:val="0A625C44"/>
    <w:rsid w:val="0AF71193"/>
    <w:rsid w:val="0B011416"/>
    <w:rsid w:val="0B6365E5"/>
    <w:rsid w:val="0C3D1867"/>
    <w:rsid w:val="0E485ADC"/>
    <w:rsid w:val="0FF059A1"/>
    <w:rsid w:val="124C64B5"/>
    <w:rsid w:val="13001865"/>
    <w:rsid w:val="136B7C7D"/>
    <w:rsid w:val="141E628D"/>
    <w:rsid w:val="14FD618C"/>
    <w:rsid w:val="15735D25"/>
    <w:rsid w:val="16EE4EFB"/>
    <w:rsid w:val="183847B0"/>
    <w:rsid w:val="1848749C"/>
    <w:rsid w:val="1AD91C71"/>
    <w:rsid w:val="1BB41F69"/>
    <w:rsid w:val="1D816D31"/>
    <w:rsid w:val="1E5C79AD"/>
    <w:rsid w:val="20B669ED"/>
    <w:rsid w:val="221531C6"/>
    <w:rsid w:val="223A0036"/>
    <w:rsid w:val="22897DB5"/>
    <w:rsid w:val="22B255FA"/>
    <w:rsid w:val="22F86862"/>
    <w:rsid w:val="23946899"/>
    <w:rsid w:val="249C1300"/>
    <w:rsid w:val="25DE3FA1"/>
    <w:rsid w:val="2632409E"/>
    <w:rsid w:val="26DB22E6"/>
    <w:rsid w:val="273921B8"/>
    <w:rsid w:val="282C465E"/>
    <w:rsid w:val="29B900D5"/>
    <w:rsid w:val="29DB78BF"/>
    <w:rsid w:val="2C4E43AC"/>
    <w:rsid w:val="2C9A66F3"/>
    <w:rsid w:val="2DF6159B"/>
    <w:rsid w:val="2E4E16C9"/>
    <w:rsid w:val="3077405F"/>
    <w:rsid w:val="31C2036A"/>
    <w:rsid w:val="320D02A5"/>
    <w:rsid w:val="348E566F"/>
    <w:rsid w:val="350048A6"/>
    <w:rsid w:val="35496D4B"/>
    <w:rsid w:val="361E0563"/>
    <w:rsid w:val="36AF1ABA"/>
    <w:rsid w:val="36B61512"/>
    <w:rsid w:val="38DD7C31"/>
    <w:rsid w:val="39795578"/>
    <w:rsid w:val="39F457F9"/>
    <w:rsid w:val="3A226944"/>
    <w:rsid w:val="3A2E2286"/>
    <w:rsid w:val="3AEE6A48"/>
    <w:rsid w:val="3BE271DD"/>
    <w:rsid w:val="3BFA3839"/>
    <w:rsid w:val="3C1620AA"/>
    <w:rsid w:val="3D52243F"/>
    <w:rsid w:val="3D5C5F94"/>
    <w:rsid w:val="3D7C2D60"/>
    <w:rsid w:val="3D8F080F"/>
    <w:rsid w:val="3EFE15E0"/>
    <w:rsid w:val="40A07899"/>
    <w:rsid w:val="4192452B"/>
    <w:rsid w:val="41F31CE8"/>
    <w:rsid w:val="43091874"/>
    <w:rsid w:val="43644314"/>
    <w:rsid w:val="443640FE"/>
    <w:rsid w:val="448A0AF7"/>
    <w:rsid w:val="44CE1FA4"/>
    <w:rsid w:val="450E0969"/>
    <w:rsid w:val="45904F2A"/>
    <w:rsid w:val="46FD0E2E"/>
    <w:rsid w:val="48260441"/>
    <w:rsid w:val="487F73ED"/>
    <w:rsid w:val="49E3446F"/>
    <w:rsid w:val="49FE30F9"/>
    <w:rsid w:val="4A347EAE"/>
    <w:rsid w:val="4B051728"/>
    <w:rsid w:val="4C39496D"/>
    <w:rsid w:val="4C4C3316"/>
    <w:rsid w:val="4D177657"/>
    <w:rsid w:val="4E8A5FE7"/>
    <w:rsid w:val="4F8335AE"/>
    <w:rsid w:val="4F8B6CA7"/>
    <w:rsid w:val="518173C7"/>
    <w:rsid w:val="52600405"/>
    <w:rsid w:val="529B4319"/>
    <w:rsid w:val="55B72EB7"/>
    <w:rsid w:val="57062682"/>
    <w:rsid w:val="57773DD6"/>
    <w:rsid w:val="578B79AB"/>
    <w:rsid w:val="58E43512"/>
    <w:rsid w:val="5A5E78DF"/>
    <w:rsid w:val="5CCD3FD5"/>
    <w:rsid w:val="5CE37109"/>
    <w:rsid w:val="5D3C289D"/>
    <w:rsid w:val="5EB53B2A"/>
    <w:rsid w:val="619C4BE8"/>
    <w:rsid w:val="61FA5F9D"/>
    <w:rsid w:val="62B024EF"/>
    <w:rsid w:val="64CD6910"/>
    <w:rsid w:val="64CE5771"/>
    <w:rsid w:val="661E1B62"/>
    <w:rsid w:val="669D79F3"/>
    <w:rsid w:val="673730C1"/>
    <w:rsid w:val="6769131F"/>
    <w:rsid w:val="6789158D"/>
    <w:rsid w:val="6792554C"/>
    <w:rsid w:val="67D81BA4"/>
    <w:rsid w:val="6AAF1C96"/>
    <w:rsid w:val="6ADE2B97"/>
    <w:rsid w:val="6BA86E32"/>
    <w:rsid w:val="6BCD47DB"/>
    <w:rsid w:val="6C181AEC"/>
    <w:rsid w:val="6C1F213C"/>
    <w:rsid w:val="6CA56B99"/>
    <w:rsid w:val="6D9E152B"/>
    <w:rsid w:val="6DE5468D"/>
    <w:rsid w:val="6E0C3999"/>
    <w:rsid w:val="6E992B45"/>
    <w:rsid w:val="6EF879CA"/>
    <w:rsid w:val="6FB10401"/>
    <w:rsid w:val="71E80A05"/>
    <w:rsid w:val="7333646B"/>
    <w:rsid w:val="734919B9"/>
    <w:rsid w:val="735451B9"/>
    <w:rsid w:val="7361536E"/>
    <w:rsid w:val="74196E38"/>
    <w:rsid w:val="75364445"/>
    <w:rsid w:val="75681757"/>
    <w:rsid w:val="759E5D4C"/>
    <w:rsid w:val="75A346A8"/>
    <w:rsid w:val="75B75515"/>
    <w:rsid w:val="76E3398E"/>
    <w:rsid w:val="789643D3"/>
    <w:rsid w:val="79B9382C"/>
    <w:rsid w:val="7AEB58E0"/>
    <w:rsid w:val="7B043B76"/>
    <w:rsid w:val="7B541F32"/>
    <w:rsid w:val="7C041A6A"/>
    <w:rsid w:val="7DBF6B2C"/>
    <w:rsid w:val="7E327570"/>
    <w:rsid w:val="7E343148"/>
    <w:rsid w:val="7F8017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7"/>
    <w:semiHidden/>
    <w:unhideWhenUsed/>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customStyle="1" w:styleId="13">
    <w:name w:val="无间隔1"/>
    <w:qFormat/>
    <w:uiPriority w:val="0"/>
    <w:pPr>
      <w:ind w:firstLine="200" w:firstLineChars="200"/>
    </w:pPr>
    <w:rPr>
      <w:rFonts w:ascii="Times New Roman" w:hAnsi="Times New Roman" w:eastAsia="仿宋_GB2312" w:cs="Times New Roman"/>
      <w:sz w:val="30"/>
      <w:szCs w:val="22"/>
      <w:lang w:val="en-US" w:eastAsia="zh-CN" w:bidi="ar-SA"/>
    </w:rPr>
  </w:style>
  <w:style w:type="paragraph" w:customStyle="1" w:styleId="14">
    <w:name w:val="正文1"/>
    <w:basedOn w:val="15"/>
    <w:qFormat/>
    <w:uiPriority w:val="7"/>
    <w:pPr>
      <w:jc w:val="both"/>
    </w:pPr>
    <w:rPr>
      <w:rFonts w:ascii="Times New Roman" w:hAnsi="Times New Roman" w:eastAsia="Times New Roman"/>
      <w:sz w:val="21"/>
    </w:rPr>
  </w:style>
  <w:style w:type="paragraph" w:customStyle="1" w:styleId="15">
    <w:name w:val="[Normal]"/>
    <w:qFormat/>
    <w:uiPriority w:val="6"/>
    <w:rPr>
      <w:rFonts w:ascii="宋体" w:hAnsi="宋体" w:eastAsia="宋体" w:cstheme="minorBidi"/>
      <w:sz w:val="24"/>
      <w:lang w:val="en-US" w:eastAsia="en-US" w:bidi="ar-SA"/>
    </w:rPr>
  </w:style>
  <w:style w:type="paragraph" w:styleId="16">
    <w:name w:val="List Paragraph"/>
    <w:basedOn w:val="1"/>
    <w:unhideWhenUsed/>
    <w:uiPriority w:val="99"/>
    <w:pPr>
      <w:ind w:firstLine="420" w:firstLineChars="200"/>
    </w:pPr>
  </w:style>
  <w:style w:type="character" w:customStyle="1" w:styleId="17">
    <w:name w:val="批注框文本 Char"/>
    <w:basedOn w:val="9"/>
    <w:link w:val="4"/>
    <w:semiHidden/>
    <w:uiPriority w:val="99"/>
    <w:rPr>
      <w:rFonts w:asciiTheme="minorHAnsi" w:hAnsiTheme="minorHAns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9" Type="http://schemas.openxmlformats.org/officeDocument/2006/relationships/fontTable" Target="fontTable.xml"/><Relationship Id="rId38" Type="http://schemas.openxmlformats.org/officeDocument/2006/relationships/customXml" Target="../customXml/item2.xml"/><Relationship Id="rId37" Type="http://schemas.openxmlformats.org/officeDocument/2006/relationships/customXml" Target="../customXml/item1.xml"/><Relationship Id="rId36" Type="http://schemas.openxmlformats.org/officeDocument/2006/relationships/chart" Target="charts/chart5.xml"/><Relationship Id="rId35" Type="http://schemas.openxmlformats.org/officeDocument/2006/relationships/chart" Target="charts/chart4.xml"/><Relationship Id="rId34" Type="http://schemas.openxmlformats.org/officeDocument/2006/relationships/chart" Target="charts/chart3.xml"/><Relationship Id="rId33" Type="http://schemas.openxmlformats.org/officeDocument/2006/relationships/chart" Target="charts/chart2.xml"/><Relationship Id="rId32" Type="http://schemas.openxmlformats.org/officeDocument/2006/relationships/chart" Target="charts/chart1.xml"/><Relationship Id="rId31" Type="http://schemas.openxmlformats.org/officeDocument/2006/relationships/image" Target="media/image2.GIF"/><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r>
              <a:rPr lang="zh-CN" altLang="en-US"/>
              <a:t>图</a:t>
            </a:r>
            <a:r>
              <a:rPr lang="en-US" altLang="zh-CN"/>
              <a:t>1</a:t>
            </a:r>
            <a:r>
              <a:rPr lang="zh-CN" altLang="en-US"/>
              <a:t>：收入构成情况</a:t>
            </a:r>
            <a:endParaRPr lang="zh-CN" altLang="en-US"/>
          </a:p>
        </c:rich>
      </c:tx>
      <c:layout>
        <c:manualLayout>
          <c:xMode val="edge"/>
          <c:yMode val="edge"/>
          <c:x val="0.366550862270199"/>
          <c:y val="0.850746268656717"/>
        </c:manualLayout>
      </c:layout>
      <c:overlay val="0"/>
      <c:spPr>
        <a:noFill/>
        <a:ln>
          <a:noFill/>
        </a:ln>
        <a:effectLst/>
      </c:spPr>
    </c:title>
    <c:autoTitleDeleted val="0"/>
    <c:plotArea>
      <c:layout>
        <c:manualLayout>
          <c:layoutTarget val="inner"/>
          <c:xMode val="edge"/>
          <c:yMode val="edge"/>
          <c:x val="0.0943148809218805"/>
          <c:y val="0.0575245818153329"/>
          <c:w val="0.811370238156239"/>
          <c:h val="0.765547851294708"/>
        </c:manualLayout>
      </c:layout>
      <c:pieChart>
        <c:varyColors val="1"/>
        <c:ser>
          <c:idx val="0"/>
          <c:order val="0"/>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dLbl>
              <c:idx val="3"/>
              <c:layout>
                <c:manualLayout>
                  <c:x val="-0.0910229388354655"/>
                  <c:y val="0.204625690445411"/>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numFmt formatCode="0.00%" sourceLinked="0"/>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12658.75</c:v>
                </c:pt>
                <c:pt idx="1">
                  <c:v>32842.1</c:v>
                </c:pt>
                <c:pt idx="3">
                  <c:v>196.83</c:v>
                </c:pt>
              </c:numCache>
            </c:numRef>
          </c:val>
        </c:ser>
        <c:dLbls>
          <c:showLegendKey val="0"/>
          <c:showVal val="0"/>
          <c:showCatName val="1"/>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r>
              <a:rPr lang="zh-CN" altLang="en-US"/>
              <a:t>图</a:t>
            </a:r>
            <a:r>
              <a:rPr lang="en-US" altLang="zh-CN"/>
              <a:t>2</a:t>
            </a:r>
            <a:r>
              <a:rPr lang="zh-CN" altLang="en-US"/>
              <a:t>：支出构成情况</a:t>
            </a:r>
            <a:endParaRPr lang="zh-CN" altLang="en-US"/>
          </a:p>
        </c:rich>
      </c:tx>
      <c:layout>
        <c:manualLayout>
          <c:xMode val="edge"/>
          <c:yMode val="edge"/>
          <c:x val="0.364138331467032"/>
          <c:y val="0.823232323232322"/>
        </c:manualLayout>
      </c:layout>
      <c:overlay val="0"/>
      <c:spPr>
        <a:noFill/>
        <a:ln>
          <a:noFill/>
        </a:ln>
        <a:effectLst/>
      </c:spPr>
    </c:title>
    <c:autoTitleDeleted val="0"/>
    <c:plotArea>
      <c:layout>
        <c:manualLayout>
          <c:layoutTarget val="inner"/>
          <c:xMode val="edge"/>
          <c:yMode val="edge"/>
          <c:x val="0.101627059597234"/>
          <c:y val="0.103243458204088"/>
          <c:w val="0.808785007968813"/>
          <c:h val="0.655154696572022"/>
        </c:manualLayout>
      </c:layout>
      <c:pieChart>
        <c:varyColors val="1"/>
        <c:ser>
          <c:idx val="0"/>
          <c:order val="0"/>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Lbls>
            <c:numFmt formatCode="0.00%" sourceLinked="0"/>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37492.34</c:v>
                </c:pt>
                <c:pt idx="1">
                  <c:v>5578.96</c:v>
                </c:pt>
              </c:numCache>
            </c:numRef>
          </c:val>
        </c:ser>
        <c:dLbls>
          <c:showLegendKey val="0"/>
          <c:showVal val="0"/>
          <c:showCatName val="1"/>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zh-CN" altLang="en-US"/>
              <a:t>图</a:t>
            </a:r>
            <a:r>
              <a:rPr lang="en-US" altLang="zh-CN"/>
              <a:t>3</a:t>
            </a:r>
            <a:r>
              <a:rPr lang="zh-CN" altLang="en-US"/>
              <a:t>：</a:t>
            </a:r>
            <a:r>
              <a:rPr lang="en-US" altLang="zh-CN"/>
              <a:t>2018-2019</a:t>
            </a:r>
            <a:r>
              <a:rPr lang="zh-CN" altLang="en-US"/>
              <a:t>年财政拨款收支对比情况</a:t>
            </a:r>
            <a:endParaRPr lang="zh-CN" altLang="en-US"/>
          </a:p>
        </c:rich>
      </c:tx>
      <c:layout>
        <c:manualLayout>
          <c:xMode val="edge"/>
          <c:yMode val="edge"/>
          <c:x val="0.222222222222222"/>
          <c:y val="0.86474973375932"/>
        </c:manualLayout>
      </c:layout>
      <c:overlay val="0"/>
      <c:spPr>
        <a:noFill/>
        <a:ln>
          <a:noFill/>
        </a:ln>
        <a:effectLst/>
      </c:spPr>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'[部门决算公开制图模板（修改版）(1).xlsx]收支与决算对比'!$A$5</c:f>
              <c:strCache>
                <c:ptCount val="1"/>
                <c:pt idx="0">
                  <c:v>2019</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prstDash val="solid"/>
                      <a:round/>
                    </a:ln>
                    <a:effectLst/>
                  </c:spPr>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12658.75</c:v>
                </c:pt>
                <c:pt idx="1">
                  <c:v>10365.5</c:v>
                </c:pt>
              </c:numCache>
            </c:numRef>
          </c:val>
        </c:ser>
        <c:ser>
          <c:idx val="1"/>
          <c:order val="1"/>
          <c:tx>
            <c:strRef>
              <c:f>'[部门决算公开制图模板（修改版）(1).xlsx]收支与决算对比'!$A$6</c:f>
              <c:strCache>
                <c:ptCount val="1"/>
                <c:pt idx="0">
                  <c:v>2018</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prstDash val="solid"/>
                      <a:round/>
                    </a:ln>
                    <a:effectLst/>
                  </c:spPr>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8401.51</c:v>
                </c:pt>
                <c:pt idx="1">
                  <c:v>8321.37999999999</c:v>
                </c:pt>
              </c:numCache>
            </c:numRef>
          </c:val>
        </c:ser>
        <c:dLbls>
          <c:showLegendKey val="0"/>
          <c:showVal val="1"/>
          <c:showCatName val="0"/>
          <c:showSerName val="0"/>
          <c:showPercent val="0"/>
          <c:showBubbleSize val="0"/>
        </c:dLbls>
        <c:gapWidth val="219"/>
        <c:overlap val="-27"/>
        <c:axId val="185283712"/>
        <c:axId val="185286016"/>
      </c:barChart>
      <c:catAx>
        <c:axId val="185283712"/>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5286016"/>
        <c:crosses val="autoZero"/>
        <c:auto val="1"/>
        <c:lblAlgn val="ctr"/>
        <c:lblOffset val="100"/>
        <c:noMultiLvlLbl val="0"/>
      </c:catAx>
      <c:valAx>
        <c:axId val="185286016"/>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5283712"/>
        <c:crosses val="autoZero"/>
        <c:crossBetween val="between"/>
      </c:valAx>
      <c:spPr>
        <a:noFill/>
        <a:ln>
          <a:noFill/>
        </a:ln>
        <a:effectLst/>
      </c:spPr>
    </c:plotArea>
    <c:legend>
      <c:legendPos val="b"/>
      <c:layout>
        <c:manualLayout>
          <c:xMode val="edge"/>
          <c:yMode val="edge"/>
          <c:x val="0.435222222222222"/>
          <c:y val="0.770351437699682"/>
          <c:w val="0.174"/>
          <c:h val="0.0635143769968051"/>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r>
              <a:rPr lang="zh-CN" altLang="en-US" sz="1200"/>
              <a:t>图</a:t>
            </a:r>
            <a:r>
              <a:rPr lang="en-US" altLang="zh-CN" sz="1200"/>
              <a:t>4</a:t>
            </a:r>
            <a:r>
              <a:rPr lang="zh-CN" altLang="en-US" sz="1200"/>
              <a:t>：财政拨款收支预决算对比情况</a:t>
            </a:r>
            <a:endParaRPr lang="zh-CN" altLang="en-US" sz="1200"/>
          </a:p>
        </c:rich>
      </c:tx>
      <c:layout>
        <c:manualLayout>
          <c:xMode val="edge"/>
          <c:yMode val="edge"/>
          <c:x val="0.206342182890855"/>
          <c:y val="0.000963244613434729"/>
        </c:manualLayout>
      </c:layout>
      <c:overlay val="0"/>
      <c:spPr>
        <a:noFill/>
        <a:ln>
          <a:noFill/>
        </a:ln>
        <a:effectLst/>
      </c:spPr>
    </c:title>
    <c:autoTitleDeleted val="0"/>
    <c:plotArea>
      <c:layout>
        <c:manualLayout>
          <c:layoutTarget val="inner"/>
          <c:xMode val="edge"/>
          <c:yMode val="edge"/>
          <c:x val="0.100155074365704"/>
          <c:y val="0.0231156048675734"/>
          <c:w val="0.869289370078741"/>
          <c:h val="0.768818002863281"/>
        </c:manualLayout>
      </c:layout>
      <c:barChart>
        <c:barDir val="col"/>
        <c:grouping val="clustered"/>
        <c:varyColors val="0"/>
        <c:ser>
          <c:idx val="0"/>
          <c:order val="0"/>
          <c:tx>
            <c:strRef>
              <c:f>'[部门决算公开制图模板（修改版）(1).xlsx]收支与预算对比'!$A$5</c:f>
              <c:strCache>
                <c:ptCount val="1"/>
                <c:pt idx="0">
                  <c:v>年初预算数</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dk1">
                          <a:lumMod val="50000"/>
                          <a:lumOff val="50000"/>
                        </a:schemeClr>
                      </a:solidFill>
                      <a:prstDash val="solid"/>
                      <a:round/>
                    </a:ln>
                    <a:effectLst/>
                  </c:spPr>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pt idx="0">
                  <c:v>12686</c:v>
                </c:pt>
                <c:pt idx="1">
                  <c:v>12686</c:v>
                </c:pt>
              </c:numCache>
            </c:numRef>
          </c:val>
        </c:ser>
        <c:ser>
          <c:idx val="1"/>
          <c:order val="1"/>
          <c:tx>
            <c:strRef>
              <c:f>'[部门决算公开制图模板（修改版）(1).xlsx]收支与预算对比'!$A$6</c:f>
              <c:strCache>
                <c:ptCount val="1"/>
                <c:pt idx="0">
                  <c:v>决算数</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dk1">
                          <a:lumMod val="50000"/>
                          <a:lumOff val="50000"/>
                        </a:schemeClr>
                      </a:solidFill>
                      <a:prstDash val="solid"/>
                      <a:round/>
                    </a:ln>
                    <a:effectLst/>
                  </c:spPr>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General</c:formatCode>
                <c:ptCount val="2"/>
                <c:pt idx="0">
                  <c:v>12658.75</c:v>
                </c:pt>
                <c:pt idx="1">
                  <c:v>10365.5</c:v>
                </c:pt>
              </c:numCache>
            </c:numRef>
          </c:val>
        </c:ser>
        <c:dLbls>
          <c:showLegendKey val="0"/>
          <c:showVal val="1"/>
          <c:showCatName val="0"/>
          <c:showSerName val="0"/>
          <c:showPercent val="0"/>
          <c:showBubbleSize val="0"/>
        </c:dLbls>
        <c:gapWidth val="65"/>
        <c:axId val="218870144"/>
        <c:axId val="218872832"/>
      </c:barChart>
      <c:catAx>
        <c:axId val="218870144"/>
        <c:scaling>
          <c:orientation val="minMax"/>
        </c:scaling>
        <c:delete val="0"/>
        <c:axPos val="b"/>
        <c:majorTickMark val="none"/>
        <c:minorTickMark val="none"/>
        <c:tickLblPos val="nextTo"/>
        <c:spPr>
          <a:noFill/>
          <a:ln w="19050" cap="flat" cmpd="sng" algn="ctr">
            <a:solidFill>
              <a:schemeClr val="dk1">
                <a:lumMod val="75000"/>
                <a:lumOff val="25000"/>
              </a:schemeClr>
            </a:solidFill>
            <a:prstDash val="solid"/>
            <a:round/>
          </a:ln>
          <a:effectLst/>
        </c:spPr>
        <c:txPr>
          <a:bodyPr rot="-60000000" spcFirstLastPara="0" vertOverflow="ellipsis" vert="horz" wrap="square" anchor="ctr" anchorCtr="1"/>
          <a:lstStyle/>
          <a:p>
            <a:pPr>
              <a:defRPr lang="zh-CN" sz="900" b="0" i="0" u="none" strike="noStrike" kern="1200" cap="all" baseline="0">
                <a:solidFill>
                  <a:schemeClr val="dk1">
                    <a:lumMod val="75000"/>
                    <a:lumOff val="25000"/>
                  </a:schemeClr>
                </a:solidFill>
                <a:latin typeface="+mn-lt"/>
                <a:ea typeface="+mn-ea"/>
                <a:cs typeface="+mn-cs"/>
              </a:defRPr>
            </a:pPr>
          </a:p>
        </c:txPr>
        <c:crossAx val="218872832"/>
        <c:crosses val="autoZero"/>
        <c:auto val="1"/>
        <c:lblAlgn val="ctr"/>
        <c:lblOffset val="100"/>
        <c:noMultiLvlLbl val="0"/>
      </c:catAx>
      <c:valAx>
        <c:axId val="21887283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prstDash val="solid"/>
              <a:round/>
            </a:ln>
            <a:effectLst/>
          </c:spPr>
        </c:majorGridlines>
        <c:numFmt formatCode="General" sourceLinked="1"/>
        <c:majorTickMark val="none"/>
        <c:minorTickMark val="none"/>
        <c:tickLblPos val="none"/>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8870144"/>
        <c:crosses val="autoZero"/>
        <c:crossBetween val="between"/>
      </c:valAx>
      <c:spPr>
        <a:noFill/>
        <a:ln>
          <a:noFill/>
        </a:ln>
        <a:effectLst/>
      </c:spPr>
    </c:plotArea>
    <c:legend>
      <c:legendPos val="b"/>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500" b="1" i="0" u="none" strike="noStrike" kern="1200" cap="all" spc="100" normalizeH="0" baseline="0">
                <a:solidFill>
                  <a:schemeClr val="lt1"/>
                </a:solidFill>
                <a:latin typeface="+mn-lt"/>
                <a:ea typeface="+mn-ea"/>
                <a:cs typeface="+mn-cs"/>
              </a:defRPr>
            </a:pPr>
            <a:r>
              <a:rPr lang="zh-CN" altLang="en-US"/>
              <a:t>图</a:t>
            </a:r>
            <a:r>
              <a:rPr lang="en-US" altLang="zh-CN"/>
              <a:t>5</a:t>
            </a:r>
            <a:r>
              <a:rPr lang="zh-CN" altLang="en-US"/>
              <a:t>：财政拨款支出决算结构（按功能分类）</a:t>
            </a:r>
            <a:endParaRPr lang="zh-CN" altLang="en-US"/>
          </a:p>
        </c:rich>
      </c:tx>
      <c:layout>
        <c:manualLayout>
          <c:xMode val="edge"/>
          <c:yMode val="edge"/>
          <c:x val="0.126388888888889"/>
          <c:y val="0.837120962443044"/>
        </c:manualLayout>
      </c:layout>
      <c:overlay val="0"/>
      <c:spPr>
        <a:noFill/>
        <a:ln>
          <a:noFill/>
        </a:ln>
        <a:effectLst/>
      </c:spPr>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spPr>
              <a:solidFill>
                <a:schemeClr val="lt1"/>
              </a:solidFill>
              <a:ln w="19050">
                <a:solidFill>
                  <a:schemeClr val="accent1">
                    <a:shade val="58000"/>
                  </a:schemeClr>
                </a:solidFill>
              </a:ln>
              <a:effectLst/>
            </c:spPr>
          </c:dPt>
          <c:dPt>
            <c:idx val="1"/>
            <c:bubble3D val="0"/>
            <c:spPr>
              <a:solidFill>
                <a:schemeClr val="lt1"/>
              </a:solidFill>
              <a:ln w="19050">
                <a:solidFill>
                  <a:schemeClr val="accent1">
                    <a:shade val="58000"/>
                  </a:schemeClr>
                </a:solidFill>
              </a:ln>
              <a:effectLst/>
            </c:spPr>
          </c:dPt>
          <c:dPt>
            <c:idx val="2"/>
            <c:bubble3D val="0"/>
            <c:spPr>
              <a:solidFill>
                <a:schemeClr val="lt1"/>
              </a:solidFill>
              <a:ln w="19050">
                <a:solidFill>
                  <a:schemeClr val="accent1">
                    <a:shade val="58000"/>
                  </a:schemeClr>
                </a:solidFill>
              </a:ln>
              <a:effectLst/>
            </c:spPr>
          </c:dPt>
          <c:dPt>
            <c:idx val="3"/>
            <c:bubble3D val="0"/>
            <c:spPr>
              <a:solidFill>
                <a:schemeClr val="lt1"/>
              </a:solidFill>
              <a:ln w="19050">
                <a:solidFill>
                  <a:schemeClr val="accent1">
                    <a:shade val="58000"/>
                  </a:schemeClr>
                </a:solidFill>
              </a:ln>
              <a:effectLst/>
            </c:spPr>
          </c:dPt>
          <c:dPt>
            <c:idx val="4"/>
            <c:bubble3D val="0"/>
            <c:spPr>
              <a:solidFill>
                <a:schemeClr val="lt1"/>
              </a:solidFill>
              <a:ln w="19050">
                <a:solidFill>
                  <a:schemeClr val="accent1">
                    <a:shade val="58000"/>
                  </a:schemeClr>
                </a:solidFill>
              </a:ln>
              <a:effectLst/>
            </c:spPr>
          </c:dPt>
          <c:dPt>
            <c:idx val="5"/>
            <c:bubble3D val="0"/>
            <c:spPr>
              <a:solidFill>
                <a:schemeClr val="lt1"/>
              </a:solidFill>
              <a:ln w="19050">
                <a:solidFill>
                  <a:schemeClr val="accent1">
                    <a:shade val="58000"/>
                  </a:schemeClr>
                </a:solidFill>
              </a:ln>
              <a:effectLst/>
            </c:spPr>
          </c:dPt>
          <c:dPt>
            <c:idx val="6"/>
            <c:bubble3D val="0"/>
            <c:spPr>
              <a:solidFill>
                <a:schemeClr val="lt1"/>
              </a:solidFill>
              <a:ln w="19050">
                <a:solidFill>
                  <a:schemeClr val="accent1">
                    <a:shade val="58000"/>
                  </a:schemeClr>
                </a:solidFill>
              </a:ln>
              <a:effectLst/>
            </c:spPr>
          </c:dPt>
          <c:dPt>
            <c:idx val="7"/>
            <c:bubble3D val="0"/>
            <c:spPr>
              <a:solidFill>
                <a:schemeClr val="lt1"/>
              </a:solidFill>
              <a:ln w="19050">
                <a:solidFill>
                  <a:schemeClr val="accent1">
                    <a:shade val="58000"/>
                  </a:schemeClr>
                </a:solidFill>
              </a:ln>
              <a:effectLst/>
            </c:spPr>
          </c:dPt>
          <c:dPt>
            <c:idx val="8"/>
            <c:bubble3D val="0"/>
            <c:spPr>
              <a:solidFill>
                <a:schemeClr val="lt1"/>
              </a:solidFill>
              <a:ln w="19050">
                <a:solidFill>
                  <a:schemeClr val="accent1">
                    <a:shade val="58000"/>
                  </a:schemeClr>
                </a:solidFill>
              </a:ln>
              <a:effectLst/>
            </c:spPr>
          </c:dPt>
          <c:dPt>
            <c:idx val="9"/>
            <c:bubble3D val="0"/>
            <c:spPr>
              <a:solidFill>
                <a:schemeClr val="lt1"/>
              </a:solidFill>
              <a:ln w="19050">
                <a:solidFill>
                  <a:schemeClr val="accent1">
                    <a:shade val="58000"/>
                  </a:schemeClr>
                </a:solidFill>
              </a:ln>
              <a:effectLst/>
            </c:spPr>
          </c:dPt>
          <c:dPt>
            <c:idx val="10"/>
            <c:bubble3D val="0"/>
            <c:spPr>
              <a:solidFill>
                <a:schemeClr val="lt1"/>
              </a:solidFill>
              <a:ln w="19050">
                <a:solidFill>
                  <a:schemeClr val="accent1">
                    <a:shade val="58000"/>
                  </a:schemeClr>
                </a:solidFill>
              </a:ln>
              <a:effectLst/>
            </c:spPr>
          </c:dPt>
          <c:dPt>
            <c:idx val="11"/>
            <c:bubble3D val="0"/>
            <c:spPr>
              <a:solidFill>
                <a:schemeClr val="lt1"/>
              </a:solidFill>
              <a:ln w="19050">
                <a:solidFill>
                  <a:schemeClr val="accent1">
                    <a:shade val="58000"/>
                  </a:schemeClr>
                </a:solidFill>
              </a:ln>
              <a:effectLst/>
            </c:spPr>
          </c:dPt>
          <c:dPt>
            <c:idx val="12"/>
            <c:bubble3D val="0"/>
            <c:spPr>
              <a:solidFill>
                <a:schemeClr val="lt1"/>
              </a:solidFill>
              <a:ln w="19050">
                <a:solidFill>
                  <a:schemeClr val="accent1">
                    <a:shade val="58000"/>
                  </a:schemeClr>
                </a:solidFill>
              </a:ln>
              <a:effectLst/>
            </c:spPr>
          </c:dPt>
          <c:dPt>
            <c:idx val="13"/>
            <c:bubble3D val="0"/>
            <c:spPr>
              <a:solidFill>
                <a:schemeClr val="lt1"/>
              </a:solidFill>
              <a:ln w="19050">
                <a:solidFill>
                  <a:schemeClr val="accent1">
                    <a:shade val="58000"/>
                  </a:schemeClr>
                </a:solidFill>
              </a:ln>
              <a:effectLst/>
            </c:spPr>
          </c:dPt>
          <c:dPt>
            <c:idx val="14"/>
            <c:bubble3D val="0"/>
            <c:spPr>
              <a:solidFill>
                <a:schemeClr val="lt1"/>
              </a:solidFill>
              <a:ln w="19050">
                <a:solidFill>
                  <a:schemeClr val="accent1">
                    <a:shade val="58000"/>
                  </a:schemeClr>
                </a:solidFill>
              </a:ln>
              <a:effectLst/>
            </c:spPr>
          </c:dPt>
          <c:dPt>
            <c:idx val="15"/>
            <c:bubble3D val="0"/>
            <c:spPr>
              <a:solidFill>
                <a:schemeClr val="lt1"/>
              </a:solidFill>
              <a:ln w="19050">
                <a:solidFill>
                  <a:schemeClr val="accent1">
                    <a:shade val="58000"/>
                  </a:schemeClr>
                </a:solidFill>
              </a:ln>
              <a:effectLst/>
            </c:spPr>
          </c:dPt>
          <c:dPt>
            <c:idx val="16"/>
            <c:bubble3D val="0"/>
            <c:spPr>
              <a:solidFill>
                <a:schemeClr val="lt1"/>
              </a:solidFill>
              <a:ln w="19050">
                <a:solidFill>
                  <a:schemeClr val="accent1">
                    <a:shade val="58000"/>
                  </a:schemeClr>
                </a:solidFill>
              </a:ln>
              <a:effectLst/>
            </c:spPr>
          </c:dPt>
          <c:dPt>
            <c:idx val="17"/>
            <c:bubble3D val="0"/>
            <c:spPr>
              <a:solidFill>
                <a:schemeClr val="lt1"/>
              </a:solidFill>
              <a:ln w="19050">
                <a:solidFill>
                  <a:schemeClr val="accent1">
                    <a:shade val="58000"/>
                  </a:schemeClr>
                </a:solidFill>
              </a:ln>
              <a:effectLst/>
            </c:spPr>
          </c:dPt>
          <c:dPt>
            <c:idx val="18"/>
            <c:bubble3D val="0"/>
            <c:spPr>
              <a:solidFill>
                <a:schemeClr val="lt1"/>
              </a:solidFill>
              <a:ln w="19050">
                <a:solidFill>
                  <a:schemeClr val="accent1">
                    <a:shade val="58000"/>
                  </a:schemeClr>
                </a:solidFill>
              </a:ln>
              <a:effectLst/>
            </c:spPr>
          </c:dPt>
          <c:dLbls>
            <c:dLbl>
              <c:idx val="0"/>
              <c:delete val="1"/>
            </c:dLbl>
            <c:dLbl>
              <c:idx val="1"/>
              <c:delete val="1"/>
            </c:dLbl>
            <c:dLbl>
              <c:idx val="2"/>
              <c:delete val="1"/>
            </c:dLbl>
            <c:dLbl>
              <c:idx val="3"/>
              <c:delete val="1"/>
            </c:dLbl>
            <c:dLbl>
              <c:idx val="4"/>
              <c:delete val="1"/>
            </c:dLbl>
            <c:dLbl>
              <c:idx val="5"/>
              <c:layout>
                <c:manualLayout>
                  <c:x val="0.0119760479041916"/>
                  <c:y val="-0.0437956204379562"/>
                </c:manualLayout>
              </c:layout>
              <c:dLblPos val="inEnd"/>
              <c:showLegendKey val="0"/>
              <c:showVal val="0"/>
              <c:showCatName val="1"/>
              <c:showSerName val="0"/>
              <c:showPercent val="1"/>
              <c:showBubbleSize val="0"/>
              <c:extLst>
                <c:ext xmlns:c15="http://schemas.microsoft.com/office/drawing/2012/chart" uri="{CE6537A1-D6FC-4f65-9D91-7224C49458BB}">
                  <c15:layout/>
                </c:ext>
              </c:extLst>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accent1"/>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accent1">
                          <a:lumMod val="60000"/>
                          <a:lumOff val="40000"/>
                        </a:schemeClr>
                      </a:solidFill>
                      <a:prstDash val="solid"/>
                      <a:round/>
                    </a:ln>
                    <a:effectLst/>
                  </c:spPr>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5">
                  <c:v>425.98</c:v>
                </c:pt>
                <c:pt idx="6">
                  <c:v>9939.51</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accent1"/>
    </a:solidFill>
    <a:ln w="9525" cap="flat" cmpd="sng" algn="ctr">
      <a:solidFill>
        <a:schemeClr val="accent1"/>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26"/>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1C9A673-7514-45C7-AF05-25EB5D04209B}">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32</Pages>
  <Words>9358</Words>
  <Characters>6093</Characters>
  <Lines>50</Lines>
  <Paragraphs>30</Paragraphs>
  <TotalTime>8</TotalTime>
  <ScaleCrop>false</ScaleCrop>
  <LinksUpToDate>false</LinksUpToDate>
  <CharactersWithSpaces>15421</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2024-01-03T07:56:38Z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999592AB9804409F8614C7E1D3634C76</vt:lpwstr>
  </property>
</Properties>
</file>