
<file path=[Content_Types].xml><?xml version="1.0" encoding="utf-8"?>
<Types xmlns="http://schemas.openxmlformats.org/package/2006/content-types">
  <Default Extension="xml" ContentType="application/xml"/>
  <Default Extension="gif" ContentType="image/gi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5" w:name="_GoBack"/>
      <w:bookmarkEnd w:id="5"/>
      <w:r>
        <w:pict>
          <v:shape id="文本框 10" o:spid="_x0000_s1026" o:spt="202" type="#_x0000_t202" style="position:absolute;left:0pt;margin-left:106.25pt;margin-top:693.55pt;height:79.95pt;width:404.15pt;z-index:25165721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42" o:spt="3" type="#_x0000_t3" style="position:absolute;left:0pt;margin-left:53.5pt;margin-top:232.45pt;height:121.95pt;width:121.95pt;z-index:251654144;v-text-anchor:middle;mso-width-relative:page;mso-height-relative:page;" fillcolor="#FFFFFF"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path/>
            <v:fill on="t" focussize="0,0"/>
            <v:stroke on="f" weight="1pt" joinstyle="miter"/>
            <v:imagedata o:title=""/>
            <o:lock v:ext="edit"/>
            <v:textbox>
              <w:txbxContent>
                <w:p>
                  <w:pPr>
                    <w:jc w:val="center"/>
                  </w:pPr>
                </w:p>
              </w:txbxContent>
            </v:textbox>
          </v:shape>
        </w:pict>
      </w:r>
      <w:r>
        <w:pict>
          <v:rect id="矩形 14" o:spid="_x0000_s1041" o:spt="1" style="position:absolute;left:0pt;margin-left:33.6pt;margin-top:256.75pt;height:69.6pt;width:160.65pt;z-index:25165926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0" o:spt="3" type="#_x0000_t3" style="position:absolute;left:0pt;margin-left:62.2pt;margin-top:242.75pt;height:103.45pt;width:103.45pt;z-index:25165824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path/>
            <v:fill on="t" focussize="0,0"/>
            <v:stroke on="f" weight="1pt" joinstyle="miter"/>
            <v:imagedata o:title=""/>
            <o:lock v:ext="edit"/>
            <v:textbox>
              <w:txbxContent>
                <w:p>
                  <w:pPr>
                    <w:jc w:val="center"/>
                  </w:pPr>
                </w:p>
              </w:txbxContent>
            </v:textbox>
          </v:shape>
        </w:pict>
      </w:r>
      <w:r>
        <w:pict>
          <v:group id="_x0000_s1037" o:spid="_x0000_s1037" o:spt="203" style="position:absolute;left:0pt;margin-left:1.25pt;margin-top:821.7pt;height:21.45pt;width:595.25pt;z-index:251655168;mso-width-relative:page;mso-height-relative:page;" coordorigin="1483,16692" coordsize="11905,429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34" o:spid="_x0000_s1034" o:spt="203" style="position:absolute;left:0pt;margin-left:-2.5pt;margin-top:0pt;height:308.5pt;width:600.25pt;z-index:-251655168;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rect id="矩形 11" o:spid="_x0000_s1033" o:spt="1" style="position:absolute;left:0pt;margin-left:184.75pt;margin-top:286.6pt;height:31.25pt;width:339.65pt;mso-wrap-style:none;z-index:25165619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无极县住房和城乡建设局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6028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path/>
            <v:fill type="pattern" on="t" color2="#FFFFFF" o:title="5%" focussize="0,0" r:id="rId29"/>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640" w:firstLineChars="200"/>
        <w:rPr>
          <w:rFonts w:ascii="仿宋_GB2312" w:eastAsia="仿宋_GB2312" w:cs="ArialUnicodeMS"/>
          <w:kern w:val="0"/>
          <w:sz w:val="32"/>
          <w:szCs w:val="32"/>
        </w:rPr>
      </w:pPr>
      <w:r>
        <w:rPr>
          <w:rFonts w:hint="eastAsia" w:ascii="仿宋_GB2312" w:eastAsia="仿宋_GB2312" w:cs="ArialUnicodeMS"/>
          <w:kern w:val="0"/>
          <w:sz w:val="32"/>
          <w:szCs w:val="32"/>
        </w:rPr>
        <w:t>主要负责推进住房制度改革。负责全县房地产市场的监督管理。负责建筑市场的监督管理。指导推进新型城镇化（国家新型城镇化综合试点）和县城建设工作。指导村镇建设工作。负责建筑工程质量安全监督。负责推进建筑节能工作。拟订物业行业发展规划并组织实施。负责拟订国有土地上房屋征收、城市危房管理政策并组织实施；拟订地下综合管廊中长期建设计划，制定地下综合管廊运营、维护管理办法和配套政策；负责各类房屋建筑及其附属设施和城市市政设施建设工程的抗震设防监督管理。负责全县供热、燃气行业管理工作。负责城市污水处理工作。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年度本部门决算汇编范围的独立核算单位（以下简称“单位”）共3个，具体情况如下：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 w:hAnsi="仿宋" w:eastAsia="仿宋" w:cs="ArialUnicodeMS"/>
                <w:kern w:val="0"/>
                <w:sz w:val="32"/>
                <w:szCs w:val="32"/>
              </w:rPr>
            </w:pPr>
            <w:r>
              <w:rPr>
                <w:rFonts w:hint="eastAsia" w:ascii="仿宋" w:hAnsi="仿宋" w:eastAsia="仿宋" w:cs="ArialUnicodeMS"/>
                <w:spacing w:val="3"/>
                <w:w w:val="92"/>
                <w:kern w:val="0"/>
                <w:sz w:val="32"/>
                <w:szCs w:val="32"/>
              </w:rPr>
              <w:t>无</w:t>
            </w:r>
            <w:r>
              <w:rPr>
                <w:rFonts w:hint="eastAsia" w:ascii="仿宋" w:hAnsi="仿宋" w:eastAsia="仿宋" w:cs="宋体"/>
                <w:spacing w:val="3"/>
                <w:w w:val="92"/>
                <w:kern w:val="0"/>
                <w:sz w:val="32"/>
                <w:szCs w:val="32"/>
              </w:rPr>
              <w:t>极县住房和城乡建设</w:t>
            </w:r>
            <w:r>
              <w:rPr>
                <w:rFonts w:hint="eastAsia" w:ascii="仿宋" w:hAnsi="仿宋" w:eastAsia="仿宋" w:cs="宋体"/>
                <w:spacing w:val="-14"/>
                <w:w w:val="92"/>
                <w:kern w:val="0"/>
                <w:sz w:val="32"/>
                <w:szCs w:val="32"/>
              </w:rPr>
              <w:t>局</w:t>
            </w:r>
          </w:p>
        </w:tc>
        <w:tc>
          <w:tcPr>
            <w:tcW w:w="2445" w:type="dxa"/>
          </w:tcPr>
          <w:p>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行政单位</w:t>
            </w:r>
          </w:p>
        </w:tc>
        <w:tc>
          <w:tcPr>
            <w:tcW w:w="2665" w:type="dxa"/>
          </w:tcPr>
          <w:p>
            <w:pPr>
              <w:spacing w:line="560" w:lineRule="exact"/>
              <w:jc w:val="center"/>
              <w:rPr>
                <w:rFonts w:ascii="仿宋" w:hAnsi="仿宋" w:eastAsia="仿宋" w:cs="ArialUnicodeMS"/>
                <w:kern w:val="0"/>
                <w:sz w:val="32"/>
                <w:szCs w:val="32"/>
              </w:rPr>
            </w:pPr>
            <w:r>
              <w:rPr>
                <w:rFonts w:hint="eastAsia" w:ascii="仿宋" w:hAnsi="仿宋" w:eastAsia="仿宋" w:cs="ArialUnicodeMS"/>
                <w:kern w:val="0"/>
                <w:sz w:val="32"/>
                <w:szCs w:val="3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eastAsia="仿宋_GB2312" w:cs="ArialUnicodeMS"/>
                <w:kern w:val="0"/>
                <w:sz w:val="28"/>
                <w:szCs w:val="28"/>
              </w:rPr>
            </w:pPr>
            <w:r>
              <w:rPr>
                <w:rFonts w:hint="eastAsia" w:ascii="仿宋" w:hAnsi="仿宋" w:eastAsia="仿宋" w:cs="ArialUnicodeMS"/>
                <w:spacing w:val="3"/>
                <w:w w:val="92"/>
                <w:kern w:val="0"/>
                <w:sz w:val="32"/>
                <w:szCs w:val="32"/>
              </w:rPr>
              <w:t>无极县房地产管理办公</w:t>
            </w:r>
            <w:r>
              <w:rPr>
                <w:rFonts w:hint="eastAsia" w:ascii="仿宋" w:hAnsi="仿宋" w:eastAsia="仿宋" w:cs="ArialUnicodeMS"/>
                <w:spacing w:val="-14"/>
                <w:w w:val="92"/>
                <w:kern w:val="0"/>
                <w:sz w:val="32"/>
                <w:szCs w:val="32"/>
              </w:rPr>
              <w:t>室</w:t>
            </w:r>
          </w:p>
        </w:tc>
        <w:tc>
          <w:tcPr>
            <w:tcW w:w="244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spacing w:val="1"/>
                <w:w w:val="98"/>
                <w:kern w:val="0"/>
                <w:sz w:val="28"/>
                <w:szCs w:val="28"/>
              </w:rPr>
              <w:t>财政补助事业单</w:t>
            </w:r>
            <w:r>
              <w:rPr>
                <w:rFonts w:hint="eastAsia" w:ascii="仿宋_GB2312" w:eastAsia="仿宋_GB2312" w:cs="ArialUnicodeMS"/>
                <w:w w:val="98"/>
                <w:kern w:val="0"/>
                <w:sz w:val="28"/>
                <w:szCs w:val="28"/>
              </w:rPr>
              <w:t>位</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spacing w:val="1"/>
                <w:w w:val="72"/>
                <w:kern w:val="0"/>
                <w:sz w:val="28"/>
                <w:szCs w:val="28"/>
              </w:rPr>
              <w:t>财政性资金定额或定项补</w:t>
            </w:r>
            <w:r>
              <w:rPr>
                <w:rFonts w:hint="eastAsia" w:ascii="仿宋_GB2312" w:eastAsia="仿宋_GB2312" w:cs="ArialUnicodeMS"/>
                <w:spacing w:val="-4"/>
                <w:w w:val="72"/>
                <w:kern w:val="0"/>
                <w:sz w:val="28"/>
                <w:szCs w:val="28"/>
              </w:rPr>
              <w:t>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eastAsia="仿宋_GB2312" w:cs="ArialUnicodeMS"/>
                <w:kern w:val="0"/>
                <w:sz w:val="28"/>
                <w:szCs w:val="28"/>
              </w:rPr>
            </w:pPr>
            <w:r>
              <w:rPr>
                <w:rFonts w:hint="eastAsia" w:ascii="仿宋" w:hAnsi="仿宋" w:eastAsia="仿宋" w:cs="ArialUnicodeMS"/>
                <w:spacing w:val="3"/>
                <w:w w:val="84"/>
                <w:kern w:val="0"/>
                <w:sz w:val="32"/>
                <w:szCs w:val="32"/>
              </w:rPr>
              <w:t>无极县建筑工程质量监督</w:t>
            </w:r>
            <w:r>
              <w:rPr>
                <w:rFonts w:hint="eastAsia" w:ascii="仿宋" w:hAnsi="仿宋" w:eastAsia="仿宋" w:cs="ArialUnicodeMS"/>
                <w:spacing w:val="-13"/>
                <w:w w:val="84"/>
                <w:kern w:val="0"/>
                <w:sz w:val="32"/>
                <w:szCs w:val="32"/>
              </w:rPr>
              <w:t>站</w:t>
            </w:r>
          </w:p>
        </w:tc>
        <w:tc>
          <w:tcPr>
            <w:tcW w:w="2445" w:type="dxa"/>
          </w:tcPr>
          <w:p>
            <w:pPr>
              <w:spacing w:line="560" w:lineRule="exact"/>
              <w:rPr>
                <w:rFonts w:ascii="仿宋_GB2312" w:eastAsia="仿宋_GB2312" w:cs="ArialUnicodeMS"/>
                <w:kern w:val="0"/>
                <w:sz w:val="28"/>
                <w:szCs w:val="28"/>
              </w:rPr>
            </w:pPr>
            <w:r>
              <w:rPr>
                <w:rFonts w:hint="eastAsia" w:ascii="仿宋_GB2312" w:eastAsia="仿宋_GB2312" w:cs="ArialUnicodeMS"/>
                <w:w w:val="98"/>
                <w:kern w:val="0"/>
                <w:sz w:val="28"/>
                <w:szCs w:val="28"/>
              </w:rPr>
              <w:t>经费自理事业单</w:t>
            </w:r>
            <w:r>
              <w:rPr>
                <w:rFonts w:hint="eastAsia" w:ascii="仿宋_GB2312" w:eastAsia="仿宋_GB2312" w:cs="ArialUnicodeMS"/>
                <w:spacing w:val="6"/>
                <w:w w:val="98"/>
                <w:kern w:val="0"/>
                <w:sz w:val="28"/>
                <w:szCs w:val="28"/>
              </w:rPr>
              <w:t>位</w:t>
            </w:r>
          </w:p>
        </w:tc>
        <w:tc>
          <w:tcPr>
            <w:tcW w:w="2665" w:type="dxa"/>
          </w:tcPr>
          <w:p>
            <w:pPr>
              <w:spacing w:line="560" w:lineRule="exact"/>
              <w:jc w:val="center"/>
              <w:rPr>
                <w:rFonts w:ascii="仿宋_GB2312" w:eastAsia="仿宋_GB2312" w:cs="ArialUnicodeMS"/>
                <w:kern w:val="0"/>
                <w:sz w:val="28"/>
                <w:szCs w:val="28"/>
              </w:rPr>
            </w:pPr>
            <w:r>
              <w:rPr>
                <w:rFonts w:hint="eastAsia" w:ascii="仿宋_GB2312" w:eastAsia="仿宋_GB2312" w:cs="ArialUnicodeMS"/>
                <w:kern w:val="0"/>
                <w:sz w:val="28"/>
                <w:szCs w:val="28"/>
              </w:rPr>
              <w:t>财政性资金零补助</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6233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633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path/>
            <v:fill type="pattern" on="t" color2="#FFFFFF" o:title="5%" focussize="0,0" r:id="rId29"/>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本部门2019年度收支总计（含结转和结余）92563.68万元。与2018年度决算相比，收支各增加64714.11万元，增长232.37%，主要原因是城乡社区支出、节能环保支出、征地和拆迁补偿、棚户区改造及住房保障支出增加。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420" w:firstLineChars="200"/>
        <w:outlineLvl w:val="1"/>
        <w:rPr>
          <w:rFonts w:ascii="仿宋_GB2312" w:hAnsi="Times New Roman" w:eastAsia="仿宋_GB2312" w:cs="DengXian-Regular"/>
          <w:sz w:val="32"/>
          <w:szCs w:val="32"/>
        </w:rPr>
      </w:pPr>
      <w:r>
        <w:drawing>
          <wp:anchor distT="0" distB="0" distL="114300" distR="114300" simplePos="0" relativeHeight="251649024" behindDoc="0" locked="0" layoutInCell="1" allowOverlap="1">
            <wp:simplePos x="0" y="0"/>
            <wp:positionH relativeFrom="column">
              <wp:posOffset>861060</wp:posOffset>
            </wp:positionH>
            <wp:positionV relativeFrom="paragraph">
              <wp:posOffset>1140460</wp:posOffset>
            </wp:positionV>
            <wp:extent cx="4030980" cy="2834640"/>
            <wp:effectExtent l="0" t="0" r="7620" b="0"/>
            <wp:wrapTopAndBottom/>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30"/>
                    <a:stretch>
                      <a:fillRect/>
                    </a:stretch>
                  </pic:blipFill>
                  <pic:spPr>
                    <a:xfrm>
                      <a:off x="0" y="0"/>
                      <a:ext cx="4030980" cy="2834640"/>
                    </a:xfrm>
                    <a:prstGeom prst="rect">
                      <a:avLst/>
                    </a:prstGeom>
                    <a:noFill/>
                    <a:ln>
                      <a:noFill/>
                    </a:ln>
                  </pic:spPr>
                </pic:pic>
              </a:graphicData>
            </a:graphic>
          </wp:anchor>
        </w:drawing>
      </w:r>
      <w:r>
        <w:rPr>
          <w:rFonts w:hint="eastAsia" w:ascii="仿宋_GB2312" w:hAnsi="Times New Roman" w:eastAsia="仿宋_GB2312" w:cs="DengXian-Regular"/>
          <w:sz w:val="32"/>
          <w:szCs w:val="32"/>
        </w:rPr>
        <w:t>本部门2019年度本年收入合计87835.34万元，其中：财政拨款收入87835.34万元，占100%；事业收入0万元，占0%；经营收入0万元，占0%；其他收入0万元，占0%。</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本部门2019年度本年支出合计73955.72万元，其中：基本支出1531.84万元，占2.07%；项目支出</w:t>
      </w:r>
      <w:bookmarkStart w:id="0" w:name="OLE_LINK2"/>
      <w:r>
        <w:rPr>
          <w:rFonts w:hint="eastAsia" w:ascii="仿宋_GB2312" w:hAnsi="Times New Roman" w:eastAsia="仿宋_GB2312" w:cs="DengXian-Regular"/>
          <w:sz w:val="32"/>
          <w:szCs w:val="32"/>
        </w:rPr>
        <w:t>72423.88</w:t>
      </w:r>
      <w:bookmarkEnd w:id="0"/>
      <w:r>
        <w:rPr>
          <w:rFonts w:hint="eastAsia" w:ascii="仿宋_GB2312" w:hAnsi="Times New Roman" w:eastAsia="仿宋_GB2312" w:cs="DengXian-Regular"/>
          <w:sz w:val="32"/>
          <w:szCs w:val="32"/>
        </w:rPr>
        <w:t>万元，占</w:t>
      </w:r>
      <w:r>
        <w:drawing>
          <wp:anchor distT="0" distB="0" distL="114300" distR="114300" simplePos="0" relativeHeight="251650048" behindDoc="0" locked="0" layoutInCell="1" allowOverlap="1">
            <wp:simplePos x="0" y="0"/>
            <wp:positionH relativeFrom="column">
              <wp:posOffset>855345</wp:posOffset>
            </wp:positionH>
            <wp:positionV relativeFrom="paragraph">
              <wp:posOffset>460375</wp:posOffset>
            </wp:positionV>
            <wp:extent cx="3750945" cy="2686050"/>
            <wp:effectExtent l="47625" t="4445" r="57150" b="98425"/>
            <wp:wrapTopAndBottom/>
            <wp:docPr id="3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仿宋_GB2312" w:hAnsi="Times New Roman" w:eastAsia="仿宋_GB2312" w:cs="DengXian-Regular"/>
          <w:sz w:val="32"/>
          <w:szCs w:val="32"/>
        </w:rPr>
        <w:t>97.93%；经营支出0万元，占0%。如图所示：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87835.34万元,比2018年度增加63219.75万元，增长256.83%，主要是城乡社区支出、节能环保支出、征地和拆迁补偿、棚户区改造及住房保障支出增加。；本年支出73955.72万元，增加53411.64万元，增长259.99%，主要是城乡社区支出、节能环保支出、征地和拆迁补偿、棚户区改造及住房保障支出增加。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59026.8万元，比上年增加39752.01万元；主要是城乡社区支出、节能环保支出、棚户区改造及住房保障支出增加；本年支出44724.33万元，比上年增加27998.05万元，增长167.39%，主要是城乡社区支出、节能环保支出、棚户区改造及住房保障支出增加。</w:t>
      </w:r>
    </w:p>
    <w:p>
      <w:pPr>
        <w:numPr>
          <w:ilvl w:val="0"/>
          <w:numId w:val="1"/>
        </w:numPr>
        <w:adjustRightInd w:val="0"/>
        <w:snapToGrid w:val="0"/>
        <w:spacing w:line="580" w:lineRule="exact"/>
        <w:ind w:firstLine="420" w:firstLineChars="200"/>
        <w:rPr>
          <w:rFonts w:ascii="楷体_GB2312" w:hAnsi="Times New Roman" w:eastAsia="楷体_GB2312" w:cs="DengXian-Bold"/>
          <w:b/>
          <w:bCs/>
          <w:sz w:val="32"/>
          <w:szCs w:val="32"/>
        </w:rPr>
      </w:pPr>
      <w:r>
        <w:drawing>
          <wp:anchor distT="0" distB="0" distL="114300" distR="114300" simplePos="0" relativeHeight="251651072" behindDoc="0" locked="0" layoutInCell="1" allowOverlap="1">
            <wp:simplePos x="0" y="0"/>
            <wp:positionH relativeFrom="column">
              <wp:posOffset>822960</wp:posOffset>
            </wp:positionH>
            <wp:positionV relativeFrom="paragraph">
              <wp:posOffset>2283460</wp:posOffset>
            </wp:positionV>
            <wp:extent cx="4191000" cy="3284220"/>
            <wp:effectExtent l="0" t="0" r="0" b="7620"/>
            <wp:wrapTopAndBottom/>
            <wp:docPr id="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
                    <pic:cNvPicPr>
                      <a:picLocks noChangeAspect="1"/>
                    </pic:cNvPicPr>
                  </pic:nvPicPr>
                  <pic:blipFill>
                    <a:blip r:embed="rId32"/>
                    <a:stretch>
                      <a:fillRect/>
                    </a:stretch>
                  </pic:blipFill>
                  <pic:spPr>
                    <a:xfrm>
                      <a:off x="0" y="0"/>
                      <a:ext cx="4191000" cy="3284220"/>
                    </a:xfrm>
                    <a:prstGeom prst="rect">
                      <a:avLst/>
                    </a:prstGeom>
                    <a:noFill/>
                    <a:ln>
                      <a:noFill/>
                    </a:ln>
                  </pic:spPr>
                </pic:pic>
              </a:graphicData>
            </a:graphic>
          </wp:anchor>
        </w:drawing>
      </w:r>
      <w:r>
        <w:rPr>
          <w:rFonts w:hint="eastAsia" w:ascii="仿宋_GB2312" w:hAnsi="Times New Roman" w:eastAsia="仿宋_GB2312" w:cs="DengXian-Regular"/>
          <w:sz w:val="32"/>
          <w:szCs w:val="32"/>
        </w:rPr>
        <w:t>政府性基金预算财政拨款本年收入28808.54万元，比上年增加23467.74万元，增长439.40%，主要原因是节能环保支出、征地和拆迁补偿、棚户区改造及住房保障支出增加；本年支出29231.39万元，比上年增加25413.59万元，增长665.66%，主要是节能环保支出、征地和拆迁补偿、棚户区改造及住房保障支出增加。</w:t>
      </w:r>
    </w:p>
    <w:p>
      <w:pPr>
        <w:snapToGrid w:val="0"/>
        <w:spacing w:line="580" w:lineRule="exact"/>
        <w:ind w:firstLine="643" w:firstLine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本年收入87835.34万元，完成年初预算的645.19%（如图4）,比年初预算增加74221.52万元，决算数大于预算数主要原因是城乡社区支出、节能环保支出、征地和拆迁补偿、棚户区改造及住房保障支出增加；本年支出73955.72万元，完成年初预算的443.24%,比年初预算增加60341.9万元，决算数大于预算数主要原因是主要是城乡社区支出、节能环保支出、征地和拆迁补偿、棚户区改造及住房保障支出增加。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433.58%，比年初预算增加45412.98万元，主要是城乡社区支出、节能环保支出、棚户区改造及住房保障支出增加；支出完成年初预算328.52%，比年初预算增加31110.51万元，主要是城乡社区支出、节能环保支出、棚户区改造及住房保障支出增加。</w:t>
      </w:r>
    </w:p>
    <w:p>
      <w:pPr>
        <w:adjustRightInd w:val="0"/>
        <w:snapToGrid w:val="0"/>
        <w:spacing w:line="580" w:lineRule="exact"/>
        <w:ind w:firstLine="630" w:firstLineChars="300"/>
        <w:rPr>
          <w:rFonts w:ascii="仿宋_GB2312" w:hAnsi="Times New Roman" w:eastAsia="仿宋_GB2312" w:cs="DengXian-Regular"/>
          <w:sz w:val="32"/>
          <w:szCs w:val="32"/>
          <w:highlight w:val="yellow"/>
        </w:rPr>
      </w:pPr>
      <w:r>
        <w:drawing>
          <wp:anchor distT="0" distB="0" distL="114300" distR="114300" simplePos="0" relativeHeight="251652096" behindDoc="0" locked="0" layoutInCell="1" allowOverlap="1">
            <wp:simplePos x="0" y="0"/>
            <wp:positionH relativeFrom="column">
              <wp:posOffset>922020</wp:posOffset>
            </wp:positionH>
            <wp:positionV relativeFrom="paragraph">
              <wp:posOffset>2296160</wp:posOffset>
            </wp:positionV>
            <wp:extent cx="4259580" cy="3825240"/>
            <wp:effectExtent l="0" t="0" r="7620" b="0"/>
            <wp:wrapTopAndBottom/>
            <wp:docPr id="32"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
                    <pic:cNvPicPr>
                      <a:picLocks noChangeAspect="1"/>
                    </pic:cNvPicPr>
                  </pic:nvPicPr>
                  <pic:blipFill>
                    <a:blip r:embed="rId33"/>
                    <a:stretch>
                      <a:fillRect/>
                    </a:stretch>
                  </pic:blipFill>
                  <pic:spPr>
                    <a:xfrm>
                      <a:off x="0" y="0"/>
                      <a:ext cx="4259580" cy="3825240"/>
                    </a:xfrm>
                    <a:prstGeom prst="rect">
                      <a:avLst/>
                    </a:prstGeom>
                    <a:noFill/>
                    <a:ln>
                      <a:noFill/>
                    </a:ln>
                  </pic:spPr>
                </pic:pic>
              </a:graphicData>
            </a:graphic>
          </wp:anchor>
        </w:drawing>
      </w:r>
      <w:r>
        <w:rPr>
          <w:rFonts w:hint="eastAsia" w:ascii="仿宋_GB2312" w:hAnsi="Times New Roman" w:eastAsia="仿宋_GB2312" w:cs="DengXian-Regular"/>
          <w:sz w:val="32"/>
          <w:szCs w:val="32"/>
        </w:rPr>
        <w:t>2.政府性基金预算财政拨款本年收入</w:t>
      </w:r>
      <w:bookmarkStart w:id="1" w:name="OLE_LINK1"/>
      <w:r>
        <w:rPr>
          <w:rFonts w:hint="eastAsia" w:ascii="仿宋_GB2312" w:hAnsi="Times New Roman" w:eastAsia="仿宋_GB2312" w:cs="DengXian-Regular"/>
          <w:sz w:val="32"/>
          <w:szCs w:val="32"/>
        </w:rPr>
        <w:t>28808.54</w:t>
      </w:r>
      <w:bookmarkEnd w:id="1"/>
      <w:r>
        <w:rPr>
          <w:rFonts w:hint="eastAsia" w:ascii="仿宋_GB2312" w:hAnsi="Times New Roman" w:eastAsia="仿宋_GB2312" w:cs="DengXian-Regular"/>
          <w:sz w:val="32"/>
          <w:szCs w:val="32"/>
        </w:rPr>
        <w:t>万元，</w:t>
      </w:r>
      <w:r>
        <w:rPr>
          <w:rFonts w:hint="eastAsia" w:ascii="仿宋" w:hAnsi="仿宋" w:eastAsia="仿宋" w:cs="DengXian-Regular"/>
          <w:sz w:val="32"/>
          <w:szCs w:val="32"/>
        </w:rPr>
        <w:t>年初预算</w:t>
      </w:r>
      <w:r>
        <w:rPr>
          <w:rFonts w:hint="eastAsia" w:ascii="仿宋" w:hAnsi="仿宋" w:eastAsia="仿宋" w:cs="宋体"/>
          <w:sz w:val="32"/>
          <w:szCs w:val="32"/>
        </w:rPr>
        <w:t>未安排</w:t>
      </w:r>
      <w:r>
        <w:rPr>
          <w:rFonts w:hint="eastAsia" w:ascii="仿宋" w:hAnsi="仿宋" w:eastAsia="仿宋" w:cs="DengXian-Regular"/>
          <w:sz w:val="32"/>
          <w:szCs w:val="32"/>
        </w:rPr>
        <w:t>，</w:t>
      </w:r>
      <w:r>
        <w:rPr>
          <w:rFonts w:hint="eastAsia" w:ascii="仿宋_GB2312" w:hAnsi="Times New Roman" w:eastAsia="仿宋_GB2312" w:cs="DengXian-Regular"/>
          <w:sz w:val="32"/>
          <w:szCs w:val="32"/>
        </w:rPr>
        <w:t>比年初预算增加28808.54万元，主要是节能环保支出、征地和拆迁补偿、棚户区改造及住房保障支出增加；支出29231.39万元，</w:t>
      </w:r>
      <w:r>
        <w:rPr>
          <w:rFonts w:hint="eastAsia" w:ascii="仿宋" w:hAnsi="仿宋" w:eastAsia="仿宋" w:cs="DengXian-Regular"/>
          <w:sz w:val="32"/>
          <w:szCs w:val="32"/>
        </w:rPr>
        <w:t>年初预算</w:t>
      </w:r>
      <w:r>
        <w:rPr>
          <w:rFonts w:hint="eastAsia" w:ascii="仿宋" w:hAnsi="仿宋" w:eastAsia="仿宋" w:cs="宋体"/>
          <w:sz w:val="32"/>
          <w:szCs w:val="32"/>
        </w:rPr>
        <w:t>未安排</w:t>
      </w:r>
      <w:r>
        <w:rPr>
          <w:rFonts w:hint="eastAsia" w:ascii="仿宋" w:hAnsi="仿宋" w:eastAsia="仿宋" w:cs="DengXian-Regular"/>
          <w:sz w:val="32"/>
          <w:szCs w:val="32"/>
        </w:rPr>
        <w:t>，</w:t>
      </w:r>
      <w:r>
        <w:rPr>
          <w:rFonts w:hint="eastAsia" w:ascii="仿宋_GB2312" w:hAnsi="Times New Roman" w:eastAsia="仿宋_GB2312" w:cs="DengXian-Regular"/>
          <w:sz w:val="32"/>
          <w:szCs w:val="32"/>
        </w:rPr>
        <w:t>比年初预算增加29231.39万元，主要是节能环保支出、征地和拆迁补偿、棚户区改造及住房保障支出增加。</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年度财政拨款支出73955.72万元，主要用于以下方面：社会保障和就业支出221.3万元，占0.30%，；卫生健康支出24.32万元，占0.03%；节能环保支出22844.56万元，占30.89%；城乡社区支出50134.06万元，占 67.79%；住房保障（类）支出731.48万元，占0.99%。</w:t>
      </w:r>
    </w:p>
    <w:p>
      <w:pPr>
        <w:adjustRightInd w:val="0"/>
        <w:snapToGrid w:val="0"/>
        <w:spacing w:line="580" w:lineRule="exact"/>
        <w:ind w:left="420" w:leftChars="200"/>
        <w:rPr>
          <w:rFonts w:ascii="楷体_GB2312" w:hAnsi="Times New Roman" w:eastAsia="楷体_GB2312" w:cs="DengXian-Bold"/>
          <w:b/>
          <w:bCs/>
          <w:sz w:val="32"/>
          <w:szCs w:val="32"/>
        </w:rPr>
      </w:pPr>
      <w:r>
        <w:drawing>
          <wp:anchor distT="0" distB="0" distL="114300" distR="114300" simplePos="0" relativeHeight="251653120" behindDoc="0" locked="0" layoutInCell="1" allowOverlap="1">
            <wp:simplePos x="0" y="0"/>
            <wp:positionH relativeFrom="column">
              <wp:posOffset>1021080</wp:posOffset>
            </wp:positionH>
            <wp:positionV relativeFrom="paragraph">
              <wp:posOffset>109220</wp:posOffset>
            </wp:positionV>
            <wp:extent cx="2933700" cy="2903220"/>
            <wp:effectExtent l="0" t="0" r="7620" b="7620"/>
            <wp:wrapTopAndBottom/>
            <wp:docPr id="24"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
                    <pic:cNvPicPr>
                      <a:picLocks noChangeAspect="1"/>
                    </pic:cNvPicPr>
                  </pic:nvPicPr>
                  <pic:blipFill>
                    <a:blip r:embed="rId34"/>
                    <a:stretch>
                      <a:fillRect/>
                    </a:stretch>
                  </pic:blipFill>
                  <pic:spPr>
                    <a:xfrm>
                      <a:off x="0" y="0"/>
                      <a:ext cx="2933700" cy="2903220"/>
                    </a:xfrm>
                    <a:prstGeom prst="rect">
                      <a:avLst/>
                    </a:prstGeom>
                    <a:noFill/>
                    <a:ln>
                      <a:noFill/>
                    </a:ln>
                  </pic:spPr>
                </pic:pic>
              </a:graphicData>
            </a:graphic>
          </wp:anchor>
        </w:drawing>
      </w: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1531.84万元，其中：人员经费1332.96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198.88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本部门2019年度“三公”经费支出共计1.95万元，完成预算的52.70%,较预算减少1.75万元，降低47.3%，主要是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；较2018年度减少0.51万元，降低20.73%，主要是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精神和厉行节约要求，从严控制“三公”经费开支，全年实际支出比上年有所节约</w:t>
      </w: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本部门2019年度因公出国（境）团组0个、共0人/参加其他单位组织的因公出国（境）团组0个、共0人/无本单位组织的出国（境）团组。因公出国（境）费支出较预算增加0万元，增长0%,</w:t>
      </w:r>
      <w:r>
        <w:rPr>
          <w:rFonts w:hint="eastAsia" w:ascii="仿宋_GB2312" w:eastAsia="仿宋_GB2312" w:cs="DengXian-Regular"/>
          <w:sz w:val="32"/>
          <w:szCs w:val="32"/>
        </w:rPr>
        <w:t>与年初预算持平，无增减变化</w:t>
      </w:r>
      <w:r>
        <w:rPr>
          <w:rFonts w:hint="eastAsia" w:ascii="仿宋_GB2312" w:hAnsi="Times New Roman" w:eastAsia="仿宋_GB2312" w:cs="DengXian-Regular"/>
          <w:sz w:val="32"/>
          <w:szCs w:val="32"/>
        </w:rPr>
        <w:t>；较上年增加0万元，增长0%,</w:t>
      </w:r>
      <w:r>
        <w:rPr>
          <w:rFonts w:hint="eastAsia" w:ascii="仿宋_GB2312" w:eastAsia="仿宋_GB2312" w:cs="DengXian-Regular"/>
          <w:sz w:val="32"/>
          <w:szCs w:val="32"/>
        </w:rPr>
        <w:t>与2018年决算持平，无增减变化</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（二）公务用车购置及运行维护费支出1.73万元。</w:t>
      </w:r>
      <w:r>
        <w:rPr>
          <w:rFonts w:hint="eastAsia" w:ascii="仿宋_GB2312" w:hAnsi="Times New Roman" w:eastAsia="仿宋_GB2312" w:cs="DengXian-Regular"/>
          <w:sz w:val="32"/>
          <w:szCs w:val="32"/>
        </w:rPr>
        <w:t>本部门2019年度公务用车购置及运行维护费较预算减少1.27万元，降低42.33%,主要是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精神和厉行节约要求，从严控制公务用车购置及运行费，全年实际支出比预算有所节约</w:t>
      </w:r>
      <w:r>
        <w:rPr>
          <w:rFonts w:hint="eastAsia" w:ascii="仿宋_GB2312" w:hAnsi="Times New Roman" w:eastAsia="仿宋_GB2312" w:cs="DengXian-Regular"/>
          <w:sz w:val="32"/>
          <w:szCs w:val="32"/>
        </w:rPr>
        <w:t>；较上年减少0.34万元，降低16.43%,主要是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精神和厉行节约要求，从严控制“三公”经费开支，全年实际支出比2018年有所节约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w:t>
      </w:r>
      <w:r>
        <w:rPr>
          <w:rFonts w:hint="eastAsia" w:ascii="仿宋_GB2312" w:eastAsia="仿宋_GB2312" w:cs="DengXian-Regular"/>
          <w:sz w:val="32"/>
          <w:szCs w:val="32"/>
        </w:rPr>
        <w:t>公务用车购置量0辆，发生“公务用车购置”经费支出0万元。公务用车购置费支出较预算增加0万元，增长0%,主要是未发生公务用车购置经费支出；</w:t>
      </w:r>
      <w:r>
        <w:rPr>
          <w:rFonts w:hint="eastAsia" w:ascii="仿宋_GB2312" w:hAnsi="Times New Roman" w:eastAsia="仿宋_GB2312" w:cs="DengXian-Regular"/>
          <w:sz w:val="32"/>
          <w:szCs w:val="32"/>
        </w:rPr>
        <w:t>较2018年决算增加0万元，增长0%,主要是</w:t>
      </w:r>
      <w:r>
        <w:rPr>
          <w:rFonts w:hint="eastAsia" w:ascii="仿宋_GB2312" w:eastAsia="仿宋_GB2312" w:cs="DengXian-Regular"/>
          <w:sz w:val="32"/>
          <w:szCs w:val="32"/>
        </w:rPr>
        <w:t>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本部门2019年度单位公务用车保有量1辆。公车运行维护费支出较预算减少1.27万元，降低42.33%,主要是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精神和厉行节约要求，从严控制公务用车购置及运行费，全年实际支出比预算有所节约</w:t>
      </w:r>
      <w:r>
        <w:rPr>
          <w:rFonts w:hint="eastAsia" w:ascii="仿宋_GB2312" w:hAnsi="Times New Roman" w:eastAsia="仿宋_GB2312" w:cs="DengXian-Regular"/>
          <w:sz w:val="32"/>
          <w:szCs w:val="32"/>
        </w:rPr>
        <w:t>；较上年减少0.34万元，降低16.43%，主要是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精神和厉行节约要求，从严控制“三公”经费开支，全年实际支出比2018年有所节约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（三）公务接待费支出0.22万元。</w:t>
      </w:r>
      <w:r>
        <w:rPr>
          <w:rFonts w:hint="eastAsia" w:ascii="仿宋_GB2312" w:hAnsi="Times New Roman" w:eastAsia="仿宋_GB2312" w:cs="DengXian-Regular"/>
          <w:sz w:val="32"/>
          <w:szCs w:val="32"/>
        </w:rPr>
        <w:t>本部门2019年度公务接待共1批次、9人次。公务接待费支出较预算减少0.48万元，降低68.57%,主要是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精神和厉行节约要求，从严控制公务用车购置及运行费，全年实际支出比预算有所节约</w:t>
      </w:r>
      <w:r>
        <w:rPr>
          <w:rFonts w:hint="eastAsia" w:ascii="仿宋_GB2312" w:hAnsi="Times New Roman" w:eastAsia="仿宋_GB2312" w:cs="DengXian-Regular"/>
          <w:sz w:val="32"/>
          <w:szCs w:val="32"/>
        </w:rPr>
        <w:t>；较上年度减少0.17万元，降低43.59%,主要是</w:t>
      </w:r>
      <w:r>
        <w:rPr>
          <w:rFonts w:hint="eastAsia" w:ascii="仿宋_GB2312" w:eastAsia="仿宋_GB2312" w:cs="DengXian-Regular"/>
          <w:sz w:val="32"/>
          <w:szCs w:val="32"/>
        </w:rPr>
        <w:t>认真贯彻落实中央</w:t>
      </w:r>
      <w:r>
        <w:rPr>
          <w:rFonts w:hint="eastAsia" w:ascii="仿宋_GB2312" w:eastAsia="仿宋_GB2312" w:cs="DengXian-Regular"/>
          <w:sz w:val="32"/>
          <w:szCs w:val="32"/>
          <w:lang w:eastAsia="zh-CN"/>
        </w:rPr>
        <w:t>八项规定</w:t>
      </w:r>
      <w:r>
        <w:rPr>
          <w:rFonts w:hint="eastAsia" w:ascii="仿宋_GB2312" w:eastAsia="仿宋_GB2312" w:cs="DengXian-Regular"/>
          <w:sz w:val="32"/>
          <w:szCs w:val="32"/>
        </w:rPr>
        <w:t>精神和厉行节约要求，从严控制“三公”经费开支，全年实际支出比2018年有所节约</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二级项目65个，共涉及资金43192.49万元，占一般公共预算项目支出总额的100%。组织对2019年度征地和拆迁补偿支出、公共租赁住房支出、污水处理设施建设和运营等9个政府性基金预算项目支出开展绩效自评，共涉及资金29231.39万元，占政府性基金预算项目支出总额的100%。从评价情况来看，根据项目执行情况和项目绩效情况，项目总得分超过90分60个，综合评价结论和项目综合绩效评价等级为优，另外由于资金下达较晚，当年未能执行的有2个项目。从项目的实施，项目的产出及项目效果看，大部分项目达到了预期的政治 、经济和社会效益，完成了绩效目标。</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本部门在今年部门决算公开中反映无极县花园路道路提升工程项目及无极县西罗尚游园绿化工程项目、千山路西延道路工程项目等5个项目绩效自评结果。</w:t>
      </w:r>
    </w:p>
    <w:p>
      <w:pPr>
        <w:numPr>
          <w:ilvl w:val="0"/>
          <w:numId w:val="4"/>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花园路道路提升工程项目自评综述：根据年初设定的绩效目标无极县花园路道路提升工程项目绩效自评得分为96分（绩效自评表附后）。全年预算数为4133.4307万元，执行数为4133.4307万元，完成预算的100%。项目绩效目标完成情况：一是加强了公共设施建设，为人民出行提供了便利服务；二是有效降噪防尘，提高运输效率。发现的主要问题及原因：对绩效评价认识不足。下一步改进措施：加强绩效评价队伍建设，对绩效评价内容进行细化并系统培训。</w:t>
      </w:r>
    </w:p>
    <w:p>
      <w:pPr>
        <w:numPr>
          <w:ilvl w:val="0"/>
          <w:numId w:val="4"/>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幸福街道路提升工程项目绩效自评综述：根据年初设定的绩效目标，无极县幸福街道路提升工程项目绩效自评得分为95分（绩效自评表附后）。全年预算数为462万元，执行数为462万元，完成预算的100%。项目绩效目标完成情况：加强了基础设施建设，美化城市道路环境。发现的主要问题及原因：效果指标有待数据支持。下一步改进措施：完善预算的编制形式，加强预算执行力度，项目支出基本控制在预算编制合理范围。</w:t>
      </w:r>
    </w:p>
    <w:p>
      <w:pPr>
        <w:numPr>
          <w:ilvl w:val="0"/>
          <w:numId w:val="4"/>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千山路西延道路工程项目自评综述：根据年初设定的绩效目标，千山路西延道路工程项目绩效自评得分为95分（绩效自评表附后）。全年预算数为804.2万元，执行数为804.2万元，完成预算的100%。项目绩效目标完成情况：完成千山西路道路的建设任务，方便了人民的出行，提高运输效率。发现的主要问题及原因：项目资金存在部分不规范现象。下一步改进措施：业务和财务加强沟通，遇到工作量变化 ，要及时调整预算目标和绩效目标指标，保证项目的顺利实施。</w:t>
      </w:r>
    </w:p>
    <w:p>
      <w:pPr>
        <w:numPr>
          <w:ilvl w:val="0"/>
          <w:numId w:val="4"/>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千山路雨水管网项目自评综述：根据年初设定的绩效目标，无极县千山路雨水管网项目绩效自评得分为98分（绩效自评表附后）。全年预算数为738.5417万元，执行数为738.5417万元，完成预算的100%。项目绩效目标完成情况：有效改善城区排水功能，缓解雨季内涝问题，改善城市水环境。发现的主要问题及原因：项目区域群众满意度不高。下一步改进措施：施工过程中加强大气环境治理，防止粉尘污染。</w:t>
      </w:r>
    </w:p>
    <w:p>
      <w:pPr>
        <w:numPr>
          <w:ilvl w:val="0"/>
          <w:numId w:val="4"/>
        </w:numPr>
        <w:adjustRightInd w:val="0"/>
        <w:snapToGrid w:val="0"/>
        <w:spacing w:line="580" w:lineRule="exact"/>
        <w:ind w:firstLine="640"/>
        <w:rPr>
          <w:rFonts w:ascii="仿宋_GB2312" w:hAnsi="仿宋_GB2312" w:eastAsia="仿宋_GB2312" w:cs="仿宋_GB2312"/>
          <w:b/>
          <w:bCs/>
          <w:sz w:val="32"/>
          <w:szCs w:val="32"/>
        </w:rPr>
      </w:pPr>
      <w:r>
        <w:rPr>
          <w:rFonts w:hint="eastAsia" w:ascii="仿宋_GB2312" w:hAnsi="仿宋_GB2312" w:eastAsia="仿宋_GB2312" w:cs="仿宋_GB2312"/>
          <w:sz w:val="32"/>
          <w:szCs w:val="32"/>
        </w:rPr>
        <w:t>无极县无极路白变黑项目自评综述：根据年初设定的绩效目标，无极县无极路白变黑项目绩效自评得分为95分（绩效自评表附后）。全年预算数为844万元，执行数为844万元，完成预算的100%。项目绩效目标完成情况：有效缓解了县域内交通压力，提高了人们的出行满意度。发现的主要问题及原因：时效指标完成及时性差。下一步改进措施：加强组织领导，强化现场指挥协调。</w:t>
      </w:r>
    </w:p>
    <w:p>
      <w:pPr>
        <w:numPr>
          <w:ilvl w:val="0"/>
          <w:numId w:val="5"/>
        </w:num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本部门2019年度机关运行经费支出184.87万元，比2018年度增加101.81万元，增长122.57%。主要原因是临时用工费用纳入劳务费。</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本部门2019年度政府采购支出总额10820.29万元，从采购类型来看，</w:t>
      </w:r>
      <w:r>
        <w:rPr>
          <w:rFonts w:ascii="仿宋_GB2312" w:hAnsi="仿宋_GB2312" w:eastAsia="仿宋_GB2312" w:cs="仿宋_GB2312"/>
          <w:kern w:val="0"/>
          <w:sz w:val="32"/>
          <w:szCs w:val="32"/>
        </w:rPr>
        <w:t>政府采购货物支出</w:t>
      </w:r>
      <w:r>
        <w:rPr>
          <w:rFonts w:hint="eastAsia" w:ascii="仿宋_GB2312" w:hAnsi="仿宋_GB2312" w:eastAsia="仿宋_GB2312" w:cs="仿宋_GB2312"/>
          <w:kern w:val="0"/>
          <w:sz w:val="32"/>
          <w:szCs w:val="32"/>
        </w:rPr>
        <w:t>384.65</w:t>
      </w:r>
      <w:r>
        <w:rPr>
          <w:rFonts w:ascii="仿宋_GB2312" w:hAnsi="仿宋_GB2312" w:eastAsia="仿宋_GB2312" w:cs="仿宋_GB2312"/>
          <w:kern w:val="0"/>
          <w:sz w:val="32"/>
          <w:szCs w:val="32"/>
        </w:rPr>
        <w:t xml:space="preserve"> 万元、政府采购工程支出</w:t>
      </w:r>
      <w:r>
        <w:rPr>
          <w:rFonts w:hint="eastAsia" w:ascii="仿宋_GB2312" w:hAnsi="仿宋_GB2312" w:eastAsia="仿宋_GB2312" w:cs="仿宋_GB2312"/>
          <w:kern w:val="0"/>
          <w:sz w:val="32"/>
          <w:szCs w:val="32"/>
        </w:rPr>
        <w:t>10206.58</w:t>
      </w:r>
      <w:r>
        <w:rPr>
          <w:rFonts w:ascii="仿宋_GB2312" w:hAnsi="仿宋_GB2312" w:eastAsia="仿宋_GB2312" w:cs="仿宋_GB2312"/>
          <w:kern w:val="0"/>
          <w:sz w:val="32"/>
          <w:szCs w:val="32"/>
        </w:rPr>
        <w:t xml:space="preserve">万元、政府采购服务支出 </w:t>
      </w:r>
      <w:r>
        <w:rPr>
          <w:rFonts w:hint="eastAsia" w:ascii="仿宋_GB2312" w:hAnsi="仿宋_GB2312" w:eastAsia="仿宋_GB2312" w:cs="仿宋_GB2312"/>
          <w:kern w:val="0"/>
          <w:sz w:val="32"/>
          <w:szCs w:val="32"/>
        </w:rPr>
        <w:t>229.06</w:t>
      </w:r>
      <w:r>
        <w:rPr>
          <w:rFonts w:ascii="仿宋_GB2312" w:hAnsi="仿宋_GB2312" w:eastAsia="仿宋_GB2312" w:cs="仿宋_GB2312"/>
          <w:kern w:val="0"/>
          <w:sz w:val="32"/>
          <w:szCs w:val="32"/>
        </w:rPr>
        <w:t>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，占政府采购支出总额的0%；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r>
        <w:rPr>
          <w:rFonts w:hint="eastAsia" w:ascii="仿宋_GB2312" w:hAnsi="仿宋_GB2312" w:eastAsia="仿宋_GB2312" w:cs="仿宋_GB2312"/>
          <w:color w:val="000000"/>
          <w:kern w:val="0"/>
          <w:sz w:val="32"/>
          <w:szCs w:val="32"/>
        </w:rPr>
        <w:t>，占政府采购支出总额的0%。</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截至2019年12月31日，本部门共有车辆45辆，比上年减少30辆，主要是由于机构改革划转城管局。其中，副部（省）级及以上领导用车0辆，主要领导干部用车0辆，机要通信用车0辆，应急保障用车1辆，执法执勤用车0辆，特种专业技术用车0辆，离退休干部用车0辆，其他用车44辆，其他用车主要是环卫保洁车辆；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万元以上通用设备0台（套），比上年增加0台（套），单位价值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万元以上专用设备0台（套）比上年增加0台（套）。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eastAsia="仿宋_GB2312" w:cs="DengXian-Regular"/>
          <w:sz w:val="32"/>
          <w:szCs w:val="32"/>
        </w:rPr>
        <w:t>无国有资产经营财政拨款收支及结转结余情况，故国有资产经营财政拨款支出决算表以空表列示。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0" w:type="first"/>
          <w:footerReference r:id="rId22" w:type="first"/>
          <w:headerReference r:id="rId19" w:type="default"/>
          <w:footerReference r:id="rId21"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643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path/>
            <v:fill type="pattern" on="t" color2="#FFFFFF" o:title="5%" focussize="0,0" r:id="rId29"/>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3"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b/>
          <w:bCs/>
          <w:color w:val="000000"/>
          <w:kern w:val="0"/>
          <w:sz w:val="32"/>
          <w:szCs w:val="32"/>
        </w:r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
      <w:pPr>
        <w:tabs>
          <w:tab w:val="left" w:pos="235"/>
        </w:tabs>
        <w:jc w:val="left"/>
        <w:sectPr>
          <w:headerReference r:id="rId24"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654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path/>
            <v:fill type="pattern" on="t" color2="#FFFFFF" o:title="5%" focussize="0,0" r:id="rId29"/>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6"/>
        <w:tblpPr w:leftFromText="180" w:rightFromText="180" w:vertAnchor="text" w:horzAnchor="page" w:tblpXSpec="center" w:tblpY="78"/>
        <w:tblOverlap w:val="never"/>
        <w:tblW w:w="10474" w:type="dxa"/>
        <w:jc w:val="center"/>
        <w:tblLayout w:type="fixed"/>
        <w:tblCellMar>
          <w:top w:w="0" w:type="dxa"/>
          <w:left w:w="0" w:type="dxa"/>
          <w:bottom w:w="0" w:type="dxa"/>
          <w:right w:w="0" w:type="dxa"/>
        </w:tblCellMar>
      </w:tblPr>
      <w:tblGrid>
        <w:gridCol w:w="3236"/>
        <w:gridCol w:w="431"/>
        <w:gridCol w:w="1769"/>
        <w:gridCol w:w="2784"/>
        <w:gridCol w:w="504"/>
        <w:gridCol w:w="1750"/>
      </w:tblGrid>
      <w:tr>
        <w:tblPrEx>
          <w:tblCellMar>
            <w:top w:w="0" w:type="dxa"/>
            <w:left w:w="0" w:type="dxa"/>
            <w:bottom w:w="0" w:type="dxa"/>
            <w:right w:w="0" w:type="dxa"/>
          </w:tblCellMar>
        </w:tblPrEx>
        <w:trPr>
          <w:trHeight w:val="489" w:hRule="atLeast"/>
          <w:jc w:val="center"/>
        </w:trPr>
        <w:tc>
          <w:tcPr>
            <w:tcW w:w="10474"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3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38"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5436"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5038"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590,26.80</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288,08.54</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50134.06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87835.34</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73955.72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4728.34</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18607.96</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7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92563.68</w:t>
            </w:r>
          </w:p>
        </w:tc>
        <w:tc>
          <w:tcPr>
            <w:tcW w:w="2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0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7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92563.68</w:t>
            </w:r>
          </w:p>
        </w:tc>
      </w:tr>
      <w:tr>
        <w:tblPrEx>
          <w:tblCellMar>
            <w:top w:w="0" w:type="dxa"/>
            <w:left w:w="0" w:type="dxa"/>
            <w:bottom w:w="0" w:type="dxa"/>
            <w:right w:w="0" w:type="dxa"/>
          </w:tblCellMar>
        </w:tblPrEx>
        <w:trPr>
          <w:trHeight w:val="213" w:hRule="atLeast"/>
          <w:jc w:val="center"/>
        </w:trPr>
        <w:tc>
          <w:tcPr>
            <w:tcW w:w="10474"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tbl>
            <w:tblPr>
              <w:tblStyle w:val="6"/>
              <w:tblpPr w:leftFromText="180" w:rightFromText="180" w:vertAnchor="text" w:horzAnchor="page" w:tblpX="61" w:tblpY="10"/>
              <w:tblOverlap w:val="never"/>
              <w:tblW w:w="10438" w:type="dxa"/>
              <w:tblInd w:w="0" w:type="dxa"/>
              <w:tblLayout w:type="fixed"/>
              <w:tblCellMar>
                <w:top w:w="0" w:type="dxa"/>
                <w:left w:w="0" w:type="dxa"/>
                <w:bottom w:w="0" w:type="dxa"/>
                <w:right w:w="0" w:type="dxa"/>
              </w:tblCellMar>
            </w:tblPr>
            <w:tblGrid>
              <w:gridCol w:w="1296"/>
              <w:gridCol w:w="58"/>
              <w:gridCol w:w="240"/>
              <w:gridCol w:w="2715"/>
              <w:gridCol w:w="1668"/>
              <w:gridCol w:w="1572"/>
              <w:gridCol w:w="612"/>
              <w:gridCol w:w="528"/>
              <w:gridCol w:w="588"/>
              <w:gridCol w:w="648"/>
              <w:gridCol w:w="513"/>
            </w:tblGrid>
            <w:tr>
              <w:tblPrEx>
                <w:tblCellMar>
                  <w:top w:w="0" w:type="dxa"/>
                  <w:left w:w="0" w:type="dxa"/>
                  <w:bottom w:w="0" w:type="dxa"/>
                  <w:right w:w="0" w:type="dxa"/>
                </w:tblCellMar>
              </w:tblPrEx>
              <w:trPr>
                <w:trHeight w:val="670" w:hRule="atLeast"/>
              </w:trPr>
              <w:tc>
                <w:tcPr>
                  <w:tcW w:w="10438"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trPr>
              <w:tc>
                <w:tcPr>
                  <w:tcW w:w="12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trPr>
              <w:tc>
                <w:tcPr>
                  <w:tcW w:w="12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7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2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4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trPr>
              <w:tc>
                <w:tcPr>
                  <w:tcW w:w="430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6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57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6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52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58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6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5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trPr>
              <w:tc>
                <w:tcPr>
                  <w:tcW w:w="159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71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trPr>
              <w:tc>
                <w:tcPr>
                  <w:tcW w:w="159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1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trPr>
              <w:tc>
                <w:tcPr>
                  <w:tcW w:w="159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1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7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2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430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7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5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5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5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trPr>
              <w:tc>
                <w:tcPr>
                  <w:tcW w:w="430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87835.34</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sz w:val="22"/>
                    </w:rPr>
                    <w:t>87835.34</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90"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221.30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221.30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183.06</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183.06</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归口管理的行政单位离退休</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51.20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51.20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机关事业单位基本养老保险缴费支出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131.86</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131.86</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35.95</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35.95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退役士兵安置</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29.18</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29.18</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其他退役安置支出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6.77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6.77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2.29</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2.29</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财政对工伤保险基金的补助</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1.37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1.37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财政对生育保险基金的补助</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0.93</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0.93</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4"/>
                      <w:szCs w:val="24"/>
                    </w:rPr>
                  </w:pPr>
                  <w:r>
                    <w:rPr>
                      <w:rFonts w:hint="eastAsia" w:ascii="宋体" w:hAnsi="宋体" w:eastAsia="宋体" w:cs="宋体"/>
                      <w:color w:val="000000"/>
                      <w:kern w:val="0"/>
                      <w:sz w:val="22"/>
                    </w:rPr>
                    <w:t>210</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bookmarkStart w:id="2" w:name="OLE_LINK3"/>
                  <w:r>
                    <w:rPr>
                      <w:rFonts w:hint="eastAsia" w:ascii="宋体" w:hAnsi="宋体" w:eastAsia="宋体" w:cs="宋体"/>
                      <w:kern w:val="0"/>
                      <w:sz w:val="22"/>
                    </w:rPr>
                    <w:t>24.32</w:t>
                  </w:r>
                  <w:bookmarkEnd w:id="2"/>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24.32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24.32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24.32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行政单位医疗</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24.32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24.32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29944.01</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29944.01</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29944.01</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29944.01</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大气</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bookmarkStart w:id="3" w:name="OLE_LINK4"/>
                  <w:r>
                    <w:rPr>
                      <w:rFonts w:hint="eastAsia" w:ascii="宋体" w:hAnsi="宋体" w:eastAsia="宋体" w:cs="宋体"/>
                      <w:kern w:val="0"/>
                      <w:sz w:val="22"/>
                    </w:rPr>
                    <w:t>3118.45</w:t>
                  </w:r>
                  <w:bookmarkEnd w:id="3"/>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3118.45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2110302</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水体</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26825.56</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26825.56</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53816.55</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53816.55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城乡社区管理事务</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bookmarkStart w:id="4" w:name="OLE_LINK5"/>
                  <w:r>
                    <w:rPr>
                      <w:rFonts w:hint="eastAsia" w:ascii="宋体" w:hAnsi="宋体" w:eastAsia="宋体" w:cs="宋体"/>
                      <w:kern w:val="0"/>
                      <w:sz w:val="22"/>
                    </w:rPr>
                    <w:t>1198.78</w:t>
                  </w:r>
                  <w:bookmarkEnd w:id="4"/>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1198.78</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行政运行</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797.67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797.67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2120102</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一般行政管理事务</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240.72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240.72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住宅建设与房地产市场监管</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124.92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124.92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2120199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其他城乡社区管理事务支出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35.47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35.47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城乡社区公共设施</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23173.65</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23173.65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2120303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小城镇基础设施建设</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22658.22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22658.22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2120399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其他城乡社区公共设施支出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515.43</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515.43</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城乡社区环境卫生</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490.07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490.07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城乡社区环境卫生</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490.07</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490.07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建设市场管理与监督</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145.52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145.52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建设市场管理与监督</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145.52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145.52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3143.04</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3143.04</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征地和拆迁补偿支出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3143.04</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3143.04</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城市基础设施配套费安排的支出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16.80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16.80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城市公共设施</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16.80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16.80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21214</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污水处理费安排的支出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1648.70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1648.70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2121401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污水处理设施建设和运营</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1648.70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1648.70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21216</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棚户区改造专项债券收入安排的支出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24000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2121601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征地和拆迁补偿支出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24000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24000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3829.15</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3829.15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保障性安居工程支出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3829.15</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3829.15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2210103</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棚户区改造</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3420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3420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2210105</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农村危房改造</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356.62</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356.62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2210106</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公共租赁住房</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20</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20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2210199</w:t>
                  </w: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其他保障性安居工程支出</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32.53</w:t>
                  </w: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sz w:val="22"/>
                    </w:rPr>
                  </w:pPr>
                  <w:r>
                    <w:rPr>
                      <w:rFonts w:hint="eastAsia" w:ascii="宋体" w:hAnsi="宋体" w:eastAsia="宋体" w:cs="宋体"/>
                      <w:kern w:val="0"/>
                      <w:sz w:val="22"/>
                    </w:rPr>
                    <w:t>32.53</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59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27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p>
              </w:tc>
              <w:tc>
                <w:tcPr>
                  <w:tcW w:w="15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2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trPr>
              <w:tc>
                <w:tcPr>
                  <w:tcW w:w="10438"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r>
              <w:tblPrEx>
                <w:tblCellMar>
                  <w:top w:w="0" w:type="dxa"/>
                  <w:left w:w="0" w:type="dxa"/>
                  <w:bottom w:w="0" w:type="dxa"/>
                  <w:right w:w="0" w:type="dxa"/>
                </w:tblCellMar>
              </w:tblPrEx>
              <w:trPr>
                <w:trHeight w:val="385" w:hRule="atLeast"/>
              </w:trPr>
              <w:tc>
                <w:tcPr>
                  <w:tcW w:w="10438"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p>
              </w:tc>
            </w:tr>
          </w:tbl>
          <w:p>
            <w:pPr>
              <w:widowControl/>
              <w:jc w:val="left"/>
              <w:textAlignment w:val="center"/>
              <w:rPr>
                <w:rFonts w:ascii="宋体" w:hAnsi="宋体" w:eastAsia="宋体" w:cs="宋体"/>
                <w:color w:val="000000"/>
                <w:kern w:val="0"/>
                <w:sz w:val="22"/>
              </w:rPr>
            </w:pPr>
          </w:p>
        </w:tc>
      </w:tr>
    </w:tbl>
    <w:p>
      <w:pPr>
        <w:tabs>
          <w:tab w:val="left" w:pos="886"/>
        </w:tabs>
        <w:jc w:val="left"/>
      </w:pPr>
    </w:p>
    <w:p>
      <w:pPr>
        <w:jc w:val="left"/>
      </w:pPr>
    </w:p>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240"/>
        <w:gridCol w:w="2071"/>
        <w:gridCol w:w="1608"/>
        <w:gridCol w:w="1548"/>
        <w:gridCol w:w="1644"/>
        <w:gridCol w:w="624"/>
        <w:gridCol w:w="360"/>
        <w:gridCol w:w="59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0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4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5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23" w:hRule="atLeast"/>
          <w:jc w:val="center"/>
        </w:trPr>
        <w:tc>
          <w:tcPr>
            <w:tcW w:w="330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60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54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4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2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36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59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9" w:hRule="atLeast"/>
          <w:jc w:val="center"/>
        </w:trPr>
        <w:tc>
          <w:tcPr>
            <w:tcW w:w="12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07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6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2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7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0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4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4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6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9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330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60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5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2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5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23" w:hRule="atLeast"/>
          <w:jc w:val="center"/>
        </w:trPr>
        <w:tc>
          <w:tcPr>
            <w:tcW w:w="330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73,955.72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1,531.84</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72,423.88</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183.06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183.06</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51.20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51.20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131.86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131.86</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35.95</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35.95</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29.18</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6.77</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1,869.00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1,869.00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2110302</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水体</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20,975.56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20,975.56</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50,134.06</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1,286.22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48,847.83</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城乡社区管理事务</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1,198.78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1,140.71</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58.08</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797.67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797.67</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2120102</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240.73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240.73</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住宅建设与房地产市场监管</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124.92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102.31</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22.61</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2120199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其他城乡社区管理事务支出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35.47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35.47</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城乡社区公共设施</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19,068.30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19,068.30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2120303</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小城镇基础设施建设</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18,252.88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18,252.88</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2120399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其他城乡社区公共设施支出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815.43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815.43</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城乡社区环境卫生</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城乡社区环境卫生</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建设市场管理与监督</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建设市场管理与监督</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3,565.89</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3,565.89</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2120811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公共租赁住房支出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城市基础设施配套费安排的支出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城市公共设施</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21214</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污水处理费安排的支出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2121401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污水处理设施建设和运营</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1,648.70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1,648.70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21216</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棚户区改造专项债券收入安排的支出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24,000.00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24,000.00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2121601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征地和拆迁补偿支出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24,000.00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24,000.00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住房保障支出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731.48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731.48</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22101</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保障性安居工程支出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731.48</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731.48</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2210105</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农村危房改造</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356.62</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356.62</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2210106</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公共租赁住房</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339.33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339.33</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2210199</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其他保障性安居工程支出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35.53</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35.53</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2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208</w:t>
            </w:r>
          </w:p>
        </w:tc>
        <w:tc>
          <w:tcPr>
            <w:tcW w:w="207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社会保障和就业支出</w:t>
            </w:r>
          </w:p>
        </w:tc>
        <w:tc>
          <w:tcPr>
            <w:tcW w:w="160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221.30</w:t>
            </w:r>
          </w:p>
        </w:tc>
        <w:tc>
          <w:tcPr>
            <w:tcW w:w="154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221.30</w:t>
            </w:r>
          </w:p>
        </w:tc>
        <w:tc>
          <w:tcPr>
            <w:tcW w:w="16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5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6"/>
        <w:tblW w:w="10708" w:type="dxa"/>
        <w:jc w:val="center"/>
        <w:tblLayout w:type="fixed"/>
        <w:tblCellMar>
          <w:top w:w="0" w:type="dxa"/>
          <w:left w:w="0" w:type="dxa"/>
          <w:bottom w:w="0" w:type="dxa"/>
          <w:right w:w="0" w:type="dxa"/>
        </w:tblCellMar>
      </w:tblPr>
      <w:tblGrid>
        <w:gridCol w:w="1425"/>
        <w:gridCol w:w="396"/>
        <w:gridCol w:w="1620"/>
        <w:gridCol w:w="1975"/>
        <w:gridCol w:w="420"/>
        <w:gridCol w:w="1668"/>
        <w:gridCol w:w="1607"/>
        <w:gridCol w:w="1597"/>
      </w:tblGrid>
      <w:tr>
        <w:tblPrEx>
          <w:tblCellMar>
            <w:top w:w="0" w:type="dxa"/>
            <w:left w:w="0" w:type="dxa"/>
            <w:bottom w:w="0" w:type="dxa"/>
            <w:right w:w="0" w:type="dxa"/>
          </w:tblCellMar>
        </w:tblPrEx>
        <w:trPr>
          <w:trHeight w:val="406" w:hRule="atLeast"/>
          <w:jc w:val="center"/>
        </w:trPr>
        <w:tc>
          <w:tcPr>
            <w:tcW w:w="10708"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1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142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3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72"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44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7267"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1425"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9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6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19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1668"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1425"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68"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59,026.80</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28,808.54</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50,134.06</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20,902.67</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29,231.39</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87,835.34</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73,955.72</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44,724.33</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29,231.39</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4,728.34</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18,607.96</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18,607.96</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4,305.49</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142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16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92,563.68</w:t>
            </w:r>
          </w:p>
        </w:tc>
        <w:tc>
          <w:tcPr>
            <w:tcW w:w="197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16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92,563.68</w:t>
            </w:r>
          </w:p>
        </w:tc>
        <w:tc>
          <w:tcPr>
            <w:tcW w:w="16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63,332.29</w:t>
            </w:r>
          </w:p>
        </w:tc>
        <w:tc>
          <w:tcPr>
            <w:tcW w:w="15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29,231.39</w:t>
            </w:r>
          </w:p>
        </w:tc>
      </w:tr>
      <w:tr>
        <w:tblPrEx>
          <w:tblCellMar>
            <w:top w:w="0" w:type="dxa"/>
            <w:left w:w="0" w:type="dxa"/>
            <w:bottom w:w="0" w:type="dxa"/>
            <w:right w:w="0" w:type="dxa"/>
          </w:tblCellMar>
        </w:tblPrEx>
        <w:trPr>
          <w:trHeight w:val="90" w:hRule="atLeast"/>
          <w:jc w:val="center"/>
        </w:trPr>
        <w:tc>
          <w:tcPr>
            <w:tcW w:w="10708"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6"/>
        <w:tblW w:w="11059" w:type="dxa"/>
        <w:jc w:val="center"/>
        <w:tblLayout w:type="fixed"/>
        <w:tblCellMar>
          <w:top w:w="0" w:type="dxa"/>
          <w:left w:w="0" w:type="dxa"/>
          <w:bottom w:w="0" w:type="dxa"/>
          <w:right w:w="0" w:type="dxa"/>
        </w:tblCellMar>
      </w:tblPr>
      <w:tblGrid>
        <w:gridCol w:w="1175"/>
        <w:gridCol w:w="66"/>
        <w:gridCol w:w="67"/>
        <w:gridCol w:w="3164"/>
        <w:gridCol w:w="2039"/>
        <w:gridCol w:w="2356"/>
        <w:gridCol w:w="2192"/>
      </w:tblGrid>
      <w:tr>
        <w:tblPrEx>
          <w:tblCellMar>
            <w:top w:w="0" w:type="dxa"/>
            <w:left w:w="0" w:type="dxa"/>
            <w:bottom w:w="0" w:type="dxa"/>
            <w:right w:w="0" w:type="dxa"/>
          </w:tblCellMar>
        </w:tblPrEx>
        <w:trPr>
          <w:trHeight w:val="600" w:hRule="atLeast"/>
          <w:jc w:val="center"/>
        </w:trPr>
        <w:tc>
          <w:tcPr>
            <w:tcW w:w="11059"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一般公共预算财政拨款支出决算表</w:t>
            </w:r>
          </w:p>
        </w:tc>
      </w:tr>
      <w:tr>
        <w:tblPrEx>
          <w:tblCellMar>
            <w:top w:w="0" w:type="dxa"/>
            <w:left w:w="0" w:type="dxa"/>
            <w:bottom w:w="0" w:type="dxa"/>
            <w:right w:w="0" w:type="dxa"/>
          </w:tblCellMar>
        </w:tblPrEx>
        <w:trPr>
          <w:trHeight w:val="255" w:hRule="atLeast"/>
          <w:jc w:val="center"/>
        </w:trPr>
        <w:tc>
          <w:tcPr>
            <w:tcW w:w="117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6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4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trHeight w:val="255" w:hRule="atLeast"/>
          <w:jc w:val="center"/>
        </w:trPr>
        <w:tc>
          <w:tcPr>
            <w:tcW w:w="1175"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16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3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548"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447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658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16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203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23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2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6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0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16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203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44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447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44,724.33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1,531.84</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43,192.49</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183.06</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183.06</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51.20</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51.20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131.86</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131.86</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退役安置</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35.95</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35.95</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退役士兵安置</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29.18</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29.18</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2080999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其他退役安置支出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6.77</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2.29</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0.93</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24.32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节能环保支出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污染防治</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22,844.56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大气</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1,869.00</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1,869.00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2110302</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水体</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20,975.56</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20,975.56</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20,902.67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1,286.22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19,616.44</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城乡社区管理事务</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1,198.78</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1,140.71</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58.08</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797.67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797.67</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2120102</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一般行政管理事务</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240.73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240.73</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2120109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住宅建设与房地产市场监管</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124.92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102.31</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22.61</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2120199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其他城乡社区管理事务支出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35.47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35.47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城乡社区公共设施</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19,068.30</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19,068.30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2120303</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小城镇基础设施建设</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18,252.88</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18,252.88</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2120399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其他城乡社区公共设施支出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815.43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815.43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城乡社区环境卫生</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2120501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城乡社区环境卫生</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490.07</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建设市场管理与监督</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2120601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建设市场管理与监督</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145.52</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住房保障支出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保障性安居工程支出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731.48</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2210105</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农村危房改造</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356.62</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356.62</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2210106</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公共租赁住房</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339.33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339.33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2210199</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其他保障性安居工程支出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35.53</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35.53</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16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203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23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221.30</w:t>
            </w:r>
          </w:p>
        </w:tc>
        <w:tc>
          <w:tcPr>
            <w:tcW w:w="2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6"/>
        <w:tblW w:w="11462" w:type="dxa"/>
        <w:jc w:val="center"/>
        <w:tblLayout w:type="fixed"/>
        <w:tblCellMar>
          <w:top w:w="0" w:type="dxa"/>
          <w:left w:w="0" w:type="dxa"/>
          <w:bottom w:w="0" w:type="dxa"/>
          <w:right w:w="0" w:type="dxa"/>
        </w:tblCellMar>
      </w:tblPr>
      <w:tblGrid>
        <w:gridCol w:w="602"/>
        <w:gridCol w:w="1440"/>
        <w:gridCol w:w="1569"/>
        <w:gridCol w:w="655"/>
        <w:gridCol w:w="1454"/>
        <w:gridCol w:w="1500"/>
        <w:gridCol w:w="612"/>
        <w:gridCol w:w="1656"/>
        <w:gridCol w:w="1974"/>
      </w:tblGrid>
      <w:tr>
        <w:tblPrEx>
          <w:tblCellMar>
            <w:top w:w="0" w:type="dxa"/>
            <w:left w:w="0" w:type="dxa"/>
            <w:bottom w:w="0" w:type="dxa"/>
            <w:right w:w="0" w:type="dxa"/>
          </w:tblCellMar>
        </w:tblPrEx>
        <w:trPr>
          <w:trHeight w:val="662" w:hRule="atLeast"/>
          <w:jc w:val="center"/>
        </w:trPr>
        <w:tc>
          <w:tcPr>
            <w:tcW w:w="11462"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60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60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4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3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7851"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60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4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45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5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1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65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9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60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5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5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1,240.35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198.88</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632.41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18.64</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161.29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0.80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80.90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2.48</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机关事业单位基本养老保险缴费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222.50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64.32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职工基本医疗保险缴费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66.66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公务员医疗补助缴费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其他社会保障缴费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4.77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34.68</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其他工资福利支出</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0.10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92.61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0.86</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51.20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18.25</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4.27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37.14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74.27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2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个人农业生产补贴</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1.73</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60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4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15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16.80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04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15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1,332.96</w:t>
            </w:r>
          </w:p>
        </w:tc>
        <w:tc>
          <w:tcPr>
            <w:tcW w:w="587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19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2"/>
              </w:rPr>
              <w:t>198.88</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3.70</w:t>
            </w:r>
          </w:p>
        </w:tc>
        <w:tc>
          <w:tcPr>
            <w:tcW w:w="168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3.00</w:t>
            </w:r>
          </w:p>
        </w:tc>
        <w:tc>
          <w:tcPr>
            <w:tcW w:w="1572"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0.70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1.95</w:t>
            </w:r>
          </w:p>
        </w:tc>
        <w:tc>
          <w:tcPr>
            <w:tcW w:w="1686"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1.73</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65" w:type="dxa"/>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1.73</w:t>
            </w:r>
          </w:p>
        </w:tc>
        <w:tc>
          <w:tcPr>
            <w:tcW w:w="1572" w:type="dxa"/>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0.22</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10341" w:type="dxa"/>
        <w:jc w:val="center"/>
        <w:tblLayout w:type="fixed"/>
        <w:tblCellMar>
          <w:top w:w="0" w:type="dxa"/>
          <w:left w:w="0" w:type="dxa"/>
          <w:bottom w:w="0" w:type="dxa"/>
          <w:right w:w="0" w:type="dxa"/>
        </w:tblCellMar>
      </w:tblPr>
      <w:tblGrid>
        <w:gridCol w:w="1033"/>
        <w:gridCol w:w="60"/>
        <w:gridCol w:w="59"/>
        <w:gridCol w:w="3905"/>
        <w:gridCol w:w="756"/>
        <w:gridCol w:w="1056"/>
        <w:gridCol w:w="1032"/>
        <w:gridCol w:w="624"/>
        <w:gridCol w:w="1054"/>
        <w:gridCol w:w="762"/>
      </w:tblGrid>
      <w:tr>
        <w:tblPrEx>
          <w:tblCellMar>
            <w:top w:w="0" w:type="dxa"/>
            <w:left w:w="0" w:type="dxa"/>
            <w:bottom w:w="0" w:type="dxa"/>
            <w:right w:w="0" w:type="dxa"/>
          </w:tblCellMar>
        </w:tblPrEx>
        <w:trPr>
          <w:trHeight w:val="780" w:hRule="atLeast"/>
          <w:jc w:val="center"/>
        </w:trPr>
        <w:tc>
          <w:tcPr>
            <w:tcW w:w="10341"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3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1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33"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6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9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3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2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16"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057"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05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27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76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5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90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62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05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7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0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0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2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5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50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5057"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城乡社区支出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28,808.54</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29,231.39</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29,231.39</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国有土地使用权出让收入及对应专项债务收入安排的支出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3,565.89</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3,565.89</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2120801</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3,143.04</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2120811</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公共租赁住房支出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422.85</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城市基础设施配套费安排的支出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2121301</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城市公共设施</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21214</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污水处理费安排的支出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2121401</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污水处理设施建设和运营</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1,648.70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21216</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棚户区改造专项债券收入安排的支出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2121601</w:t>
            </w:r>
          </w:p>
        </w:tc>
        <w:tc>
          <w:tcPr>
            <w:tcW w:w="3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征地和拆迁补偿支出</w:t>
            </w:r>
          </w:p>
        </w:tc>
        <w:tc>
          <w:tcPr>
            <w:tcW w:w="7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10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62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0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24,000.00</w:t>
            </w:r>
          </w:p>
        </w:tc>
        <w:tc>
          <w:tcPr>
            <w:tcW w:w="7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p/>
    <w:p/>
    <w:p/>
    <w:p/>
    <w:p/>
    <w:p/>
    <w:p/>
    <w:p/>
    <w:p/>
    <w:tbl>
      <w:tblPr>
        <w:tblStyle w:val="6"/>
        <w:tblW w:w="9915" w:type="dxa"/>
        <w:jc w:val="center"/>
        <w:tblLayout w:type="autofit"/>
        <w:tblCellMar>
          <w:top w:w="0" w:type="dxa"/>
          <w:left w:w="0" w:type="dxa"/>
          <w:bottom w:w="0" w:type="dxa"/>
          <w:right w:w="0" w:type="dxa"/>
        </w:tblCellMar>
      </w:tblPr>
      <w:tblGrid>
        <w:gridCol w:w="3980"/>
        <w:gridCol w:w="51"/>
        <w:gridCol w:w="51"/>
        <w:gridCol w:w="2613"/>
        <w:gridCol w:w="661"/>
        <w:gridCol w:w="1280"/>
        <w:gridCol w:w="1279"/>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部门：无极县住房和城乡建设局</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cs="宋体"/>
          <w:color w:val="000000"/>
          <w:kern w:val="0"/>
          <w:sz w:val="22"/>
        </w:rPr>
        <w:t>注：本表反映部门本年度国有资本经营预算财政拨款支出情况。</w:t>
      </w:r>
      <w:r>
        <w:rPr>
          <w:rFonts w:hint="eastAsia" w:ascii="宋体" w:hAnsi="宋体" w:cs="宋体"/>
          <w:color w:val="000000"/>
          <w:kern w:val="0"/>
          <w:szCs w:val="21"/>
        </w:rPr>
        <w:t>本部门本年度无相关支出情况，按要求空表列示。</w:t>
      </w:r>
      <w:r>
        <w:br w:type="page"/>
      </w:r>
    </w:p>
    <w:p>
      <w:r>
        <w:pict>
          <v:rect id="_x0000_s1027" o:spid="_x0000_s1027" o:spt="1" style="position:absolute;left:0pt;margin-left:-70.5pt;margin-top:-85.25pt;height:841.15pt;width:595.1pt;z-index:25166643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path/>
            <v:fill on="t" focussize="0,0"/>
            <v:stroke on="f" weight="1pt"/>
            <v:imagedata o:title=""/>
            <o:lock v:ext="edit"/>
          </v:rect>
        </w:pict>
      </w:r>
    </w:p>
    <w:sectPr>
      <w:headerReference r:id="rId26" w:type="first"/>
      <w:headerReference r:id="rId25" w:type="default"/>
      <w:footerReference r:id="rId27"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Yu Gothic UI Semibold">
    <w:altName w:val="Meiryo"/>
    <w:panose1 w:val="000000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72" o:spid="_x0000_s2072" o:spt="202" type="#_x0000_t202" style="position:absolute;left:0pt;margin-left:205.45pt;margin-top:-18.75pt;height:31.45pt;width:30.15pt;mso-position-horizontal-relative:margin;z-index:251687936;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- 20 -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49" o:spid="_x0000_s2049" o:spt="202" type="#_x0000_t202" style="position:absolute;left:0pt;margin-left:209.15pt;margin-top:-6pt;height:18.7pt;width:144pt;mso-position-horizontal-relative:margin;mso-wrap-style:none;z-index:25169100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- 39 -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80" o:spid="_x0000_s2080" o:spt="202" type="#_x0000_t202" style="position:absolute;left:0pt;margin-left:209.65pt;margin-top:-12.95pt;height:14.3pt;width:30.6pt;mso-position-horizontal-relative:margin;z-index:251684864;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path/>
          <v:fill on="f" focussize="0,0"/>
          <v:stroke on="f" weight="0.5pt" joinstyle="miter"/>
          <v:imagedata o:title=""/>
          <o:lock v:ext="edit"/>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88" o:spid="_x0000_s2088" o:spt="202" type="#_x0000_t202" style="position:absolute;left:0pt;margin-left:206.55pt;margin-top:-22.45pt;height:35.15pt;width:34pt;mso-position-horizontal-relative:margin;z-index:251685888;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path/>
          <v:fill on="f" focussize="0,0"/>
          <v:stroke on="f" weight="0.5pt" joinstyle="miter"/>
          <v:imagedata o:title=""/>
          <o:lock v:ext="edit"/>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64" o:spid="_x0000_s2064" o:spt="202" type="#_x0000_t202" style="position:absolute;left:0pt;margin-left:209.15pt;margin-top:-6pt;height:18.7pt;width:144pt;mso-position-horizontal-relative:margin;mso-wrap-style:none;z-index:25168691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path/>
          <v:fill on="f" focussize="0,0"/>
          <v:stroke on="f" weight="0.5pt" joinstyle="miter"/>
          <v:imagedata o:title=""/>
          <o:lock v:ext="edit"/>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93" o:spid="_x0000_s2093" o:spt="203" style="position:absolute;left:0pt;margin-top:29.75pt;height:32pt;width:157.5pt;mso-position-horizontal:left;mso-position-horizontal-relative:page;mso-position-vertical-relative:page;z-index:251660288;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v:shape id="_x0000_s2095" o:spid="_x0000_s2095"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94"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89" o:spid="_x0000_s2089" o:spt="203" style="position:absolute;left:0pt;margin-left:0pt;margin-top:0pt;height:58.95pt;width:596.5pt;mso-position-horizontal-relative:page;mso-position-vertical-relative:page;z-index:251659264;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v:rect id="矩形 2" o:spid="_x0000_s2092"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91"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0"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77" o:spid="_x0000_s2077" o:spt="203" style="position:absolute;left:0pt;margin-top:29.75pt;height:32pt;width:157.5pt;mso-position-horizontal:left;mso-position-horizontal-relative:page;mso-position-vertical-relative:page;z-index:251683840;mso-width-relative:page;mso-height-relative:page;" coordorigin="1337,880" coordsize="3150,640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v:shape id="_x0000_s2079" o:spid="_x0000_s2079"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78" o:spt="1" style="position:absolute;left:1337;top:1044;height:330;width:119;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3" o:spid="_x0000_s2073" o:spt="203" style="position:absolute;left:0pt;margin-left:0pt;margin-top:0pt;height:58.95pt;width:596.5pt;mso-position-horizontal-relative:page;mso-position-vertical-relative:page;z-index:251682816;mso-width-relative:page;mso-height-relative:page;mso-width-percent:1000;" coordorigin="881,505" coordsize="11930,1179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v:rect id="矩形 2" o:spid="_x0000_s2076" o:spt="1" style="position:absolute;left:881;top:1538;height:146;width:11925;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75" o:spt="100" style="position:absolute;left:10177;top:686;height:862;width:2619;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67;top:505;height:1108;width:2345;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53" o:spid="_x0000_s2053" o:spt="203" style="position:absolute;left:0pt;margin-left:2.5pt;margin-top:28.75pt;height:35.25pt;width:594.8pt;mso-position-horizontal-relative:page;mso-position-vertical-relative:page;z-index:251692032;mso-width-relative:page;mso-height-relative:page;" coordorigin="881,505" coordsize="11930,1179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93056;mso-width-relative:page;mso-height-relative:page;" coordorigin="1337,880" coordsize="3150,640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60" o:spid="_x0000_s2060" o:spt="203" style="position:absolute;left:0pt;margin-left:0pt;margin-top:0pt;height:38.05pt;width:596.5pt;mso-position-horizontal-relative:page;mso-position-vertical-relative:page;z-index:251688960;mso-width-relative:page;mso-height-relative:page;mso-width-percent:1000;" coordorigin="881,505" coordsize="11930,1179203"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v:rect id="矩形 2" o:spid="_x0000_s2063" o:spt="1" style="position:absolute;left:881;top:1538;height:146;width:11925;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77;top:686;height:862;width:2619;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67;top:505;height:1108;width:2345;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9984;mso-width-relative:page;mso-height-relative:page;" coordorigin="1337,880" coordsize="3150,640203"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v:shape id="_x0000_s2059" o:spid="_x0000_s2059"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37;top:1044;height:330;width:119;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85" o:spid="_x0000_s2085" o:spt="203" style="position:absolute;left:0pt;margin-left:2.25pt;margin-top:45.75pt;height:32.05pt;width:239.85pt;mso-position-horizontal-relative:page;mso-position-vertical-relative:page;z-index:251679744;mso-width-relative:page;mso-height-relative:page;" coordorigin="1337,855" coordsize="3206,641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v:shape id="_x0000_s2087" o:spid="_x0000_s2087"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86"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1" o:spid="_x0000_s2081" o:spt="203" style="position:absolute;left:0pt;margin-left:2.75pt;margin-top:46.95pt;height:32.8pt;width:596.85pt;mso-position-horizontal-relative:page;mso-position-vertical-relative:page;z-index:251678720;mso-width-relative:page;mso-height-relative:page;" coordorigin="881,505" coordsize="11971,1179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v:rect id="矩形 2" o:spid="_x0000_s2084"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3"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2"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group id="_x0000_s2068" o:spid="_x0000_s2068" o:spt="203" style="position:absolute;left:0pt;margin-left:0pt;margin-top:0pt;height:37.85pt;width:594.8pt;mso-position-horizontal-relative:page;mso-position-vertical-relative:page;z-index:251680768;mso-width-relative:page;mso-height-relative:page;" coordorigin="881,505" coordsize="11930,1179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v:rect id="矩形 2" o:spid="_x0000_s2071"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0"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69"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65" o:spid="_x0000_s2065" o:spt="203" style="position:absolute;left:0pt;margin-left:-2.15pt;margin-top:47.15pt;height:32pt;width:235.7pt;mso-position-horizontal-relative:page;mso-position-vertical-relative:page;z-index:251681792;mso-width-relative:page;mso-height-relative:page;" coordorigin="1337,880" coordsize="3150,640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v:shape id="_x0000_s2067" o:spid="_x0000_s2067"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66"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9950409"/>
    <w:multiLevelType w:val="singleLevel"/>
    <w:tmpl w:val="59950409"/>
    <w:lvl w:ilvl="0" w:tentative="0">
      <w:start w:val="1"/>
      <w:numFmt w:val="decimal"/>
      <w:suff w:val="space"/>
      <w:lvlText w:val="%1."/>
      <w:lvlJc w:val="left"/>
    </w:lvl>
  </w:abstractNum>
  <w:abstractNum w:abstractNumId="2">
    <w:nsid w:val="5F222FFA"/>
    <w:multiLevelType w:val="singleLevel"/>
    <w:tmpl w:val="5F222FFA"/>
    <w:lvl w:ilvl="0" w:tentative="0">
      <w:start w:val="1"/>
      <w:numFmt w:val="decimal"/>
      <w:suff w:val="nothing"/>
      <w:lvlText w:val="（%1）"/>
      <w:lvlJc w:val="left"/>
      <w:pPr>
        <w:ind w:left="-640"/>
      </w:pPr>
    </w:lvl>
  </w:abstractNum>
  <w:abstractNum w:abstractNumId="3">
    <w:nsid w:val="7571F16F"/>
    <w:multiLevelType w:val="singleLevel"/>
    <w:tmpl w:val="7571F16F"/>
    <w:lvl w:ilvl="0" w:tentative="0">
      <w:start w:val="3"/>
      <w:numFmt w:val="decimal"/>
      <w:suff w:val="nothing"/>
      <w:lvlText w:val="%1、"/>
      <w:lvlJc w:val="left"/>
    </w:lvl>
  </w:abstractNum>
  <w:abstractNum w:abstractNumId="4">
    <w:nsid w:val="78C1413D"/>
    <w:multiLevelType w:val="singleLevel"/>
    <w:tmpl w:val="78C1413D"/>
    <w:lvl w:ilvl="0" w:tentative="0">
      <w:start w:val="1"/>
      <w:numFmt w:val="decimal"/>
      <w:suff w:val="space"/>
      <w:lvlText w:val="%1."/>
      <w:lvlJc w:val="left"/>
    </w:lvl>
  </w:abstractNum>
  <w:num w:numId="1">
    <w:abstractNumId w:val="4"/>
  </w:num>
  <w:num w:numId="2">
    <w:abstractNumId w:val="1"/>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512BB"/>
    <w:rsid w:val="00163F95"/>
    <w:rsid w:val="00180A9A"/>
    <w:rsid w:val="001829C0"/>
    <w:rsid w:val="00184809"/>
    <w:rsid w:val="00192112"/>
    <w:rsid w:val="001B0127"/>
    <w:rsid w:val="001C12D5"/>
    <w:rsid w:val="001C69F7"/>
    <w:rsid w:val="001D6F97"/>
    <w:rsid w:val="001E2192"/>
    <w:rsid w:val="002650EC"/>
    <w:rsid w:val="002A6C46"/>
    <w:rsid w:val="002C19B5"/>
    <w:rsid w:val="003A4EE8"/>
    <w:rsid w:val="00442CC2"/>
    <w:rsid w:val="00446244"/>
    <w:rsid w:val="00473C20"/>
    <w:rsid w:val="004D61CB"/>
    <w:rsid w:val="005011D6"/>
    <w:rsid w:val="00503F2E"/>
    <w:rsid w:val="00552226"/>
    <w:rsid w:val="00552E6C"/>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82B03"/>
    <w:rsid w:val="00CC0FAA"/>
    <w:rsid w:val="00CD0736"/>
    <w:rsid w:val="00CD3C19"/>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32014F4"/>
    <w:rsid w:val="05B00A30"/>
    <w:rsid w:val="078D5A51"/>
    <w:rsid w:val="0B011416"/>
    <w:rsid w:val="0B980011"/>
    <w:rsid w:val="11B637F9"/>
    <w:rsid w:val="15510757"/>
    <w:rsid w:val="182C793B"/>
    <w:rsid w:val="1C046320"/>
    <w:rsid w:val="2019778B"/>
    <w:rsid w:val="20370B17"/>
    <w:rsid w:val="20571F69"/>
    <w:rsid w:val="226E634B"/>
    <w:rsid w:val="23F26D62"/>
    <w:rsid w:val="29424163"/>
    <w:rsid w:val="2946797D"/>
    <w:rsid w:val="2A87450C"/>
    <w:rsid w:val="2EE866A0"/>
    <w:rsid w:val="31C2036A"/>
    <w:rsid w:val="320D02A5"/>
    <w:rsid w:val="348E566F"/>
    <w:rsid w:val="369C38EE"/>
    <w:rsid w:val="37B13FB9"/>
    <w:rsid w:val="38071128"/>
    <w:rsid w:val="3A226944"/>
    <w:rsid w:val="3A436DF7"/>
    <w:rsid w:val="3A6646FB"/>
    <w:rsid w:val="3AEE6A48"/>
    <w:rsid w:val="3B635AD6"/>
    <w:rsid w:val="3B911151"/>
    <w:rsid w:val="3C1620AA"/>
    <w:rsid w:val="3C2704D2"/>
    <w:rsid w:val="3D8F080F"/>
    <w:rsid w:val="3DFC7835"/>
    <w:rsid w:val="44CE1FA4"/>
    <w:rsid w:val="47BC1B8F"/>
    <w:rsid w:val="48007B99"/>
    <w:rsid w:val="487F73ED"/>
    <w:rsid w:val="48ED637B"/>
    <w:rsid w:val="4A347EAE"/>
    <w:rsid w:val="4BC61C9A"/>
    <w:rsid w:val="4C2947CB"/>
    <w:rsid w:val="4CC522EC"/>
    <w:rsid w:val="50CB2F04"/>
    <w:rsid w:val="52600405"/>
    <w:rsid w:val="529B4319"/>
    <w:rsid w:val="54A52F6F"/>
    <w:rsid w:val="554359C3"/>
    <w:rsid w:val="569A5A2E"/>
    <w:rsid w:val="56F67A8D"/>
    <w:rsid w:val="57773DD6"/>
    <w:rsid w:val="578B79AB"/>
    <w:rsid w:val="57E52828"/>
    <w:rsid w:val="594F3AFE"/>
    <w:rsid w:val="5A2237CD"/>
    <w:rsid w:val="5CCD3FD5"/>
    <w:rsid w:val="5D6F5365"/>
    <w:rsid w:val="60AA24BB"/>
    <w:rsid w:val="61FA5F9D"/>
    <w:rsid w:val="62DB3920"/>
    <w:rsid w:val="64CD6910"/>
    <w:rsid w:val="659D09FB"/>
    <w:rsid w:val="66217501"/>
    <w:rsid w:val="66AC4D57"/>
    <w:rsid w:val="66CE6924"/>
    <w:rsid w:val="6789158D"/>
    <w:rsid w:val="67974E09"/>
    <w:rsid w:val="67D81BA4"/>
    <w:rsid w:val="6AAF1C96"/>
    <w:rsid w:val="6E130846"/>
    <w:rsid w:val="727D3AC7"/>
    <w:rsid w:val="75681757"/>
    <w:rsid w:val="75A346A8"/>
    <w:rsid w:val="786666F3"/>
    <w:rsid w:val="79B9382C"/>
    <w:rsid w:val="7B043B76"/>
    <w:rsid w:val="7BFF0E56"/>
    <w:rsid w:val="7C041A6A"/>
    <w:rsid w:val="7CB24395"/>
    <w:rsid w:val="7CE36AF8"/>
    <w:rsid w:val="7E327570"/>
    <w:rsid w:val="7EF222D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2.xml"/><Relationship Id="rId36" Type="http://schemas.openxmlformats.org/officeDocument/2006/relationships/numbering" Target="numbering.xml"/><Relationship Id="rId35" Type="http://schemas.openxmlformats.org/officeDocument/2006/relationships/customXml" Target="../customXml/item1.xml"/><Relationship Id="rId34" Type="http://schemas.openxmlformats.org/officeDocument/2006/relationships/image" Target="media/image5.jpeg"/><Relationship Id="rId33" Type="http://schemas.openxmlformats.org/officeDocument/2006/relationships/image" Target="media/image4.jpeg"/><Relationship Id="rId32" Type="http://schemas.openxmlformats.org/officeDocument/2006/relationships/image" Target="media/image3.jpeg"/><Relationship Id="rId31" Type="http://schemas.openxmlformats.org/officeDocument/2006/relationships/chart" Target="charts/chart1.xml"/><Relationship Id="rId30" Type="http://schemas.openxmlformats.org/officeDocument/2006/relationships/image" Target="media/image2.jpeg"/><Relationship Id="rId3" Type="http://schemas.openxmlformats.org/officeDocument/2006/relationships/header" Target="header1.xml"/><Relationship Id="rId29" Type="http://schemas.openxmlformats.org/officeDocument/2006/relationships/image" Target="media/image1.GIF"/><Relationship Id="rId28" Type="http://schemas.openxmlformats.org/officeDocument/2006/relationships/theme" Target="theme/theme1.xml"/><Relationship Id="rId27" Type="http://schemas.openxmlformats.org/officeDocument/2006/relationships/footer" Target="footer11.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header" Target="header11.xml"/><Relationship Id="rId22" Type="http://schemas.openxmlformats.org/officeDocument/2006/relationships/footer" Target="footer10.xml"/><Relationship Id="rId21" Type="http://schemas.openxmlformats.org/officeDocument/2006/relationships/footer" Target="footer9.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1531.84</c:v>
                </c:pt>
                <c:pt idx="1">
                  <c:v>72423.88</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2095"/>
    <customShpInfo spid="_x0000_s2094"/>
    <customShpInfo spid="_x0000_s2093"/>
    <customShpInfo spid="_x0000_s2092"/>
    <customShpInfo spid="_x0000_s2091"/>
    <customShpInfo spid="_x0000_s2090"/>
    <customShpInfo spid="_x0000_s2089"/>
    <customShpInfo spid="_x0000_s2087"/>
    <customShpInfo spid="_x0000_s2086"/>
    <customShpInfo spid="_x0000_s2085"/>
    <customShpInfo spid="_x0000_s2084"/>
    <customShpInfo spid="_x0000_s2083"/>
    <customShpInfo spid="_x0000_s2082"/>
    <customShpInfo spid="_x0000_s2081"/>
    <customShpInfo spid="_x0000_s2080"/>
    <customShpInfo spid="_x0000_s2088"/>
    <customShpInfo spid="_x0000_s2071"/>
    <customShpInfo spid="_x0000_s2070"/>
    <customShpInfo spid="_x0000_s2069"/>
    <customShpInfo spid="_x0000_s2068"/>
    <customShpInfo spid="_x0000_s2067"/>
    <customShpInfo spid="_x0000_s2066"/>
    <customShpInfo spid="_x0000_s2065"/>
    <customShpInfo spid="_x0000_s2079"/>
    <customShpInfo spid="_x0000_s2078"/>
    <customShpInfo spid="_x0000_s2077"/>
    <customShpInfo spid="_x0000_s2076"/>
    <customShpInfo spid="_x0000_s2075"/>
    <customShpInfo spid="_x0000_s2074"/>
    <customShpInfo spid="_x0000_s2073"/>
    <customShpInfo spid="_x0000_s2064"/>
    <customShpInfo spid="_x0000_s2072"/>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26"/>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39</Pages>
  <Words>2668</Words>
  <Characters>15209</Characters>
  <Lines>126</Lines>
  <Paragraphs>35</Paragraphs>
  <TotalTime>2</TotalTime>
  <ScaleCrop>false</ScaleCrop>
  <LinksUpToDate>false</LinksUpToDate>
  <CharactersWithSpaces>17842</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2024-01-03T07:43:40Z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AD0F29E1C58A4D518A7347D2724A22CB</vt:lpwstr>
  </property>
</Properties>
</file>