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14:shadow w14:blurRad="60007" w14:dist="200025" w14:dir="15000000" w14:sx="100000" w14:sy="30000" w14:kx="-1800000" w14:ky="0" w14:algn="bl">
            <w14:srgbClr w14:val="000000">
              <w14:alpha w14:val="68000"/>
            </w14:srgbClr>
          </w14:shadow>
        </w:rPr>
      </w:pPr>
    </w:p>
    <w:p>
      <w:pPr>
        <w:widowControl/>
        <w:jc w:val="center"/>
        <w:rPr>
          <w:rFonts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pPr>
      <w:r>
        <w:rPr>
          <w:rFonts w:hint="eastAsia" w:hAnsi="宋体" w:asciiTheme="minorEastAsia" w:eastAsiaTheme="minorEastAsia"/>
          <w:color w:val="002060"/>
          <w:sz w:val="84"/>
          <w:szCs w:val="84"/>
          <w14:textOutline w14:w="5270" w14:cap="flat" w14:cmpd="sng" w14:algn="ctr">
            <w14:solidFill>
              <w14:srgbClr w14:val="7D7D7D">
                <w14:tint w14:val="100000"/>
                <w14:shade w14:val="100000"/>
                <w14:satMod w14:val="110000"/>
              </w14:srgbClr>
            </w14:solidFill>
            <w14:prstDash w14:val="solid"/>
            <w14:round/>
          </w14:textOutline>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石家庄市</w:t>
      </w:r>
      <w:r>
        <w:rPr>
          <w:rFonts w:hint="eastAsia" w:ascii="宋体" w:hAnsi="宋体"/>
          <w:b/>
          <w:sz w:val="44"/>
          <w:szCs w:val="44"/>
          <w:lang w:eastAsia="zh-CN"/>
        </w:rPr>
        <w:t>无极县委组织部</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highlight w:val="none"/>
        </w:rPr>
      </w:pPr>
      <w:r>
        <w:rPr>
          <w:rFonts w:eastAsia="黑体"/>
          <w:sz w:val="32"/>
          <w:szCs w:val="32"/>
        </w:rPr>
        <w:t xml:space="preserve">第一部分   </w:t>
      </w:r>
      <w:r>
        <w:rPr>
          <w:rFonts w:hint="eastAsia" w:eastAsia="黑体"/>
          <w:sz w:val="32"/>
          <w:szCs w:val="32"/>
          <w:lang w:eastAsia="zh-CN"/>
        </w:rPr>
        <w:t>无极县委组织部</w:t>
      </w:r>
      <w:r>
        <w:rPr>
          <w:rFonts w:eastAsia="黑体"/>
          <w:sz w:val="32"/>
          <w:szCs w:val="32"/>
        </w:rPr>
        <w:t>概况</w:t>
      </w:r>
      <w:r>
        <w:rPr>
          <w:rFonts w:eastAsia="仿宋_GB2312"/>
          <w:color w:val="auto"/>
          <w:sz w:val="24"/>
          <w:szCs w:val="32"/>
          <w:highlight w:val="none"/>
        </w:rPr>
        <w:t>（</w:t>
      </w:r>
      <w:r>
        <w:rPr>
          <w:rFonts w:hint="eastAsia" w:eastAsia="仿宋_GB2312"/>
          <w:color w:val="auto"/>
          <w:sz w:val="24"/>
          <w:szCs w:val="32"/>
          <w:highlight w:val="none"/>
        </w:rPr>
        <w:t>提示：</w:t>
      </w:r>
      <w:r>
        <w:rPr>
          <w:rFonts w:eastAsia="仿宋_GB2312"/>
          <w:color w:val="auto"/>
          <w:sz w:val="24"/>
          <w:szCs w:val="32"/>
          <w:highlight w:val="none"/>
        </w:rPr>
        <w:t>参照预算公开体例）</w:t>
      </w:r>
      <w:r>
        <w:rPr>
          <w:rFonts w:hint="eastAsia" w:eastAsia="仿宋_GB2312"/>
          <w:color w:val="auto"/>
          <w:sz w:val="24"/>
          <w:szCs w:val="32"/>
          <w:highlight w:val="none"/>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lang w:eastAsia="zh-CN"/>
        </w:rPr>
        <w:t>无极县委组织部</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无极县委组织部</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 xml:space="preserve">第一部分 </w:t>
      </w:r>
      <w:r>
        <w:rPr>
          <w:rFonts w:hint="eastAsia" w:ascii="宋体" w:hAnsi="宋体" w:cs="ArialUnicodeMS"/>
          <w:color w:val="000000"/>
          <w:kern w:val="0"/>
          <w:lang w:eastAsia="zh-CN"/>
        </w:rPr>
        <w:t>无极县委组织部</w:t>
      </w:r>
      <w:r>
        <w:rPr>
          <w:rFonts w:hint="eastAsia" w:ascii="宋体" w:hAnsi="宋体" w:cs="ArialUnicodeMS"/>
          <w:color w:val="000000"/>
          <w:kern w:val="0"/>
        </w:rPr>
        <w:t>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sz w:val="32"/>
          <w:lang w:eastAsia="zh-CN"/>
        </w:rPr>
        <w:t>组织部是</w:t>
      </w:r>
      <w:r>
        <w:rPr>
          <w:rFonts w:hint="eastAsia" w:ascii="仿宋_GB2312" w:hAnsi="仿宋_GB2312" w:eastAsia="仿宋_GB2312" w:cs="仿宋_GB2312"/>
          <w:sz w:val="32"/>
        </w:rPr>
        <w:t>县委</w:t>
      </w:r>
      <w:r>
        <w:rPr>
          <w:rFonts w:hint="eastAsia" w:ascii="仿宋_GB2312" w:hAnsi="仿宋_GB2312" w:eastAsia="仿宋_GB2312" w:cs="仿宋_GB2312"/>
          <w:sz w:val="32"/>
          <w:lang w:eastAsia="zh-CN"/>
        </w:rPr>
        <w:t>分管党</w:t>
      </w:r>
      <w:r>
        <w:rPr>
          <w:rFonts w:hint="eastAsia" w:ascii="仿宋_GB2312" w:hAnsi="仿宋_GB2312" w:eastAsia="仿宋_GB2312" w:cs="仿宋_GB2312"/>
          <w:sz w:val="32"/>
        </w:rPr>
        <w:t>的</w:t>
      </w:r>
      <w:r>
        <w:rPr>
          <w:rFonts w:hint="eastAsia" w:ascii="仿宋_GB2312" w:hAnsi="仿宋_GB2312" w:eastAsia="仿宋_GB2312" w:cs="仿宋_GB2312"/>
          <w:sz w:val="32"/>
          <w:lang w:eastAsia="zh-CN"/>
        </w:rPr>
        <w:t>组织工作的职能部门</w:t>
      </w:r>
      <w:r>
        <w:rPr>
          <w:rFonts w:hint="eastAsia" w:ascii="仿宋_GB2312" w:hAnsi="仿宋_GB2312" w:eastAsia="仿宋_GB2312" w:cs="仿宋_GB2312"/>
          <w:sz w:val="32"/>
        </w:rPr>
        <w:t>。主要职能是：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根据党的组织工作方面的指示、决议，制定贯彻执行党的组织路线、干部路线的规划及措施</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指导全县的干部人事工作和党员队伍建设及基层党组织的思想作风建设</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做好干部培训、知识分子和干审工作</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、对全县乡镇、县直单位领导班子及领导班子成员的实绩考核工作。</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2017年度，纳入本部门决算汇编范围的独立核算单位</w:t>
      </w:r>
    </w:p>
    <w:p>
      <w:pPr>
        <w:autoSpaceDE w:val="0"/>
        <w:autoSpaceDN w:val="0"/>
        <w:adjustRightInd w:val="0"/>
        <w:spacing w:after="0" w:line="560" w:lineRule="exact"/>
        <w:jc w:val="lef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个，分别是</w:t>
      </w:r>
      <w:r>
        <w:rPr>
          <w:rFonts w:hint="eastAsia" w:ascii="仿宋_GB2312" w:eastAsia="仿宋_GB2312" w:cs="ArialUnicodeMS" w:hAnsiTheme="minorHAnsi"/>
          <w:kern w:val="0"/>
          <w:sz w:val="32"/>
          <w:szCs w:val="32"/>
          <w:lang w:eastAsia="zh-CN"/>
        </w:rPr>
        <w:t>无极县委组织部</w:t>
      </w:r>
      <w:r>
        <w:rPr>
          <w:rFonts w:hint="eastAsia" w:ascii="仿宋_GB2312" w:eastAsia="仿宋_GB2312" w:cs="ArialUnicodeMS" w:hAnsiTheme="minorHAnsi"/>
          <w:kern w:val="0"/>
          <w:sz w:val="32"/>
          <w:szCs w:val="32"/>
        </w:rPr>
        <w:t>，单位基本性质为</w:t>
      </w:r>
      <w:r>
        <w:rPr>
          <w:rFonts w:hint="eastAsia" w:ascii="仿宋_GB2312" w:eastAsia="仿宋_GB2312" w:cs="ArialUnicodeMS" w:hAnsiTheme="minorHAnsi"/>
          <w:kern w:val="0"/>
          <w:sz w:val="32"/>
          <w:szCs w:val="32"/>
          <w:lang w:eastAsia="zh-CN"/>
        </w:rPr>
        <w:t>行政</w:t>
      </w:r>
      <w:r>
        <w:rPr>
          <w:rFonts w:hint="eastAsia" w:ascii="仿宋_GB2312" w:eastAsia="仿宋_GB2312" w:cs="ArialUnicodeMS" w:hAnsiTheme="minorHAnsi"/>
          <w:kern w:val="0"/>
          <w:sz w:val="32"/>
          <w:szCs w:val="32"/>
        </w:rPr>
        <w:t>单位，预算管理级次为</w:t>
      </w:r>
      <w:r>
        <w:rPr>
          <w:rFonts w:hint="eastAsia" w:ascii="仿宋_GB2312" w:eastAsia="仿宋_GB2312" w:cs="ArialUnicodeMS" w:hAnsiTheme="minorHAnsi"/>
          <w:kern w:val="0"/>
          <w:sz w:val="32"/>
          <w:szCs w:val="32"/>
          <w:lang w:eastAsia="zh-CN"/>
        </w:rPr>
        <w:t>正科</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hAnsiTheme="minorHAnsi"/>
          <w:kern w:val="0"/>
          <w:sz w:val="32"/>
          <w:szCs w:val="32"/>
          <w:lang w:eastAsia="zh-CN"/>
        </w:rPr>
        <w:t>行政</w:t>
      </w:r>
      <w:r>
        <w:rPr>
          <w:rFonts w:hint="eastAsia" w:ascii="仿宋_GB2312" w:eastAsia="仿宋_GB2312" w:cs="ArialUnicodeMS" w:hAnsiTheme="minorHAnsi"/>
          <w:kern w:val="0"/>
          <w:sz w:val="32"/>
          <w:szCs w:val="32"/>
        </w:rPr>
        <w:t>单位会计制度。</w:t>
      </w:r>
    </w:p>
    <w:p>
      <w:pPr>
        <w:spacing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after="0" w:line="560" w:lineRule="exact"/>
        <w:ind w:firstLine="562" w:firstLineChars="200"/>
        <w:rPr>
          <w:rFonts w:ascii="仿宋_GB2312" w:hAnsi="宋体" w:eastAsia="仿宋_GB2312"/>
          <w:b/>
          <w:color w:val="auto"/>
          <w:sz w:val="28"/>
          <w:szCs w:val="28"/>
          <w:highlight w:val="none"/>
          <w:shd w:val="clear" w:color="auto" w:fill="auto"/>
        </w:rPr>
      </w:pPr>
      <w:r>
        <w:rPr>
          <w:rFonts w:hint="eastAsia" w:ascii="仿宋_GB2312" w:hAnsi="宋体" w:eastAsia="仿宋_GB2312"/>
          <w:b/>
          <w:color w:val="auto"/>
          <w:sz w:val="28"/>
          <w:szCs w:val="28"/>
          <w:highlight w:val="none"/>
          <w:shd w:val="clear" w:color="auto" w:fill="auto"/>
        </w:rPr>
        <w:t>（提示：</w:t>
      </w:r>
    </w:p>
    <w:p>
      <w:pPr>
        <w:widowControl/>
        <w:spacing w:after="0" w:line="560" w:lineRule="exact"/>
        <w:ind w:firstLine="562" w:firstLineChars="200"/>
        <w:rPr>
          <w:rFonts w:ascii="仿宋_GB2312" w:hAnsi="宋体" w:eastAsia="仿宋_GB2312"/>
          <w:b/>
          <w:color w:val="auto"/>
          <w:sz w:val="28"/>
          <w:szCs w:val="28"/>
          <w:highlight w:val="none"/>
          <w:shd w:val="clear" w:color="auto" w:fill="auto"/>
        </w:rPr>
      </w:pPr>
      <w:r>
        <w:rPr>
          <w:rFonts w:hint="eastAsia" w:ascii="仿宋_GB2312" w:hAnsi="宋体" w:eastAsia="仿宋_GB2312"/>
          <w:b/>
          <w:color w:val="auto"/>
          <w:sz w:val="28"/>
          <w:szCs w:val="28"/>
          <w:highlight w:val="none"/>
          <w:shd w:val="clear" w:color="auto" w:fill="auto"/>
        </w:rPr>
        <w:t>1、所有10张表格均应公开列示，单位万元，保留两位小数。</w:t>
      </w:r>
    </w:p>
    <w:p>
      <w:pPr>
        <w:widowControl/>
        <w:spacing w:after="0" w:line="560" w:lineRule="exact"/>
        <w:ind w:left="973" w:leftChars="268" w:hanging="410" w:hangingChars="146"/>
        <w:rPr>
          <w:rFonts w:ascii="仿宋_GB2312" w:hAnsi="宋体" w:eastAsia="仿宋_GB2312"/>
          <w:b/>
          <w:color w:val="auto"/>
          <w:sz w:val="28"/>
          <w:szCs w:val="28"/>
          <w:highlight w:val="none"/>
          <w:shd w:val="clear" w:color="auto" w:fill="auto"/>
        </w:rPr>
      </w:pPr>
      <w:r>
        <w:rPr>
          <w:rFonts w:hint="eastAsia" w:ascii="仿宋_GB2312" w:hAnsi="宋体" w:eastAsia="仿宋_GB2312"/>
          <w:b/>
          <w:color w:val="auto"/>
          <w:sz w:val="28"/>
          <w:szCs w:val="28"/>
          <w:highlight w:val="none"/>
          <w:shd w:val="clear" w:color="auto" w:fill="auto"/>
        </w:rPr>
        <w:t>2、如遇空表，表下方需明确标注“本部门本年度无相关收入（或支出、收支及结转结余等）情况，按要求空表列示。”字样。</w:t>
      </w:r>
    </w:p>
    <w:p>
      <w:pPr>
        <w:widowControl/>
        <w:spacing w:after="0" w:line="560" w:lineRule="exact"/>
        <w:ind w:firstLine="562" w:firstLineChars="200"/>
        <w:rPr>
          <w:rFonts w:ascii="仿宋_GB2312" w:hAnsi="宋体" w:eastAsia="仿宋_GB2312"/>
          <w:b/>
          <w:color w:val="auto"/>
          <w:sz w:val="28"/>
          <w:szCs w:val="28"/>
          <w:highlight w:val="none"/>
          <w:shd w:val="clear" w:color="auto" w:fill="auto"/>
        </w:rPr>
      </w:pPr>
      <w:r>
        <w:rPr>
          <w:rFonts w:hint="eastAsia" w:ascii="仿宋_GB2312" w:hAnsi="宋体" w:eastAsia="仿宋_GB2312"/>
          <w:b/>
          <w:color w:val="auto"/>
          <w:sz w:val="28"/>
          <w:szCs w:val="28"/>
          <w:highlight w:val="none"/>
          <w:shd w:val="clear" w:color="auto" w:fill="auto"/>
        </w:rPr>
        <w:t>3、零值指标不列示数值0。</w:t>
      </w:r>
    </w:p>
    <w:p>
      <w:pPr>
        <w:widowControl/>
        <w:spacing w:after="0" w:line="560" w:lineRule="exact"/>
        <w:ind w:firstLine="562" w:firstLineChars="200"/>
        <w:rPr>
          <w:rFonts w:ascii="仿宋_GB2312" w:hAnsi="宋体" w:eastAsia="仿宋_GB2312"/>
          <w:b/>
          <w:color w:val="auto"/>
          <w:sz w:val="28"/>
          <w:szCs w:val="28"/>
          <w:highlight w:val="none"/>
          <w:shd w:val="clear" w:color="auto" w:fill="auto"/>
        </w:rPr>
      </w:pPr>
      <w:r>
        <w:rPr>
          <w:rFonts w:hint="eastAsia" w:ascii="仿宋_GB2312" w:hAnsi="宋体" w:eastAsia="仿宋_GB2312"/>
          <w:b/>
          <w:color w:val="auto"/>
          <w:sz w:val="28"/>
          <w:szCs w:val="28"/>
          <w:highlight w:val="none"/>
          <w:shd w:val="clear" w:color="auto" w:fill="auto"/>
        </w:rPr>
        <w:t>4、支出功能分类细化到项级，经济分类细化到款级。</w:t>
      </w:r>
    </w:p>
    <w:p>
      <w:pPr>
        <w:widowControl/>
        <w:spacing w:after="0" w:line="560" w:lineRule="exact"/>
        <w:ind w:firstLine="562" w:firstLineChars="200"/>
        <w:jc w:val="left"/>
        <w:rPr>
          <w:rFonts w:cs="MS-UIGothic,Bold" w:asciiTheme="majorEastAsia" w:hAnsiTheme="majorEastAsia" w:eastAsiaTheme="majorEastAsia"/>
          <w:b/>
          <w:bCs/>
          <w:color w:val="auto"/>
          <w:kern w:val="0"/>
          <w:sz w:val="44"/>
          <w:szCs w:val="44"/>
          <w:highlight w:val="none"/>
          <w:shd w:val="clear" w:color="auto" w:fill="auto"/>
        </w:rPr>
        <w:sectPr>
          <w:pgSz w:w="16838" w:h="11906" w:orient="landscape"/>
          <w:pgMar w:top="1588" w:right="2098" w:bottom="1474" w:left="1985" w:header="851" w:footer="992" w:gutter="0"/>
          <w:cols w:space="425" w:num="1"/>
          <w:docGrid w:type="lines" w:linePitch="312" w:charSpace="0"/>
        </w:sectPr>
      </w:pPr>
      <w:r>
        <w:rPr>
          <w:rFonts w:hint="eastAsia" w:ascii="仿宋_GB2312" w:eastAsia="仿宋_GB2312" w:hAnsiTheme="majorEastAsia"/>
          <w:b/>
          <w:color w:val="auto"/>
          <w:sz w:val="28"/>
          <w:szCs w:val="28"/>
          <w:highlight w:val="none"/>
          <w:shd w:val="clear" w:color="auto" w:fill="auto"/>
        </w:rPr>
        <w:t>5、涉密单位具体公开规定参见文件。</w:t>
      </w:r>
      <w:r>
        <w:rPr>
          <w:rFonts w:hint="eastAsia" w:cs="MS-UIGothic,Bold" w:asciiTheme="majorEastAsia" w:hAnsiTheme="majorEastAsia" w:eastAsiaTheme="majorEastAsia"/>
          <w:b/>
          <w:bCs/>
          <w:color w:val="auto"/>
          <w:kern w:val="0"/>
          <w:sz w:val="44"/>
          <w:szCs w:val="44"/>
          <w:highlight w:val="none"/>
          <w:shd w:val="clear" w:color="auto" w:fill="auto"/>
        </w:rPr>
        <w:t>）</w:t>
      </w: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w:t>
      </w:r>
      <w:r>
        <w:rPr>
          <w:rFonts w:cs="ArialUnicodeMS" w:asciiTheme="majorEastAsia" w:hAnsiTheme="majorEastAsia" w:eastAsiaTheme="majorEastAsia"/>
          <w:color w:val="000000"/>
          <w:kern w:val="0"/>
        </w:rPr>
        <w:t xml:space="preserve"> </w:t>
      </w:r>
      <w:r>
        <w:rPr>
          <w:rFonts w:hint="eastAsia" w:cs="ArialUnicodeMS" w:asciiTheme="majorEastAsia" w:hAnsiTheme="majorEastAsia" w:eastAsiaTheme="majorEastAsia"/>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ind w:firstLine="640"/>
        <w:rPr>
          <w:rFonts w:hint="eastAsia" w:ascii="仿宋_GB2312" w:eastAsia="仿宋_GB2312" w:cs="DengXian-Regular"/>
          <w:sz w:val="32"/>
          <w:szCs w:val="32"/>
        </w:rPr>
      </w:pPr>
      <w:r>
        <w:rPr>
          <w:rFonts w:hint="eastAsia" w:ascii="仿宋_GB2312" w:eastAsia="仿宋_GB2312" w:cs="DengXian-Regular"/>
          <w:sz w:val="32"/>
          <w:szCs w:val="32"/>
        </w:rPr>
        <w:t>本部门2017年度年初结转和结余</w:t>
      </w:r>
      <w:r>
        <w:rPr>
          <w:rFonts w:hint="eastAsia" w:ascii="仿宋_GB2312" w:eastAsia="仿宋_GB2312" w:cs="DengXian-Regular"/>
          <w:sz w:val="32"/>
          <w:szCs w:val="32"/>
          <w:lang w:val="en-US" w:eastAsia="zh-CN"/>
        </w:rPr>
        <w:t>10.04</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616.23</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550.7</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75.57</w:t>
      </w:r>
      <w:r>
        <w:rPr>
          <w:rFonts w:hint="eastAsia" w:ascii="仿宋_GB2312" w:eastAsia="仿宋_GB2312" w:cs="DengXian-Regular"/>
          <w:sz w:val="32"/>
          <w:szCs w:val="32"/>
        </w:rPr>
        <w:t>万元。与2016年度决算相比，</w:t>
      </w:r>
      <w:r>
        <w:rPr>
          <w:rFonts w:hint="eastAsia" w:ascii="仿宋_GB2312" w:eastAsia="仿宋_GB2312" w:cs="DengXian-Regular"/>
          <w:sz w:val="32"/>
          <w:szCs w:val="32"/>
          <w:lang w:eastAsia="zh-CN"/>
        </w:rPr>
        <w:t>收入</w:t>
      </w:r>
      <w:r>
        <w:rPr>
          <w:rFonts w:hint="eastAsia" w:ascii="仿宋_GB2312" w:eastAsia="仿宋_GB2312" w:cs="DengXian-Regular"/>
          <w:sz w:val="32"/>
          <w:szCs w:val="32"/>
        </w:rPr>
        <w:t>比2016年增加95.13万元，上升18.25%。主要原因是：经费增加。2017年财政拨款决算支出550.7万元，与年初批复的预算数相比，增加88.16万元。主要原因是:人员工资调整变化；干部考核奖励经费和</w:t>
      </w:r>
      <w:r>
        <w:rPr>
          <w:rFonts w:hint="eastAsia" w:ascii="仿宋_GB2312" w:eastAsia="仿宋_GB2312" w:cs="DengXian-Regular"/>
          <w:sz w:val="32"/>
          <w:szCs w:val="32"/>
          <w:lang w:eastAsia="zh-CN"/>
        </w:rPr>
        <w:t>“</w:t>
      </w:r>
      <w:bookmarkStart w:id="0" w:name="_GoBack"/>
      <w:bookmarkEnd w:id="0"/>
      <w:r>
        <w:rPr>
          <w:rFonts w:hint="eastAsia" w:ascii="仿宋_GB2312" w:eastAsia="仿宋_GB2312" w:cs="DengXian-Regular"/>
          <w:sz w:val="32"/>
          <w:szCs w:val="32"/>
        </w:rPr>
        <w:t>两学一做</w:t>
      </w:r>
      <w:r>
        <w:rPr>
          <w:rFonts w:hint="default" w:ascii="仿宋_GB2312" w:eastAsia="仿宋_GB2312" w:cs="DengXian-Regular"/>
          <w:sz w:val="32"/>
          <w:szCs w:val="32"/>
          <w:lang w:val="en-US" w:eastAsia="zh-CN"/>
        </w:rPr>
        <w:t>”</w:t>
      </w:r>
      <w:r>
        <w:rPr>
          <w:rFonts w:hint="eastAsia" w:ascii="仿宋_GB2312" w:eastAsia="仿宋_GB2312" w:cs="DengXian-Regular"/>
          <w:sz w:val="32"/>
          <w:szCs w:val="32"/>
        </w:rPr>
        <w:t>学习教育经费增加等。</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w:t>
      </w:r>
      <w:r>
        <w:rPr>
          <w:rFonts w:hint="eastAsia" w:ascii="仿宋_GB2312" w:eastAsia="仿宋_GB2312" w:cs="DengXian-Regular"/>
          <w:sz w:val="32"/>
          <w:szCs w:val="32"/>
          <w:lang w:val="en-US" w:eastAsia="zh-CN"/>
        </w:rPr>
        <w:t>626.27</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626.27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after="0" w:line="240" w:lineRule="auto"/>
        <w:ind w:firstLine="0" w:firstLineChars="0"/>
        <w:rPr>
          <w:rFonts w:ascii="仿宋_GB2312" w:eastAsia="仿宋_GB2312" w:cs="DengXian-Regular"/>
          <w:sz w:val="32"/>
          <w:szCs w:val="32"/>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w:t>
      </w:r>
      <w:r>
        <w:rPr>
          <w:rFonts w:hint="eastAsia" w:ascii="仿宋_GB2312" w:eastAsia="仿宋_GB2312" w:cs="DengXian-Regular"/>
          <w:sz w:val="32"/>
          <w:szCs w:val="32"/>
          <w:lang w:val="en-US" w:eastAsia="zh-CN"/>
        </w:rPr>
        <w:t>550.7</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550.7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line="560" w:lineRule="exact"/>
        <w:ind w:firstLine="1920" w:firstLineChars="600"/>
        <w:rPr>
          <w:rFonts w:hint="eastAsia"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eastAsia="zh-CN"/>
        </w:rPr>
      </w:pPr>
      <w:r>
        <w:drawing>
          <wp:inline distT="0" distB="0" distL="114300" distR="114300">
            <wp:extent cx="4572000" cy="2743200"/>
            <wp:effectExtent l="4445" t="4445" r="14605" b="14605"/>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ind w:firstLine="640"/>
        <w:rPr>
          <w:rFonts w:hint="eastAsia" w:ascii="仿宋_GB2312" w:hAnsi="仿宋" w:cs="仿宋"/>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w:t>
      </w:r>
      <w:r>
        <w:rPr>
          <w:rFonts w:hint="eastAsia" w:ascii="仿宋_GB2312" w:eastAsia="仿宋_GB2312" w:cs="DengXian-Regular"/>
          <w:sz w:val="32"/>
          <w:szCs w:val="32"/>
          <w:lang w:val="en-US" w:eastAsia="zh-CN"/>
        </w:rPr>
        <w:t>10.04</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616.27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550.7</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75.57</w:t>
      </w:r>
      <w:r>
        <w:rPr>
          <w:rFonts w:hint="eastAsia" w:ascii="仿宋_GB2312" w:eastAsia="仿宋_GB2312" w:cs="DengXian-Regular"/>
          <w:sz w:val="32"/>
          <w:szCs w:val="32"/>
        </w:rPr>
        <w:t>万元。与2016年度决算相比，</w:t>
      </w:r>
      <w:r>
        <w:rPr>
          <w:rFonts w:hint="eastAsia" w:ascii="仿宋_GB2312" w:eastAsia="仿宋_GB2312" w:cs="DengXian-Regular"/>
          <w:sz w:val="32"/>
          <w:szCs w:val="32"/>
          <w:lang w:eastAsia="zh-CN"/>
        </w:rPr>
        <w:t>收入</w:t>
      </w:r>
      <w:r>
        <w:rPr>
          <w:rFonts w:hint="eastAsia" w:ascii="仿宋_GB2312" w:eastAsia="仿宋_GB2312" w:cs="DengXian-Regular"/>
          <w:sz w:val="32"/>
          <w:szCs w:val="32"/>
        </w:rPr>
        <w:t>比2016年增加</w:t>
      </w:r>
      <w:r>
        <w:rPr>
          <w:rFonts w:hint="eastAsia" w:ascii="仿宋_GB2312" w:eastAsia="仿宋_GB2312" w:cs="DengXian-Regular"/>
          <w:sz w:val="32"/>
          <w:szCs w:val="32"/>
          <w:lang w:val="en-US" w:eastAsia="zh-CN"/>
        </w:rPr>
        <w:t>105.17</w:t>
      </w:r>
      <w:r>
        <w:rPr>
          <w:rFonts w:hint="eastAsia" w:ascii="仿宋_GB2312" w:eastAsia="仿宋_GB2312" w:cs="DengXian-Regular"/>
          <w:sz w:val="32"/>
          <w:szCs w:val="32"/>
        </w:rPr>
        <w:t>万元，上升</w:t>
      </w:r>
      <w:r>
        <w:rPr>
          <w:rFonts w:hint="eastAsia" w:ascii="仿宋_GB2312" w:eastAsia="仿宋_GB2312" w:cs="DengXian-Regular"/>
          <w:sz w:val="32"/>
          <w:szCs w:val="32"/>
          <w:lang w:val="en-US" w:eastAsia="zh-CN"/>
        </w:rPr>
        <w:t>20.18</w:t>
      </w:r>
      <w:r>
        <w:rPr>
          <w:rFonts w:hint="eastAsia" w:ascii="仿宋_GB2312" w:eastAsia="仿宋_GB2312" w:cs="DengXian-Regular"/>
          <w:sz w:val="32"/>
          <w:szCs w:val="32"/>
        </w:rPr>
        <w:t>%。主要原因是：经费增加。2017年财政拨款决算支出550.7万元，与年初批复的预算数相比，增加88.16万元。主要原因是:人员工资调整变化；干部考核奖励经费和</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两学一做</w:t>
      </w:r>
      <w:r>
        <w:rPr>
          <w:rFonts w:hint="eastAsia" w:ascii="仿宋_GB2312" w:eastAsia="仿宋_GB2312" w:cs="DengXian-Regular"/>
          <w:sz w:val="32"/>
          <w:szCs w:val="32"/>
          <w:lang w:eastAsia="zh-CN"/>
        </w:rPr>
        <w:t>”</w:t>
      </w:r>
      <w:r>
        <w:rPr>
          <w:rFonts w:hint="eastAsia" w:ascii="仿宋_GB2312" w:eastAsia="仿宋_GB2312" w:cs="DengXian-Regular"/>
          <w:sz w:val="32"/>
          <w:szCs w:val="32"/>
        </w:rPr>
        <w:t>学习教育经费增加等。</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w:t>
      </w:r>
      <w:r>
        <w:rPr>
          <w:rFonts w:hint="eastAsia" w:ascii="仿宋_GB2312" w:eastAsia="仿宋_GB2312" w:cs="DengXian-Regular"/>
          <w:sz w:val="32"/>
          <w:szCs w:val="32"/>
          <w:lang w:val="en-US" w:eastAsia="zh-CN"/>
        </w:rPr>
        <w:t>153.69</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33</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专项经费增加</w:t>
      </w:r>
      <w:r>
        <w:rPr>
          <w:rFonts w:hint="eastAsia" w:ascii="仿宋_GB2312" w:eastAsia="仿宋_GB2312" w:cs="DengXian-Regular"/>
          <w:sz w:val="32"/>
          <w:szCs w:val="32"/>
        </w:rPr>
        <w:t>；本年支出增加88.16万元；增长</w:t>
      </w:r>
      <w:r>
        <w:rPr>
          <w:rFonts w:hint="eastAsia" w:ascii="仿宋_GB2312" w:eastAsia="仿宋_GB2312" w:cs="DengXian-Regular"/>
          <w:sz w:val="32"/>
          <w:szCs w:val="32"/>
          <w:lang w:val="en-US" w:eastAsia="zh-CN"/>
        </w:rPr>
        <w:t>19</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主要原因是:人员工资调整变化</w:t>
      </w:r>
      <w:r>
        <w:rPr>
          <w:rFonts w:hint="eastAsia" w:ascii="仿宋_GB2312" w:eastAsia="仿宋_GB2312" w:cs="DengXian-Regular"/>
          <w:sz w:val="32"/>
          <w:szCs w:val="32"/>
          <w:lang w:eastAsia="zh-CN"/>
        </w:rPr>
        <w:t>，</w:t>
      </w:r>
      <w:r>
        <w:rPr>
          <w:rFonts w:hint="eastAsia" w:ascii="仿宋_GB2312" w:eastAsia="仿宋_GB2312" w:cs="DengXian-Regular"/>
          <w:sz w:val="32"/>
          <w:szCs w:val="32"/>
        </w:rPr>
        <w:t>干部考核奖励经费和</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两学一做</w:t>
      </w:r>
      <w:r>
        <w:rPr>
          <w:rFonts w:hint="eastAsia" w:ascii="仿宋_GB2312" w:eastAsia="仿宋_GB2312" w:cs="DengXian-Regular"/>
          <w:sz w:val="32"/>
          <w:szCs w:val="32"/>
          <w:lang w:eastAsia="zh-CN"/>
        </w:rPr>
        <w:t>”</w:t>
      </w:r>
      <w:r>
        <w:rPr>
          <w:rFonts w:hint="eastAsia" w:ascii="仿宋_GB2312" w:eastAsia="仿宋_GB2312" w:cs="DengXian-Regular"/>
          <w:sz w:val="32"/>
          <w:szCs w:val="32"/>
        </w:rPr>
        <w:t>学习教育经费增加等。</w:t>
      </w:r>
    </w:p>
    <w:p>
      <w:pPr>
        <w:adjustRightInd w:val="0"/>
        <w:snapToGrid w:val="0"/>
        <w:spacing w:after="0" w:line="560" w:lineRule="exact"/>
        <w:ind w:firstLine="640" w:firstLineChars="200"/>
        <w:rPr>
          <w:rFonts w:hint="eastAsia"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1.3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33</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减少公务接待，节约开支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3.33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52</w:t>
      </w:r>
      <w:r>
        <w:rPr>
          <w:rFonts w:hint="eastAsia" w:ascii="仿宋_GB2312" w:eastAsia="仿宋_GB2312" w:cs="DengXian-Regular"/>
          <w:sz w:val="32"/>
          <w:szCs w:val="32"/>
        </w:rPr>
        <w:t>%，主要是公务用车运行维护减少。具体情况如下：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3.33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52</w:t>
      </w:r>
      <w:r>
        <w:rPr>
          <w:rFonts w:hint="eastAsia" w:ascii="仿宋_GB2312" w:eastAsia="仿宋_GB2312" w:cs="DengXian-Regular"/>
          <w:sz w:val="32"/>
          <w:szCs w:val="32"/>
        </w:rPr>
        <w:t>%,主要是公务用车运行维护减少。</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eastAsia="zh-CN"/>
        </w:rPr>
        <w:t>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3.33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52</w:t>
      </w:r>
      <w:r>
        <w:rPr>
          <w:rFonts w:hint="eastAsia" w:ascii="仿宋_GB2312" w:eastAsia="仿宋_GB2312" w:cs="DengXian-Regular"/>
          <w:sz w:val="32"/>
          <w:szCs w:val="32"/>
        </w:rPr>
        <w:t>%,主要是公务用车运行维护减少。</w:t>
      </w:r>
    </w:p>
    <w:p>
      <w:pPr>
        <w:adjustRightInd w:val="0"/>
        <w:snapToGrid w:val="0"/>
        <w:spacing w:after="0" w:line="56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人次。公务接待费支出较年初预算减少</w:t>
      </w:r>
      <w:r>
        <w:rPr>
          <w:rFonts w:hint="eastAsia" w:ascii="仿宋_GB2312" w:eastAsia="仿宋_GB2312" w:cs="DengXian-Regular"/>
          <w:sz w:val="32"/>
          <w:szCs w:val="32"/>
          <w:lang w:val="en-US" w:eastAsia="zh-CN"/>
        </w:rPr>
        <w:t>1.3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%,主要是减少公务接待，节约开支；较2016年度决算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1"/>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hint="eastAsia" w:ascii="楷体_GB2312" w:hAnsi="Times New Roman" w:eastAsia="楷体_GB2312" w:cs="DengXian-Bold"/>
          <w:b/>
          <w:bCs/>
          <w:kern w:val="2"/>
          <w:sz w:val="32"/>
          <w:szCs w:val="32"/>
          <w:lang w:val="en-US" w:eastAsia="zh-CN" w:bidi="ar-SA"/>
        </w:rPr>
      </w:pPr>
      <w:r>
        <w:rPr>
          <w:rFonts w:hint="eastAsia" w:ascii="仿宋_GB2312" w:eastAsia="仿宋_GB2312" w:cs="DengXian-Regular"/>
          <w:sz w:val="32"/>
          <w:szCs w:val="32"/>
        </w:rPr>
        <w:t>本部门2017年度机关运行经费支出</w:t>
      </w:r>
      <w:r>
        <w:rPr>
          <w:rFonts w:hint="eastAsia" w:ascii="仿宋_GB2312" w:eastAsia="仿宋_GB2312" w:cs="DengXian-Regular"/>
          <w:sz w:val="32"/>
          <w:szCs w:val="32"/>
          <w:lang w:val="en-US" w:eastAsia="zh-CN"/>
        </w:rPr>
        <w:t>245.03</w:t>
      </w:r>
      <w:r>
        <w:rPr>
          <w:rFonts w:hint="eastAsia" w:ascii="仿宋_GB2312" w:eastAsia="仿宋_GB2312" w:cs="DengXian-Regular"/>
          <w:sz w:val="32"/>
          <w:szCs w:val="32"/>
        </w:rPr>
        <w:t>万元，比2016年度增加</w:t>
      </w:r>
      <w:r>
        <w:rPr>
          <w:rFonts w:hint="eastAsia" w:ascii="仿宋_GB2312" w:eastAsia="仿宋_GB2312" w:cs="DengXian-Regular"/>
          <w:sz w:val="32"/>
          <w:szCs w:val="32"/>
          <w:lang w:val="en-US" w:eastAsia="zh-CN"/>
        </w:rPr>
        <w:t>196.47</w:t>
      </w:r>
      <w:r>
        <w:rPr>
          <w:rFonts w:hint="eastAsia" w:ascii="仿宋_GB2312" w:eastAsia="仿宋_GB2312" w:cs="DengXian-Regular"/>
          <w:sz w:val="32"/>
          <w:szCs w:val="32"/>
        </w:rPr>
        <w:t>万元，上升400%。主要原因：专项经费增加。</w:t>
      </w:r>
      <w:r>
        <w:rPr>
          <w:rFonts w:hint="eastAsia" w:ascii="仿宋_GB2312" w:eastAsia="仿宋_GB2312" w:cs="DengXian-Regular"/>
          <w:sz w:val="32"/>
          <w:szCs w:val="32"/>
          <w:lang w:val="en-US" w:eastAsia="zh-CN"/>
        </w:rPr>
        <w:t xml:space="preserve">      </w:t>
      </w:r>
      <w:r>
        <w:rPr>
          <w:rFonts w:hint="eastAsia" w:ascii="楷体_GB2312" w:hAnsi="Times New Roman" w:eastAsia="楷体_GB2312" w:cs="DengXian-Bold"/>
          <w:b/>
          <w:bCs/>
          <w:kern w:val="2"/>
          <w:sz w:val="32"/>
          <w:szCs w:val="32"/>
          <w:lang w:val="en-US" w:eastAsia="zh-CN" w:bidi="ar-SA"/>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万元，其中：政府采购货物支出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万元、政府采购工程支出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万元、政府采购服务支出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辆，其中，市级领导干部用车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1、本部门2017年度国有资本经营预算财政拨款无收支及结转结余情况，故国有资本经营预算财政拨款收入支出决算表以空表列示。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w:t>
      </w:r>
      <w:r>
        <w:rPr>
          <w:rFonts w:hint="eastAsia" w:cs="SimSun,Bold" w:asciiTheme="majorEastAsia" w:hAnsiTheme="majorEastAsia" w:eastAsiaTheme="majorEastAsia"/>
          <w:bCs w:val="0"/>
        </w:rPr>
        <w:t xml:space="preserve"> </w:t>
      </w:r>
      <w:r>
        <w:rPr>
          <w:rFonts w:hint="eastAsia" w:cs="SimSun,Bold" w:asciiTheme="majorEastAsia" w:hAnsiTheme="majorEastAsia" w:eastAsiaTheme="majorEastAsia"/>
        </w:rPr>
        <w:t>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panose1 w:val="02010609030101010101"/>
    <w:charset w:val="86"/>
    <w:family w:val="modern"/>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E2F81"/>
    <w:rsid w:val="00152FB8"/>
    <w:rsid w:val="001B3410"/>
    <w:rsid w:val="001C030D"/>
    <w:rsid w:val="002C04C4"/>
    <w:rsid w:val="002D08B0"/>
    <w:rsid w:val="00341C8F"/>
    <w:rsid w:val="00391D9D"/>
    <w:rsid w:val="003B6C51"/>
    <w:rsid w:val="003C1413"/>
    <w:rsid w:val="003C549F"/>
    <w:rsid w:val="003D5A16"/>
    <w:rsid w:val="005F4B66"/>
    <w:rsid w:val="00641318"/>
    <w:rsid w:val="0070664B"/>
    <w:rsid w:val="007071B8"/>
    <w:rsid w:val="007414DE"/>
    <w:rsid w:val="007905A9"/>
    <w:rsid w:val="007E5500"/>
    <w:rsid w:val="00840A97"/>
    <w:rsid w:val="008C0149"/>
    <w:rsid w:val="009A1ABE"/>
    <w:rsid w:val="00A35CE0"/>
    <w:rsid w:val="00A44AA4"/>
    <w:rsid w:val="00A61623"/>
    <w:rsid w:val="00A84687"/>
    <w:rsid w:val="00AD3B6E"/>
    <w:rsid w:val="00B56722"/>
    <w:rsid w:val="00C3774E"/>
    <w:rsid w:val="00C87FAB"/>
    <w:rsid w:val="00C91FF7"/>
    <w:rsid w:val="00C94E53"/>
    <w:rsid w:val="00DB35AF"/>
    <w:rsid w:val="00DF5B88"/>
    <w:rsid w:val="00E2595E"/>
    <w:rsid w:val="00E35374"/>
    <w:rsid w:val="00E50C19"/>
    <w:rsid w:val="00E856C9"/>
    <w:rsid w:val="00EB6A8B"/>
    <w:rsid w:val="00EF38C6"/>
    <w:rsid w:val="00FE3DC8"/>
    <w:rsid w:val="0142582D"/>
    <w:rsid w:val="01900B1B"/>
    <w:rsid w:val="03A917F6"/>
    <w:rsid w:val="03D30E8D"/>
    <w:rsid w:val="05803F70"/>
    <w:rsid w:val="05BC79CC"/>
    <w:rsid w:val="065855C9"/>
    <w:rsid w:val="06DE587A"/>
    <w:rsid w:val="06F32EFF"/>
    <w:rsid w:val="09A02B2F"/>
    <w:rsid w:val="09A44395"/>
    <w:rsid w:val="09E21876"/>
    <w:rsid w:val="0A580454"/>
    <w:rsid w:val="0C013445"/>
    <w:rsid w:val="0C904779"/>
    <w:rsid w:val="0CFD460E"/>
    <w:rsid w:val="0E532A60"/>
    <w:rsid w:val="0F23673C"/>
    <w:rsid w:val="116554EA"/>
    <w:rsid w:val="118E4D59"/>
    <w:rsid w:val="12F05281"/>
    <w:rsid w:val="1447594E"/>
    <w:rsid w:val="146A4AC6"/>
    <w:rsid w:val="151526AB"/>
    <w:rsid w:val="153C2932"/>
    <w:rsid w:val="17354606"/>
    <w:rsid w:val="210A4726"/>
    <w:rsid w:val="22163B1A"/>
    <w:rsid w:val="23B642D2"/>
    <w:rsid w:val="24214C8A"/>
    <w:rsid w:val="25782C61"/>
    <w:rsid w:val="284B0129"/>
    <w:rsid w:val="289D3985"/>
    <w:rsid w:val="2936570A"/>
    <w:rsid w:val="296C073B"/>
    <w:rsid w:val="2A4C3153"/>
    <w:rsid w:val="2AB01700"/>
    <w:rsid w:val="2AE90D81"/>
    <w:rsid w:val="2B5C5CEB"/>
    <w:rsid w:val="2BCE1CA2"/>
    <w:rsid w:val="2BEF385D"/>
    <w:rsid w:val="30531DBE"/>
    <w:rsid w:val="30D44884"/>
    <w:rsid w:val="31473E67"/>
    <w:rsid w:val="338913EF"/>
    <w:rsid w:val="380273F6"/>
    <w:rsid w:val="38900A40"/>
    <w:rsid w:val="38B17CF5"/>
    <w:rsid w:val="397F450A"/>
    <w:rsid w:val="3B36138C"/>
    <w:rsid w:val="3BA042CD"/>
    <w:rsid w:val="3CC711FA"/>
    <w:rsid w:val="3FB103A7"/>
    <w:rsid w:val="3FC10E62"/>
    <w:rsid w:val="40C24DEF"/>
    <w:rsid w:val="437D33A0"/>
    <w:rsid w:val="43F3031D"/>
    <w:rsid w:val="46A77653"/>
    <w:rsid w:val="48237B5E"/>
    <w:rsid w:val="4A2C5A79"/>
    <w:rsid w:val="4B3D23C4"/>
    <w:rsid w:val="4D4E7C47"/>
    <w:rsid w:val="50F20AF0"/>
    <w:rsid w:val="510547D9"/>
    <w:rsid w:val="54F519D0"/>
    <w:rsid w:val="556D5108"/>
    <w:rsid w:val="56131389"/>
    <w:rsid w:val="567850AF"/>
    <w:rsid w:val="58CD5675"/>
    <w:rsid w:val="59BD2406"/>
    <w:rsid w:val="59D64977"/>
    <w:rsid w:val="5D1108C6"/>
    <w:rsid w:val="5D581BDB"/>
    <w:rsid w:val="5D65041D"/>
    <w:rsid w:val="61FF5BBA"/>
    <w:rsid w:val="62147ED7"/>
    <w:rsid w:val="62F575CD"/>
    <w:rsid w:val="6342208F"/>
    <w:rsid w:val="635150BA"/>
    <w:rsid w:val="641C60F6"/>
    <w:rsid w:val="646F3F86"/>
    <w:rsid w:val="64D2359E"/>
    <w:rsid w:val="65E25471"/>
    <w:rsid w:val="66A970D7"/>
    <w:rsid w:val="66B57B44"/>
    <w:rsid w:val="676E260F"/>
    <w:rsid w:val="68901FF8"/>
    <w:rsid w:val="68C84995"/>
    <w:rsid w:val="69456643"/>
    <w:rsid w:val="6D3550AB"/>
    <w:rsid w:val="6DE02728"/>
    <w:rsid w:val="6E4E6BC7"/>
    <w:rsid w:val="6F6C5728"/>
    <w:rsid w:val="6FF91186"/>
    <w:rsid w:val="706226AC"/>
    <w:rsid w:val="73E631A1"/>
    <w:rsid w:val="74667FEC"/>
    <w:rsid w:val="75C841FB"/>
    <w:rsid w:val="76A109AC"/>
    <w:rsid w:val="779A3C82"/>
    <w:rsid w:val="7B48139F"/>
    <w:rsid w:val="7BF06BAA"/>
    <w:rsid w:val="7DA66557"/>
    <w:rsid w:val="7E8603E0"/>
    <w:rsid w:val="7F796F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6">
    <w:name w:val="Balloon Text"/>
    <w:basedOn w:val="1"/>
    <w:link w:val="18"/>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2">
    <w:name w:val="Table Grid"/>
    <w:basedOn w:val="11"/>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4">
    <w:name w:val="页眉 Char"/>
    <w:basedOn w:val="13"/>
    <w:link w:val="8"/>
    <w:qFormat/>
    <w:uiPriority w:val="99"/>
    <w:rPr>
      <w:sz w:val="18"/>
      <w:szCs w:val="18"/>
    </w:rPr>
  </w:style>
  <w:style w:type="character" w:customStyle="1" w:styleId="15">
    <w:name w:val="页脚 Char"/>
    <w:basedOn w:val="13"/>
    <w:link w:val="7"/>
    <w:qFormat/>
    <w:uiPriority w:val="99"/>
    <w:rPr>
      <w:sz w:val="18"/>
      <w:szCs w:val="18"/>
    </w:rPr>
  </w:style>
  <w:style w:type="paragraph" w:customStyle="1" w:styleId="16">
    <w:name w:val="No Spacing"/>
    <w:link w:val="17"/>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17">
    <w:name w:val="无间隔 Char"/>
    <w:basedOn w:val="13"/>
    <w:link w:val="16"/>
    <w:qFormat/>
    <w:uiPriority w:val="1"/>
    <w:rPr>
      <w:kern w:val="0"/>
      <w:sz w:val="22"/>
    </w:rPr>
  </w:style>
  <w:style w:type="character" w:customStyle="1" w:styleId="18">
    <w:name w:val="批注框文本 Char"/>
    <w:basedOn w:val="13"/>
    <w:link w:val="6"/>
    <w:semiHidden/>
    <w:qFormat/>
    <w:uiPriority w:val="99"/>
    <w:rPr>
      <w:rFonts w:ascii="Times New Roman" w:hAnsi="Times New Roman" w:eastAsia="宋体" w:cs="Times New Roman"/>
      <w:sz w:val="18"/>
      <w:szCs w:val="18"/>
    </w:rPr>
  </w:style>
  <w:style w:type="character" w:customStyle="1" w:styleId="19">
    <w:name w:val="标题 Char"/>
    <w:basedOn w:val="13"/>
    <w:link w:val="10"/>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0">
    <w:name w:val="副标题 Char"/>
    <w:basedOn w:val="13"/>
    <w:link w:val="9"/>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1">
    <w:name w:val="Style1"/>
    <w:basedOn w:val="13"/>
    <w:qFormat/>
    <w:uiPriority w:val="1"/>
    <w:rPr>
      <w:rFonts w:asciiTheme="minorHAnsi" w:hAnsiTheme="minorEastAsia" w:eastAsiaTheme="minorEastAsia" w:cstheme="minorBidi"/>
      <w:sz w:val="22"/>
      <w:szCs w:val="22"/>
      <w:lang w:eastAsia="zh-CN"/>
    </w:rPr>
  </w:style>
  <w:style w:type="character" w:customStyle="1" w:styleId="22">
    <w:name w:val="Style2"/>
    <w:basedOn w:val="13"/>
    <w:qFormat/>
    <w:uiPriority w:val="1"/>
    <w:rPr>
      <w:rFonts w:asciiTheme="minorHAnsi" w:hAnsiTheme="minorEastAsia" w:eastAsiaTheme="minorEastAsia" w:cstheme="minorBidi"/>
      <w:sz w:val="22"/>
      <w:szCs w:val="22"/>
      <w:lang w:eastAsia="zh-CN"/>
    </w:rPr>
  </w:style>
  <w:style w:type="character" w:customStyle="1" w:styleId="23">
    <w:name w:val="Style3"/>
    <w:basedOn w:val="13"/>
    <w:qFormat/>
    <w:uiPriority w:val="1"/>
    <w:rPr>
      <w:rFonts w:asciiTheme="minorHAnsi" w:hAnsiTheme="minorEastAsia" w:eastAsiaTheme="minorEastAsia" w:cstheme="minorBidi"/>
      <w:szCs w:val="22"/>
      <w:lang w:eastAsia="zh-CN"/>
    </w:rPr>
  </w:style>
  <w:style w:type="character" w:customStyle="1" w:styleId="24">
    <w:name w:val="Style4"/>
    <w:basedOn w:val="13"/>
    <w:qFormat/>
    <w:uiPriority w:val="1"/>
    <w:rPr>
      <w:rFonts w:asciiTheme="minorHAnsi" w:hAnsiTheme="minorEastAsia" w:eastAsiaTheme="minorEastAsia" w:cstheme="minorBidi"/>
      <w:szCs w:val="22"/>
      <w:lang w:eastAsia="zh-CN"/>
    </w:rPr>
  </w:style>
  <w:style w:type="character" w:customStyle="1" w:styleId="25">
    <w:name w:val="Style5"/>
    <w:basedOn w:val="13"/>
    <w:qFormat/>
    <w:uiPriority w:val="1"/>
    <w:rPr>
      <w:rFonts w:asciiTheme="minorHAnsi" w:hAnsiTheme="minorEastAsia" w:eastAsiaTheme="minorEastAsia" w:cstheme="minorBidi"/>
      <w:sz w:val="22"/>
      <w:szCs w:val="22"/>
      <w:lang w:eastAsia="zh-CN"/>
    </w:rPr>
  </w:style>
  <w:style w:type="character" w:customStyle="1" w:styleId="26">
    <w:name w:val="标题 1 Char"/>
    <w:basedOn w:val="13"/>
    <w:link w:val="2"/>
    <w:qFormat/>
    <w:uiPriority w:val="9"/>
    <w:rPr>
      <w:rFonts w:ascii="Times New Roman" w:hAnsi="Times New Roman" w:eastAsia="宋体" w:cs="Times New Roman"/>
      <w:b/>
      <w:bCs/>
      <w:kern w:val="44"/>
      <w:sz w:val="44"/>
      <w:szCs w:val="44"/>
    </w:rPr>
  </w:style>
  <w:style w:type="character" w:customStyle="1" w:styleId="27">
    <w:name w:val="标题 2 Char"/>
    <w:basedOn w:val="13"/>
    <w:link w:val="3"/>
    <w:qFormat/>
    <w:uiPriority w:val="9"/>
    <w:rPr>
      <w:rFonts w:asciiTheme="majorHAnsi" w:hAnsiTheme="majorHAnsi" w:eastAsiaTheme="majorEastAsia" w:cstheme="majorBidi"/>
      <w:b/>
      <w:bCs/>
      <w:sz w:val="32"/>
      <w:szCs w:val="32"/>
    </w:rPr>
  </w:style>
  <w:style w:type="character" w:customStyle="1" w:styleId="28">
    <w:name w:val="标题 3 Char"/>
    <w:basedOn w:val="13"/>
    <w:link w:val="4"/>
    <w:qFormat/>
    <w:uiPriority w:val="9"/>
    <w:rPr>
      <w:rFonts w:ascii="Times New Roman" w:hAnsi="Times New Roman" w:eastAsia="宋体" w:cs="Times New Roman"/>
      <w:b/>
      <w:bCs/>
      <w:sz w:val="32"/>
      <w:szCs w:val="32"/>
    </w:rPr>
  </w:style>
  <w:style w:type="character" w:customStyle="1" w:styleId="29">
    <w:name w:val="标题 4 Char"/>
    <w:basedOn w:val="13"/>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20013;&#22269;&#20849;&#20135;&#20826;&#26080;&#26497;&#21439;&#22996;&#21592;&#20250;&#32452;&#32455;&#37096;2017&#20915;&#31639;.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20013;&#22269;&#20849;&#20135;&#20826;&#26080;&#26497;&#21439;&#22996;&#21592;&#20250;&#32452;&#32455;&#37096;2017&#20915;&#3163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'[中国共产党无极县委员会组织部2017决算.xls]Z03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'[中国共产党无极县委员会组织部2017决算.xls]Z03 收入决算表(公开02表)'!$F$9:$K$9</c:f>
              <c:numCache>
                <c:formatCode>#,##0.00</c:formatCode>
                <c:ptCount val="6"/>
                <c:pt idx="0">
                  <c:v>616.23</c:v>
                </c:pt>
                <c:pt idx="1">
                  <c:v>0</c:v>
                </c:pt>
                <c:pt idx="2">
                  <c:v>0</c:v>
                </c:pt>
                <c:pt idx="3">
                  <c:v>0</c:v>
                </c:pt>
                <c:pt idx="4">
                  <c:v>0</c:v>
                </c:pt>
                <c:pt idx="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'[中国共产党无极县委员会组织部2017决算.xls]Z04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'[中国共产党无极县委员会组织部2017决算.xls]Z04 支出决算表(公开03表)'!$F$9:$J$9</c:f>
              <c:numCache>
                <c:formatCode>#,##0.00</c:formatCode>
                <c:ptCount val="5"/>
                <c:pt idx="0">
                  <c:v>550.7</c:v>
                </c:pt>
                <c:pt idx="1">
                  <c:v>0</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EA7F8D78-4C9B-4DB6-B8D7-8EAC9BC94786}">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820</Words>
  <Characters>4675</Characters>
  <Lines>38</Lines>
  <Paragraphs>10</Paragraphs>
  <TotalTime>1</TotalTime>
  <ScaleCrop>false</ScaleCrop>
  <LinksUpToDate>false</LinksUpToDate>
  <CharactersWithSpaces>5485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Administrator</cp:lastModifiedBy>
  <dcterms:modified xsi:type="dcterms:W3CDTF">2024-01-03T01:34:28Z</dcterms:modified>
  <dc:subject>石家庄市xxx部门</dc:subject>
  <dc:title>2017年度部门决算</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