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-1365885</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12" cstate="print"/>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无极县委员会组织部</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_GB2312" w:hAnsi="楷体" w:eastAsia="楷体_GB2312" w:cs="楷体"/>
          <w:b/>
          <w:sz w:val="40"/>
          <w:szCs w:val="40"/>
        </w:rPr>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月十日</w:t>
      </w:r>
    </w:p>
    <w:p>
      <w:pPr>
        <w:spacing w:before="624" w:beforeLines="200" w:after="0" w:line="1000" w:lineRule="exact"/>
        <w:jc w:val="center"/>
        <w:rPr>
          <w:rFonts w:ascii="黑体" w:eastAsia="黑体"/>
          <w:sz w:val="48"/>
          <w:szCs w:val="48"/>
        </w:rPr>
      </w:pP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组织部</w:t>
      </w:r>
      <w:r>
        <w:rPr>
          <w:rFonts w:eastAsia="黑体"/>
          <w:sz w:val="32"/>
          <w:szCs w:val="32"/>
        </w:rPr>
        <w:t>部门201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13" cstate="print"/>
                    <a:stretch>
                      <a:fillRect/>
                    </a:stretch>
                  </pic:blipFill>
                  <pic:spPr>
                    <a:xfrm>
                      <a:off x="0" y="0"/>
                      <a:ext cx="7585710" cy="10727055"/>
                    </a:xfrm>
                    <a:prstGeom prst="rect">
                      <a:avLst/>
                    </a:prstGeom>
                  </pic:spPr>
                </pic:pic>
              </a:graphicData>
            </a:graphic>
          </wp:anchor>
        </w:drawing>
      </w:r>
      <w:r>
        <w:rPr>
          <w:sz w:val="72"/>
        </w:rPr>
        <w:pict>
          <v:shape id="_x0000_s1045" o:spid="_x0000_s1045" o:spt="202" type="#_x0000_t202" style="position:absolute;left:0pt;margin-left:-97.3pt;margin-top:259.1pt;height:81.7pt;width:613.65pt;z-index:251669504;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pPr>
        <w:spacing w:after="0" w:line="58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承担县委党的建设（基层组织建设）工作领导小组办公室工作职责。围绕党的重大理论和实践问题调查研究，提出加强全县党的建设的建议；负责党的建设制度改革的宏观指导，研究党的组织工作、干部工作、人才工作的贯彻落实措施，制定或参与制定全县性重要政策和制度；负责“县委基层组织建设联</w:t>
      </w:r>
      <w:r>
        <w:rPr>
          <w:rFonts w:hint="eastAsia" w:ascii="仿宋_GB2312" w:hAnsi="仿宋_GB2312" w:eastAsia="仿宋_GB2312" w:cs="仿宋_GB2312"/>
          <w:color w:val="000000"/>
          <w:sz w:val="32"/>
          <w:szCs w:val="32"/>
          <w:lang w:eastAsia="zh-CN"/>
        </w:rPr>
        <w:t>席</w:t>
      </w:r>
      <w:r>
        <w:rPr>
          <w:rFonts w:hint="eastAsia" w:ascii="仿宋_GB2312" w:hAnsi="仿宋_GB2312" w:eastAsia="仿宋_GB2312" w:cs="仿宋_GB2312"/>
          <w:color w:val="000000"/>
          <w:sz w:val="32"/>
          <w:szCs w:val="32"/>
        </w:rPr>
        <w:t>会议”牵头抓总工作。</w:t>
      </w:r>
    </w:p>
    <w:p>
      <w:pPr>
        <w:spacing w:after="0" w:line="58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负责党员队伍建设、组织员队伍建设以及党员发展、教育、管理工作，负责党的组织制度、党内生活制度建设；组织协调全县党代表大会、党代表会议、人民代表大会的选举工作，负责全县党代表大会代表的日常管理和服务工作；负责党组织建设特别是党的基层组织建设的调查研究，</w:t>
      </w:r>
      <w:r>
        <w:rPr>
          <w:rFonts w:hint="eastAsia" w:ascii="仿宋_GB2312" w:hAnsi="仿宋_GB2312" w:eastAsia="仿宋_GB2312" w:cs="仿宋_GB2312"/>
          <w:color w:val="000000"/>
          <w:sz w:val="32"/>
          <w:szCs w:val="32"/>
          <w:lang w:val="zh-CN"/>
        </w:rPr>
        <w:t>负责谋划指导和组织推动全县抓党建促脱贫攻坚工作；承担县委非公有制经济组织和社会组织工作委员会职责。</w:t>
      </w:r>
    </w:p>
    <w:p>
      <w:pPr>
        <w:pStyle w:val="33"/>
        <w:shd w:val="clear" w:color="auto" w:fill="auto"/>
        <w:tabs>
          <w:tab w:val="left" w:pos="1430"/>
        </w:tabs>
        <w:spacing w:after="0" w:line="580" w:lineRule="exact"/>
        <w:ind w:firstLine="660"/>
        <w:jc w:val="both"/>
        <w:rPr>
          <w:rFonts w:ascii="仿宋_GB2312" w:hAnsi="仿宋_GB2312" w:eastAsia="仿宋_GB2312" w:cs="仿宋_GB2312"/>
          <w:color w:val="000000"/>
          <w:spacing w:val="0"/>
          <w:sz w:val="32"/>
          <w:szCs w:val="32"/>
          <w:u w:val="single"/>
        </w:rPr>
      </w:pPr>
      <w:r>
        <w:rPr>
          <w:rFonts w:hint="eastAsia" w:ascii="仿宋_GB2312" w:hAnsi="仿宋_GB2312" w:eastAsia="仿宋_GB2312" w:cs="仿宋_GB2312"/>
          <w:color w:val="000000"/>
          <w:spacing w:val="0"/>
          <w:sz w:val="32"/>
          <w:szCs w:val="32"/>
        </w:rPr>
        <w:t>3、</w:t>
      </w:r>
      <w:r>
        <w:rPr>
          <w:rFonts w:hint="eastAsia" w:ascii="仿宋_GB2312" w:hAnsi="仿宋_GB2312" w:eastAsia="仿宋_GB2312" w:cs="仿宋_GB2312"/>
          <w:color w:val="000000"/>
          <w:spacing w:val="0"/>
          <w:sz w:val="32"/>
          <w:szCs w:val="32"/>
          <w:lang w:val="zh-CN"/>
        </w:rPr>
        <w:t>负责各级领导班子和干部队伍建设的宏观管理。研究提出领导班子和领导干部队伍建设规划以及干部管理体制的建议，指导领导班子思想作风建设</w:t>
      </w:r>
      <w:r>
        <w:rPr>
          <w:rFonts w:hint="eastAsia" w:ascii="仿宋_GB2312" w:hAnsi="仿宋_GB2312" w:eastAsia="仿宋_GB2312" w:cs="仿宋_GB2312"/>
          <w:color w:val="000000"/>
          <w:spacing w:val="0"/>
          <w:sz w:val="32"/>
          <w:szCs w:val="32"/>
        </w:rPr>
        <w:t>；负责提出各乡镇</w:t>
      </w:r>
      <w:r>
        <w:rPr>
          <w:rFonts w:hint="eastAsia" w:ascii="仿宋_GB2312" w:hAnsi="仿宋_GB2312" w:eastAsia="仿宋_GB2312" w:cs="仿宋_GB2312"/>
          <w:color w:val="000000"/>
          <w:spacing w:val="0"/>
          <w:sz w:val="32"/>
          <w:szCs w:val="32"/>
          <w:lang w:val="zh-CN"/>
        </w:rPr>
        <w:t>和县直各部门以及其他列入县委管理的领导班子调整、配备的建议；负责县委管理干部的考察、综合分析研判，办理职务任免、工资、待遇、退休审批手续；综合管理优秀年轻干部队伍，统筹选育管用工作，组织协调妇女干部、少数民族干部和党外干部培养选拔工作；负责对口支援西藏、新疆干部人才的选派等相关工作；负责</w:t>
      </w:r>
      <w:r>
        <w:rPr>
          <w:rFonts w:hint="eastAsia" w:ascii="仿宋_GB2312" w:hAnsi="仿宋_GB2312" w:eastAsia="仿宋_GB2312" w:cs="仿宋_GB2312"/>
          <w:color w:val="000000"/>
          <w:spacing w:val="0"/>
          <w:sz w:val="32"/>
          <w:szCs w:val="32"/>
        </w:rPr>
        <w:t>符合任职条件的</w:t>
      </w:r>
      <w:r>
        <w:rPr>
          <w:rFonts w:hint="eastAsia" w:ascii="仿宋_GB2312" w:hAnsi="仿宋_GB2312" w:eastAsia="仿宋_GB2312" w:cs="仿宋_GB2312"/>
          <w:color w:val="000000"/>
          <w:spacing w:val="0"/>
          <w:sz w:val="32"/>
          <w:szCs w:val="32"/>
          <w:lang w:val="zh-CN"/>
        </w:rPr>
        <w:t>军队转业干部安置工作；负责</w:t>
      </w:r>
      <w:r>
        <w:rPr>
          <w:rFonts w:hint="eastAsia" w:ascii="仿宋_GB2312" w:hAnsi="仿宋_GB2312" w:eastAsia="仿宋_GB2312" w:cs="仿宋_GB2312"/>
          <w:color w:val="000000"/>
          <w:spacing w:val="0"/>
          <w:sz w:val="32"/>
          <w:szCs w:val="32"/>
        </w:rPr>
        <w:t>管理权限内干部的</w:t>
      </w:r>
      <w:r>
        <w:rPr>
          <w:rFonts w:hint="eastAsia" w:ascii="仿宋_GB2312" w:hAnsi="仿宋_GB2312" w:eastAsia="仿宋_GB2312" w:cs="仿宋_GB2312"/>
          <w:color w:val="000000"/>
          <w:spacing w:val="0"/>
          <w:sz w:val="32"/>
          <w:szCs w:val="32"/>
          <w:lang w:val="zh-CN"/>
        </w:rPr>
        <w:t>宏观管理和任免备案工作；负责全县干部职工档案管理工作；负责省派选调生、大学生村官的培养、使用和管理；承办有关干部的调配、交流安置事宜。</w:t>
      </w:r>
    </w:p>
    <w:p>
      <w:pPr>
        <w:spacing w:after="0" w:line="58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w:t>
      </w:r>
      <w:r>
        <w:rPr>
          <w:rFonts w:hint="eastAsia" w:ascii="仿宋_GB2312" w:hAnsi="仿宋_GB2312" w:eastAsia="仿宋_GB2312" w:cs="仿宋_GB2312"/>
          <w:color w:val="000000"/>
          <w:sz w:val="32"/>
          <w:szCs w:val="32"/>
          <w:lang w:val="zh-CN"/>
        </w:rPr>
        <w:t>负责全县干部教育、培训工作；拟订干部教育培训工作规划，组织实施县委管理干部和一定层次其他干部的培训；负责组织系统干部监督工作，组织开展选人用人和执行干部监督制度规定情况的监督检查，处理反映选人用人问题及领导干部相关问题的举报；</w:t>
      </w:r>
      <w:r>
        <w:rPr>
          <w:rFonts w:hint="eastAsia" w:ascii="仿宋_GB2312" w:hAnsi="仿宋_GB2312" w:eastAsia="仿宋_GB2312" w:cs="仿宋_GB2312"/>
          <w:color w:val="000000"/>
          <w:sz w:val="32"/>
          <w:szCs w:val="32"/>
        </w:rPr>
        <w:t>负责干部考核工作，组织实施对县委管理领导班子和领导干部的考核工作，负责机关目标绩效管理，组织实施机关职能绩效目标考核。</w:t>
      </w:r>
    </w:p>
    <w:p>
      <w:pPr>
        <w:spacing w:after="0" w:line="58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5、负责公务员、参照公务员法管理事业单位工作人员录用调配、考核奖惩、培训和工资福利等工作；研究拟订公务员管理办法并组织实施；指导全县公务员、参照公务员法管理事业单位工作人员队伍建设。</w:t>
      </w:r>
    </w:p>
    <w:p>
      <w:pPr>
        <w:spacing w:after="0" w:line="58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rPr>
        <w:t>6、负责全县人才工作和人才队伍建设的牵头抓总、统筹协调、推进落实；负责做好国家省市管优秀专家人才等重点人才推荐申报、</w:t>
      </w:r>
      <w:r>
        <w:rPr>
          <w:rFonts w:hint="eastAsia" w:ascii="仿宋_GB2312" w:hAnsi="仿宋_GB2312" w:eastAsia="仿宋_GB2312" w:cs="仿宋_GB2312"/>
          <w:color w:val="000000"/>
          <w:sz w:val="32"/>
          <w:szCs w:val="32"/>
          <w:lang w:val="zh-CN"/>
        </w:rPr>
        <w:t>联系服务工作；负责县管拔尖人才的选拔管理；承担县委人才工作领导小组办公室日常工作。</w:t>
      </w:r>
    </w:p>
    <w:p>
      <w:pPr>
        <w:spacing w:after="0" w:line="580" w:lineRule="exact"/>
        <w:ind w:firstLine="640" w:firstLineChars="200"/>
        <w:rPr>
          <w:rFonts w:ascii="仿宋_GB2312" w:hAnsi="仿宋_GB2312" w:eastAsia="仿宋_GB2312" w:cs="仿宋_GB2312"/>
          <w:color w:val="000000"/>
          <w:sz w:val="32"/>
          <w:szCs w:val="32"/>
          <w:lang w:val="zh-CN"/>
        </w:rPr>
      </w:pPr>
      <w:r>
        <w:rPr>
          <w:rFonts w:hint="eastAsia" w:ascii="仿宋_GB2312" w:hAnsi="仿宋_GB2312" w:eastAsia="仿宋_GB2312" w:cs="仿宋_GB2312"/>
          <w:color w:val="000000"/>
          <w:sz w:val="32"/>
          <w:szCs w:val="32"/>
        </w:rPr>
        <w:t>7、</w:t>
      </w:r>
      <w:r>
        <w:rPr>
          <w:rFonts w:hint="eastAsia" w:ascii="仿宋_GB2312" w:hAnsi="仿宋_GB2312" w:eastAsia="仿宋_GB2312" w:cs="仿宋_GB2312"/>
          <w:color w:val="000000"/>
          <w:sz w:val="32"/>
          <w:szCs w:val="32"/>
          <w:lang w:val="zh-CN"/>
        </w:rPr>
        <w:t>负责组织系统新闻宣传、信息化建设和组织史征编工作。</w:t>
      </w:r>
    </w:p>
    <w:p>
      <w:pPr>
        <w:spacing w:after="0" w:line="58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8、</w:t>
      </w:r>
      <w:r>
        <w:rPr>
          <w:rFonts w:hint="eastAsia" w:ascii="仿宋_GB2312" w:hAnsi="仿宋_GB2312" w:eastAsia="仿宋_GB2312" w:cs="仿宋_GB2312"/>
          <w:color w:val="000000"/>
          <w:sz w:val="32"/>
          <w:szCs w:val="32"/>
          <w:lang w:val="zh-CN"/>
        </w:rPr>
        <w:t>负责全县组织工作的检查督促，及时向县委反映重要情况并提出建议</w:t>
      </w:r>
      <w:r>
        <w:rPr>
          <w:rFonts w:hint="eastAsia" w:ascii="仿宋_GB2312" w:hAnsi="仿宋_GB2312" w:eastAsia="仿宋_GB2312" w:cs="仿宋_GB2312"/>
          <w:color w:val="000000"/>
          <w:sz w:val="32"/>
          <w:szCs w:val="32"/>
        </w:rPr>
        <w:t>。</w:t>
      </w:r>
    </w:p>
    <w:p>
      <w:pPr>
        <w:pStyle w:val="33"/>
        <w:shd w:val="clear" w:color="auto" w:fill="auto"/>
        <w:tabs>
          <w:tab w:val="left" w:pos="1430"/>
        </w:tabs>
        <w:spacing w:after="0" w:line="580" w:lineRule="exact"/>
        <w:ind w:firstLine="660"/>
        <w:jc w:val="both"/>
        <w:rPr>
          <w:rFonts w:ascii="仿宋_GB2312" w:hAnsi="仿宋_GB2312" w:eastAsia="仿宋_GB2312" w:cs="仿宋_GB2312"/>
          <w:color w:val="000000"/>
          <w:spacing w:val="0"/>
          <w:sz w:val="32"/>
          <w:szCs w:val="32"/>
          <w:lang w:val="zh-CN"/>
        </w:rPr>
      </w:pPr>
      <w:r>
        <w:rPr>
          <w:rFonts w:hint="eastAsia" w:ascii="仿宋_GB2312" w:hAnsi="仿宋_GB2312" w:eastAsia="仿宋_GB2312" w:cs="仿宋_GB2312"/>
          <w:color w:val="000000"/>
          <w:spacing w:val="0"/>
          <w:sz w:val="32"/>
          <w:szCs w:val="32"/>
        </w:rPr>
        <w:t>9、</w:t>
      </w:r>
      <w:r>
        <w:rPr>
          <w:rFonts w:hint="eastAsia" w:ascii="仿宋_GB2312" w:hAnsi="仿宋_GB2312" w:eastAsia="仿宋_GB2312" w:cs="仿宋_GB2312"/>
          <w:color w:val="000000"/>
          <w:spacing w:val="0"/>
          <w:sz w:val="32"/>
          <w:szCs w:val="32"/>
          <w:lang w:val="zh-CN"/>
        </w:rPr>
        <w:t>统一管理县委机构编制委员会办公室，归口管理县委老干部局。</w:t>
      </w:r>
    </w:p>
    <w:p>
      <w:pPr>
        <w:pStyle w:val="33"/>
        <w:shd w:val="clear" w:color="auto" w:fill="auto"/>
        <w:tabs>
          <w:tab w:val="left" w:pos="1430"/>
        </w:tabs>
        <w:spacing w:after="0" w:line="580" w:lineRule="exact"/>
        <w:ind w:firstLine="660"/>
        <w:jc w:val="both"/>
        <w:rPr>
          <w:rFonts w:ascii="仿宋_GB2312" w:hAnsi="仿宋_GB2312" w:eastAsia="仿宋_GB2312" w:cs="仿宋_GB2312"/>
          <w:color w:val="000000"/>
          <w:spacing w:val="0"/>
          <w:sz w:val="32"/>
          <w:szCs w:val="32"/>
          <w:lang w:val="zh-CN"/>
        </w:rPr>
      </w:pPr>
      <w:r>
        <w:rPr>
          <w:rFonts w:hint="eastAsia" w:ascii="仿宋_GB2312" w:hAnsi="仿宋_GB2312" w:eastAsia="仿宋_GB2312" w:cs="仿宋_GB2312"/>
          <w:color w:val="000000"/>
          <w:spacing w:val="0"/>
          <w:sz w:val="32"/>
          <w:szCs w:val="32"/>
        </w:rPr>
        <w:t>10、</w:t>
      </w:r>
      <w:r>
        <w:rPr>
          <w:rFonts w:hint="eastAsia" w:ascii="仿宋_GB2312" w:hAnsi="仿宋_GB2312" w:eastAsia="仿宋_GB2312" w:cs="仿宋_GB2312"/>
          <w:color w:val="000000"/>
          <w:spacing w:val="0"/>
          <w:sz w:val="32"/>
          <w:szCs w:val="32"/>
          <w:lang w:val="zh-CN"/>
        </w:rPr>
        <w:t>完成县委交办的其他任务。</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 1个，具体情况如下：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中国共产党无极县委员会组织部(本级)</w:t>
            </w:r>
          </w:p>
        </w:tc>
        <w:tc>
          <w:tcPr>
            <w:tcW w:w="244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行政单位</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财政拨款</w:t>
            </w: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3360"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13" cstate="print"/>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044" o:spid="_x0000_s1044" o:spt="202" type="#_x0000_t202" style="position:absolute;left:0pt;margin-left:-74.2pt;margin-top:120.3pt;height:159.1pt;width:596.2pt;z-index:251662336;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527.09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498.10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52.01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1.60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527.09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551.72</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75.57</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50.93</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602.66</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602.66</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719" w:type="dxa"/>
        <w:jc w:val="center"/>
        <w:tblLayout w:type="fixed"/>
        <w:tblCellMar>
          <w:top w:w="0" w:type="dxa"/>
          <w:left w:w="0" w:type="dxa"/>
          <w:bottom w:w="0" w:type="dxa"/>
          <w:right w:w="0" w:type="dxa"/>
        </w:tblCellMar>
      </w:tblPr>
      <w:tblGrid>
        <w:gridCol w:w="335"/>
        <w:gridCol w:w="179"/>
        <w:gridCol w:w="520"/>
        <w:gridCol w:w="1851"/>
        <w:gridCol w:w="260"/>
        <w:gridCol w:w="609"/>
        <w:gridCol w:w="50"/>
        <w:gridCol w:w="156"/>
        <w:gridCol w:w="104"/>
        <w:gridCol w:w="463"/>
        <w:gridCol w:w="867"/>
        <w:gridCol w:w="197"/>
        <w:gridCol w:w="104"/>
        <w:gridCol w:w="399"/>
        <w:gridCol w:w="416"/>
        <w:gridCol w:w="79"/>
        <w:gridCol w:w="619"/>
        <w:gridCol w:w="117"/>
        <w:gridCol w:w="733"/>
        <w:gridCol w:w="742"/>
        <w:gridCol w:w="919"/>
      </w:tblGrid>
      <w:tr>
        <w:tblPrEx>
          <w:tblCellMar>
            <w:top w:w="0" w:type="dxa"/>
            <w:left w:w="0" w:type="dxa"/>
            <w:bottom w:w="0" w:type="dxa"/>
            <w:right w:w="0" w:type="dxa"/>
          </w:tblCellMar>
        </w:tblPrEx>
        <w:trPr>
          <w:gridAfter w:val="1"/>
          <w:wAfter w:w="919" w:type="dxa"/>
          <w:trHeight w:val="770" w:hRule="atLeast"/>
          <w:jc w:val="center"/>
        </w:trPr>
        <w:tc>
          <w:tcPr>
            <w:tcW w:w="8800" w:type="dxa"/>
            <w:gridSpan w:val="20"/>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720"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6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68"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gridAfter w:val="1"/>
          <w:wAfter w:w="919" w:type="dxa"/>
          <w:trHeight w:val="362" w:hRule="atLeast"/>
          <w:jc w:val="center"/>
        </w:trPr>
        <w:tc>
          <w:tcPr>
            <w:tcW w:w="2885"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67"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06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0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706" w:type="dxa"/>
            <w:gridSpan w:val="6"/>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1"/>
          <w:wAfter w:w="919" w:type="dxa"/>
          <w:trHeight w:val="325" w:hRule="atLeast"/>
          <w:jc w:val="center"/>
        </w:trPr>
        <w:tc>
          <w:tcPr>
            <w:tcW w:w="3754" w:type="dxa"/>
            <w:gridSpan w:val="6"/>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773" w:type="dxa"/>
            <w:gridSpan w:val="4"/>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867"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700" w:type="dxa"/>
            <w:gridSpan w:val="3"/>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495"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619"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85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742"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gridAfter w:val="1"/>
          <w:wAfter w:w="919" w:type="dxa"/>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2720" w:type="dxa"/>
            <w:gridSpan w:val="3"/>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773" w:type="dxa"/>
            <w:gridSpan w:val="4"/>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867"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700" w:type="dxa"/>
            <w:gridSpan w:val="3"/>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495"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619"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85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742"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gridAfter w:val="1"/>
          <w:wAfter w:w="919" w:type="dxa"/>
          <w:trHeight w:val="391" w:hRule="atLeast"/>
          <w:jc w:val="center"/>
        </w:trPr>
        <w:tc>
          <w:tcPr>
            <w:tcW w:w="3754"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773"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70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49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6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7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gridAfter w:val="1"/>
          <w:wAfter w:w="919" w:type="dxa"/>
          <w:trHeight w:val="90" w:hRule="atLeast"/>
          <w:jc w:val="center"/>
        </w:trPr>
        <w:tc>
          <w:tcPr>
            <w:tcW w:w="3754"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773"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527.09</w:t>
            </w:r>
          </w:p>
        </w:tc>
        <w:tc>
          <w:tcPr>
            <w:tcW w:w="867"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527.09</w:t>
            </w:r>
          </w:p>
        </w:tc>
        <w:tc>
          <w:tcPr>
            <w:tcW w:w="700"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495"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619"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85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742"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r>
      <w:tr>
        <w:tblPrEx>
          <w:tblCellMar>
            <w:top w:w="0" w:type="dxa"/>
            <w:left w:w="0" w:type="dxa"/>
            <w:bottom w:w="0" w:type="dxa"/>
            <w:right w:w="0" w:type="dxa"/>
          </w:tblCellMar>
        </w:tblPrEx>
        <w:trPr>
          <w:gridAfter w:val="1"/>
          <w:wAfter w:w="919" w:type="dxa"/>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27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773"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422.54</w:t>
            </w:r>
          </w:p>
        </w:tc>
        <w:tc>
          <w:tcPr>
            <w:tcW w:w="8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422.54</w:t>
            </w:r>
          </w:p>
        </w:tc>
        <w:tc>
          <w:tcPr>
            <w:tcW w:w="7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919" w:type="dxa"/>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20132</w:t>
            </w:r>
          </w:p>
        </w:tc>
        <w:tc>
          <w:tcPr>
            <w:tcW w:w="27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组织事务</w:t>
            </w:r>
          </w:p>
        </w:tc>
        <w:tc>
          <w:tcPr>
            <w:tcW w:w="773"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422.53</w:t>
            </w:r>
          </w:p>
        </w:tc>
        <w:tc>
          <w:tcPr>
            <w:tcW w:w="8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422.53</w:t>
            </w:r>
          </w:p>
        </w:tc>
        <w:tc>
          <w:tcPr>
            <w:tcW w:w="7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919" w:type="dxa"/>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2013201</w:t>
            </w:r>
          </w:p>
        </w:tc>
        <w:tc>
          <w:tcPr>
            <w:tcW w:w="27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773"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268.59</w:t>
            </w:r>
          </w:p>
        </w:tc>
        <w:tc>
          <w:tcPr>
            <w:tcW w:w="8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268.59</w:t>
            </w:r>
          </w:p>
        </w:tc>
        <w:tc>
          <w:tcPr>
            <w:tcW w:w="7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919" w:type="dxa"/>
          <w:trHeight w:val="403"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2013299</w:t>
            </w:r>
          </w:p>
        </w:tc>
        <w:tc>
          <w:tcPr>
            <w:tcW w:w="27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其他组织事务支出</w:t>
            </w:r>
          </w:p>
        </w:tc>
        <w:tc>
          <w:tcPr>
            <w:tcW w:w="773"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153.95</w:t>
            </w:r>
          </w:p>
        </w:tc>
        <w:tc>
          <w:tcPr>
            <w:tcW w:w="8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153.95</w:t>
            </w:r>
          </w:p>
        </w:tc>
        <w:tc>
          <w:tcPr>
            <w:tcW w:w="7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919" w:type="dxa"/>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27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773"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99.55</w:t>
            </w:r>
          </w:p>
        </w:tc>
        <w:tc>
          <w:tcPr>
            <w:tcW w:w="8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99.55</w:t>
            </w:r>
          </w:p>
        </w:tc>
        <w:tc>
          <w:tcPr>
            <w:tcW w:w="7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919" w:type="dxa"/>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27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773"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4.45</w:t>
            </w:r>
          </w:p>
        </w:tc>
        <w:tc>
          <w:tcPr>
            <w:tcW w:w="8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4.45</w:t>
            </w:r>
          </w:p>
        </w:tc>
        <w:tc>
          <w:tcPr>
            <w:tcW w:w="7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919" w:type="dxa"/>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27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773"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4.45</w:t>
            </w:r>
          </w:p>
        </w:tc>
        <w:tc>
          <w:tcPr>
            <w:tcW w:w="8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4.45</w:t>
            </w:r>
          </w:p>
        </w:tc>
        <w:tc>
          <w:tcPr>
            <w:tcW w:w="7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919" w:type="dxa"/>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w:t>
            </w:r>
          </w:p>
        </w:tc>
        <w:tc>
          <w:tcPr>
            <w:tcW w:w="27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抚恤</w:t>
            </w:r>
          </w:p>
        </w:tc>
        <w:tc>
          <w:tcPr>
            <w:tcW w:w="773"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95.10</w:t>
            </w:r>
          </w:p>
        </w:tc>
        <w:tc>
          <w:tcPr>
            <w:tcW w:w="8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95.10</w:t>
            </w:r>
          </w:p>
        </w:tc>
        <w:tc>
          <w:tcPr>
            <w:tcW w:w="7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919" w:type="dxa"/>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2080899</w:t>
            </w:r>
          </w:p>
        </w:tc>
        <w:tc>
          <w:tcPr>
            <w:tcW w:w="27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其他优抚支出</w:t>
            </w:r>
          </w:p>
        </w:tc>
        <w:tc>
          <w:tcPr>
            <w:tcW w:w="773"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95.10</w:t>
            </w:r>
          </w:p>
        </w:tc>
        <w:tc>
          <w:tcPr>
            <w:tcW w:w="8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95.10</w:t>
            </w:r>
          </w:p>
        </w:tc>
        <w:tc>
          <w:tcPr>
            <w:tcW w:w="7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919" w:type="dxa"/>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w:t>
            </w:r>
          </w:p>
        </w:tc>
        <w:tc>
          <w:tcPr>
            <w:tcW w:w="27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农林水支出</w:t>
            </w:r>
          </w:p>
        </w:tc>
        <w:tc>
          <w:tcPr>
            <w:tcW w:w="773"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8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7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919" w:type="dxa"/>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w:t>
            </w:r>
          </w:p>
        </w:tc>
        <w:tc>
          <w:tcPr>
            <w:tcW w:w="27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农业</w:t>
            </w:r>
          </w:p>
        </w:tc>
        <w:tc>
          <w:tcPr>
            <w:tcW w:w="773"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8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7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919" w:type="dxa"/>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2130152</w:t>
            </w:r>
          </w:p>
        </w:tc>
        <w:tc>
          <w:tcPr>
            <w:tcW w:w="27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对高校毕业生到基层任职补助</w:t>
            </w:r>
          </w:p>
        </w:tc>
        <w:tc>
          <w:tcPr>
            <w:tcW w:w="773"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8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7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919" w:type="dxa"/>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7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773"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919" w:type="dxa"/>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7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773"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919" w:type="dxa"/>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7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773"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919" w:type="dxa"/>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7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773"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919" w:type="dxa"/>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7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773"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919" w:type="dxa"/>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7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773"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919" w:type="dxa"/>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7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773"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919" w:type="dxa"/>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7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773"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0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9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1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5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74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919" w:type="dxa"/>
          <w:trHeight w:val="481" w:hRule="atLeast"/>
          <w:jc w:val="center"/>
        </w:trPr>
        <w:tc>
          <w:tcPr>
            <w:tcW w:w="8800" w:type="dxa"/>
            <w:gridSpan w:val="20"/>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117"/>
        <w:gridCol w:w="635"/>
        <w:gridCol w:w="12"/>
        <w:gridCol w:w="980"/>
        <w:gridCol w:w="138"/>
        <w:gridCol w:w="991"/>
        <w:gridCol w:w="129"/>
        <w:gridCol w:w="868"/>
        <w:gridCol w:w="250"/>
        <w:gridCol w:w="743"/>
        <w:gridCol w:w="377"/>
        <w:gridCol w:w="294"/>
        <w:gridCol w:w="1084"/>
      </w:tblGrid>
      <w:tr>
        <w:tblPrEx>
          <w:tblCellMar>
            <w:top w:w="0" w:type="dxa"/>
            <w:left w:w="0" w:type="dxa"/>
            <w:bottom w:w="0" w:type="dxa"/>
            <w:right w:w="0" w:type="dxa"/>
          </w:tblCellMar>
        </w:tblPrEx>
        <w:trPr>
          <w:trHeight w:val="798" w:hRule="atLeast"/>
        </w:trPr>
        <w:tc>
          <w:tcPr>
            <w:tcW w:w="9000" w:type="dxa"/>
            <w:gridSpan w:val="16"/>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trHeight w:val="380" w:hRule="atLeast"/>
        </w:trPr>
        <w:tc>
          <w:tcPr>
            <w:tcW w:w="3146" w:type="dxa"/>
            <w:gridSpan w:val="6"/>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3134"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992"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1129"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997"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99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671"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7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992"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129"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97"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99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671"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3134"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99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2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99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99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67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3134"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551.72</w:t>
            </w:r>
          </w:p>
        </w:tc>
        <w:tc>
          <w:tcPr>
            <w:tcW w:w="11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502.55</w:t>
            </w:r>
          </w:p>
        </w:tc>
        <w:tc>
          <w:tcPr>
            <w:tcW w:w="99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49.16</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6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17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498.10</w:t>
            </w:r>
          </w:p>
        </w:tc>
        <w:tc>
          <w:tcPr>
            <w:tcW w:w="11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498.10</w:t>
            </w:r>
          </w:p>
        </w:tc>
        <w:tc>
          <w:tcPr>
            <w:tcW w:w="99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20132</w:t>
            </w:r>
          </w:p>
        </w:tc>
        <w:tc>
          <w:tcPr>
            <w:tcW w:w="17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组织事务</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498.10</w:t>
            </w:r>
          </w:p>
        </w:tc>
        <w:tc>
          <w:tcPr>
            <w:tcW w:w="11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498.10</w:t>
            </w:r>
          </w:p>
        </w:tc>
        <w:tc>
          <w:tcPr>
            <w:tcW w:w="99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2013201</w:t>
            </w:r>
          </w:p>
        </w:tc>
        <w:tc>
          <w:tcPr>
            <w:tcW w:w="17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268.64</w:t>
            </w:r>
          </w:p>
        </w:tc>
        <w:tc>
          <w:tcPr>
            <w:tcW w:w="11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268.64</w:t>
            </w:r>
          </w:p>
        </w:tc>
        <w:tc>
          <w:tcPr>
            <w:tcW w:w="99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2013299</w:t>
            </w:r>
          </w:p>
        </w:tc>
        <w:tc>
          <w:tcPr>
            <w:tcW w:w="17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其他组织事务支出</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229.46</w:t>
            </w:r>
          </w:p>
        </w:tc>
        <w:tc>
          <w:tcPr>
            <w:tcW w:w="11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229.46</w:t>
            </w:r>
          </w:p>
        </w:tc>
        <w:tc>
          <w:tcPr>
            <w:tcW w:w="99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17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52.01</w:t>
            </w:r>
          </w:p>
        </w:tc>
        <w:tc>
          <w:tcPr>
            <w:tcW w:w="11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4.45</w:t>
            </w:r>
          </w:p>
        </w:tc>
        <w:tc>
          <w:tcPr>
            <w:tcW w:w="99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47.56</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17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4.45</w:t>
            </w:r>
          </w:p>
        </w:tc>
        <w:tc>
          <w:tcPr>
            <w:tcW w:w="11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4.45</w:t>
            </w:r>
          </w:p>
        </w:tc>
        <w:tc>
          <w:tcPr>
            <w:tcW w:w="99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17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4.45</w:t>
            </w:r>
          </w:p>
        </w:tc>
        <w:tc>
          <w:tcPr>
            <w:tcW w:w="11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4.45</w:t>
            </w:r>
          </w:p>
        </w:tc>
        <w:tc>
          <w:tcPr>
            <w:tcW w:w="99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w:t>
            </w:r>
          </w:p>
        </w:tc>
        <w:tc>
          <w:tcPr>
            <w:tcW w:w="17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抚恤</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47.56</w:t>
            </w:r>
          </w:p>
        </w:tc>
        <w:tc>
          <w:tcPr>
            <w:tcW w:w="11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47.56</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2080899</w:t>
            </w:r>
          </w:p>
        </w:tc>
        <w:tc>
          <w:tcPr>
            <w:tcW w:w="17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其他优抚支出</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47.56</w:t>
            </w:r>
          </w:p>
        </w:tc>
        <w:tc>
          <w:tcPr>
            <w:tcW w:w="11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47.56</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w:t>
            </w:r>
          </w:p>
        </w:tc>
        <w:tc>
          <w:tcPr>
            <w:tcW w:w="17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农林水支出</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1.60</w:t>
            </w:r>
          </w:p>
        </w:tc>
        <w:tc>
          <w:tcPr>
            <w:tcW w:w="11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1.60</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w:t>
            </w:r>
          </w:p>
        </w:tc>
        <w:tc>
          <w:tcPr>
            <w:tcW w:w="17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农业</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1.60</w:t>
            </w:r>
          </w:p>
        </w:tc>
        <w:tc>
          <w:tcPr>
            <w:tcW w:w="11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1.60</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2130152</w:t>
            </w:r>
          </w:p>
        </w:tc>
        <w:tc>
          <w:tcPr>
            <w:tcW w:w="17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对高校毕业生到基层任职补助</w:t>
            </w: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1.60</w:t>
            </w:r>
          </w:p>
        </w:tc>
        <w:tc>
          <w:tcPr>
            <w:tcW w:w="11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1.60</w:t>
            </w: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7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7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9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1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7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6"/>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902"/>
        <w:gridCol w:w="2072"/>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90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26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9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2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527.09</w:t>
            </w:r>
          </w:p>
        </w:tc>
        <w:tc>
          <w:tcPr>
            <w:tcW w:w="22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498.10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498.10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9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9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52.01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52.01</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9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9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9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9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1.60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1.60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9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9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9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9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9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9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9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9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9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9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9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9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527.09</w:t>
            </w:r>
          </w:p>
        </w:tc>
        <w:tc>
          <w:tcPr>
            <w:tcW w:w="22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551.72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551.72</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9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75.57</w:t>
            </w:r>
          </w:p>
        </w:tc>
        <w:tc>
          <w:tcPr>
            <w:tcW w:w="22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50.93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50.93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9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75.57</w:t>
            </w:r>
          </w:p>
        </w:tc>
        <w:tc>
          <w:tcPr>
            <w:tcW w:w="22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9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90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602.66</w:t>
            </w:r>
          </w:p>
        </w:tc>
        <w:tc>
          <w:tcPr>
            <w:tcW w:w="22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602.66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602.66</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551.72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502.55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49.16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498.10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498.10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组织事务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498.10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498.10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268.64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268.64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2013299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其他组织事务支出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229.47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229.47</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52.01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47.56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机关事业单位基本养老保险缴费支出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抚恤</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47.56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47.56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其他优抚支出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47.56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47.56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农林水支出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农业</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2130152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对高校毕业生到基层任职补助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196.79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209.17</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149.17</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32.85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11.75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58.95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3.91</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3.51</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4.45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3.96</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9.15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24.00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9.24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96.59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9.99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15.94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22.51</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17.41</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44.44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14.13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3.40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1.34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35.28</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13.84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8.01</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2.32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293.38</w:t>
            </w:r>
          </w:p>
        </w:tc>
        <w:tc>
          <w:tcPr>
            <w:tcW w:w="5328"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209.17</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3.00</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3.00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3.00</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3.00</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3.00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3.00</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注：本表反映部门本年度政府性基金预算财政拨款收入、支出及结转和结余情况。本单位无政府性基金预算财政拨款收入支出数据，按要求空表列示。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注：本表反映部门本年度国有资本经营预算财政拨款支出情况。本单位无国有资本经营预算财政拨款收支数据，按要求以空表列示。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36.90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36.90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36.90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36.90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36.90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36.90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34.15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34.15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34.15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34.15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34.15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34.15</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注：本表反映部门本年度纳入部门预算范围的政府采购预算及支出情况。     </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540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13" cstate="print"/>
                    <a:stretch>
                      <a:fillRect/>
                    </a:stretch>
                  </pic:blipFill>
                  <pic:spPr>
                    <a:xfrm>
                      <a:off x="0" y="0"/>
                      <a:ext cx="7550150" cy="10680065"/>
                    </a:xfrm>
                    <a:prstGeom prst="rect">
                      <a:avLst/>
                    </a:prstGeom>
                  </pic:spPr>
                </pic:pic>
              </a:graphicData>
            </a:graphic>
          </wp:anchor>
        </w:drawing>
      </w:r>
      <w:r>
        <w:rPr>
          <w:sz w:val="72"/>
        </w:rPr>
        <w:pict>
          <v:shape id="_x0000_s1043" o:spid="_x0000_s1043" o:spt="202" type="#_x0000_t202" style="position:absolute;left:0pt;margin-left:-78.7pt;margin-top:232.8pt;height:159.1pt;width:596.2pt;z-index:25166438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本部门2018年度收支总计（含结转和结余）602.66万元，与2017年度决算相比，收支各减少23.61万元，下降3.8%，主要原因是项目经费支出减少。</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本部门2018年度本年收入合计527.09万元，其中：财政拨款收入527.09万元，占100%；事业收入0万元，占0%；经营收入0万元，占0%；其他收入0万元，占0%。如图所示：</w:t>
      </w:r>
    </w:p>
    <w:p>
      <w:pPr>
        <w:adjustRightInd w:val="0"/>
        <w:snapToGrid w:val="0"/>
        <w:spacing w:after="0" w:line="360" w:lineRule="auto"/>
        <w:ind w:firstLine="960" w:firstLineChars="300"/>
        <w:rPr>
          <w:rFonts w:ascii="仿宋_GB2312" w:eastAsia="仿宋_GB2312" w:cs="DengXian-Regular"/>
          <w:sz w:val="32"/>
          <w:szCs w:val="32"/>
        </w:rPr>
      </w:pPr>
      <w:r>
        <w:rPr>
          <w:rFonts w:ascii="仿宋_GB2312" w:eastAsia="仿宋_GB2312" w:cs="DengXian-Regular"/>
          <w:sz w:val="32"/>
          <w:szCs w:val="32"/>
        </w:rPr>
        <w:pict>
          <v:shape id="_x0000_i1025" o:spt="75" type="#_x0000_t75" style="height:189.2pt;width:346.6pt;" filled="f" o:preferrelative="t" stroked="f" coordsize="21600,21600">
            <v:path/>
            <v:fill on="f" focussize="0,0"/>
            <v:stroke on="f" joinstyle="miter"/>
            <v:imagedata r:id="rId14" o:title=""/>
            <o:lock v:ext="edit" aspectratio="t"/>
            <w10:wrap type="none"/>
            <w10:anchorlock/>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本部门2018年度本年支出合计551.72万元，其中：基本支出502.55万元，占91.09%；项目支出49.16万元，占8.91%；经营支出0万元，占0%，如图所示：</w:t>
      </w:r>
    </w:p>
    <w:p>
      <w:pPr>
        <w:adjustRightInd w:val="0"/>
        <w:snapToGrid w:val="0"/>
        <w:spacing w:after="0" w:line="360" w:lineRule="auto"/>
        <w:ind w:firstLine="1920" w:firstLineChars="600"/>
        <w:rPr>
          <w:rFonts w:ascii="仿宋_GB2312" w:eastAsia="仿宋_GB2312" w:cs="DengXian-Regular"/>
          <w:sz w:val="32"/>
          <w:szCs w:val="32"/>
        </w:rPr>
      </w:pPr>
    </w:p>
    <w:p>
      <w:pPr>
        <w:adjustRightInd w:val="0"/>
        <w:snapToGrid w:val="0"/>
        <w:spacing w:after="0" w:line="360" w:lineRule="auto"/>
        <w:ind w:firstLine="1920" w:firstLineChars="600"/>
        <w:rPr>
          <w:rFonts w:ascii="仿宋_GB2312" w:eastAsia="仿宋_GB2312" w:cs="DengXian-Regular"/>
          <w:sz w:val="32"/>
          <w:szCs w:val="32"/>
        </w:rPr>
      </w:pPr>
    </w:p>
    <w:p>
      <w:pPr>
        <w:pStyle w:val="3"/>
        <w:spacing w:before="0" w:after="0" w:line="360" w:lineRule="auto"/>
        <w:ind w:firstLine="1285" w:firstLineChars="400"/>
        <w:rPr>
          <w:rFonts w:ascii="黑体" w:eastAsia="黑体"/>
        </w:rPr>
      </w:pPr>
      <w:r>
        <w:rPr>
          <w:rFonts w:ascii="黑体" w:eastAsia="黑体"/>
        </w:rPr>
        <w:pict>
          <v:shape id="_x0000_i1026" o:spt="75" type="#_x0000_t75" style="height:185.85pt;width:333.2pt;" filled="f" o:preferrelative="t" stroked="f" coordsize="21600,21600">
            <v:path/>
            <v:fill on="f" focussize="0,0"/>
            <v:stroke on="f" joinstyle="miter"/>
            <v:imagedata r:id="rId15" o:title=""/>
            <o:lock v:ext="edit" aspectratio="t"/>
            <w10:wrap type="none"/>
            <w10:anchorlock/>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527.09万元,比2017年度减少89.14万元，降低14.47%，主要是人员工资调整变化；本年支出551.72万元，增加1.02万元，增长18.5%，主要是干部考核奖励经费增加。</w:t>
      </w:r>
    </w:p>
    <w:p>
      <w:pPr>
        <w:adjustRightInd w:val="0"/>
        <w:snapToGrid w:val="0"/>
        <w:spacing w:after="0" w:line="360" w:lineRule="auto"/>
        <w:ind w:firstLine="640" w:firstLineChars="200"/>
        <w:rPr>
          <w:rFonts w:ascii="仿宋_GB2312" w:eastAsia="仿宋_GB2312" w:cs="DengXian-Regular"/>
          <w:sz w:val="32"/>
          <w:szCs w:val="32"/>
        </w:rPr>
      </w:pPr>
      <w:r>
        <w:rPr>
          <w:rFonts w:ascii="仿宋_GB2312" w:eastAsia="仿宋_GB2312" w:cs="DengXian-Regular"/>
          <w:sz w:val="32"/>
          <w:szCs w:val="32"/>
        </w:rPr>
        <w:pict>
          <v:shape id="_x0000_i1027" o:spt="75" type="#_x0000_t75" style="height:222.7pt;width:360.85pt;" filled="f" o:preferrelative="t" stroked="f" coordsize="21600,21600">
            <v:path/>
            <v:fill on="f" focussize="0,0"/>
            <v:stroke on="f" joinstyle="miter"/>
            <v:imagedata r:id="rId16" o:title=""/>
            <o:lock v:ext="edit" aspectratio="t"/>
            <w10:wrap type="none"/>
            <w10:anchorlock/>
          </v:shape>
        </w:pic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527.09万元，完成年初预算的77.56%,比年初预算减少152.53万元，决算数小于预算数主要原因是人员工资调整以及工作开展所需经费减少；本年支出551.72万元，完成年初预算的81.18%,比年初预算减少127.9万元，决算数小于预算数主要原因是工资调整以及工作开展所需经费减少。</w:t>
      </w:r>
    </w:p>
    <w:p>
      <w:pPr>
        <w:adjustRightInd w:val="0"/>
        <w:snapToGrid w:val="0"/>
        <w:spacing w:after="0" w:line="360" w:lineRule="auto"/>
        <w:ind w:firstLine="640" w:firstLineChars="200"/>
        <w:rPr>
          <w:rFonts w:ascii="仿宋_GB2312" w:eastAsia="仿宋_GB2312" w:cs="DengXian-Regular"/>
          <w:sz w:val="32"/>
          <w:szCs w:val="32"/>
          <w:highlight w:val="yellow"/>
        </w:rPr>
      </w:pPr>
      <w:r>
        <w:rPr>
          <w:rFonts w:ascii="仿宋_GB2312" w:eastAsia="仿宋_GB2312" w:cs="DengXian-Regular"/>
          <w:sz w:val="32"/>
          <w:szCs w:val="32"/>
        </w:rPr>
        <w:drawing>
          <wp:inline distT="0" distB="0" distL="0" distR="0">
            <wp:extent cx="4572000" cy="2371725"/>
            <wp:effectExtent l="57150" t="0" r="57150" b="6667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pict>
          <v:group id="_x0000_s1031" o:spid="_x0000_s1031" o:spt="203" style="position:absolute;left:0pt;margin-left:45.95pt;margin-top:0.4pt;height:208.2pt;width:343.1pt;z-index:-251645952;mso-width-relative:page;mso-height-relative:page;" coordorigin="52,2257" coordsize="63,-4447640" o:gfxdata="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">
            <o:lock v:ext="edit"/>
            <v:shape id="图片 6" o:spid="_x0000_s1033" o:spt="75" type="#_x0000_t75" style="position:absolute;left:54;top:2257;height:33;width:59;" filled="f" o:preferrelative="t" stroked="f" coordsize="21600,21600" o:gfxdata="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pifeugAAANsA&#10;AAAPAAAAAAAAAAEAIAAAACIAAABkcnMvZG93bnJldi54bWxQSwECFAAUAAAACACHTuJAMy8FnjsA&#10;AAA5AAAAEAAAAAAAAAABACAAAAAJAQAAZHJzL3NoYXBleG1sLnhtbFBLBQYAAAAABgAGAFsBAACz&#10;AwAAAAA=&#10;">
              <v:path/>
              <v:fill on="f" focussize="0,0"/>
              <v:stroke on="f" joinstyle="miter"/>
              <v:imagedata r:id="rId18" o:title=""/>
              <o:lock v:ext="edit" aspectratio="t"/>
            </v:shape>
            <v:shape id="文本框 28" o:spid="_x0000_s1032" o:spt="202" type="#_x0000_t202" style="position:absolute;left:52;top:2288;height:7;width:63;" stroked="f" coordsize="21600,21600" o:gfxdata="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uorsAAADb&#10;AAAADwAAAAAAAAABACAAAAAiAAAAZHJzL2Rvd25yZXYueG1sUEsBAhQAFAAAAAgAh07iQDMvBZ47&#10;AAAAOQAAABAAAAAAAAAAAQAgAAAACgEAAGRycy9zaGFwZXhtbC54bWxQSwUGAAAAAAYABgBbAQAA&#10;tAM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pPr>
                      <w:rPr>
                        <w:sz w:val="18"/>
                        <w:szCs w:val="21"/>
                      </w:rPr>
                    </w:pPr>
                  </w:p>
                </w:txbxContent>
              </v:textbox>
            </v:shape>
          </v:group>
        </w:pic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年度财政拨款支出551.72万元，主要用于以下方面：一般公共服务（类）支出498.10万元，占90.28%；社会保障和就业（类）支出52.01万元，占9.43%；农林水（类）支出1.60万元，占 0.29%。</w:t>
      </w:r>
    </w:p>
    <w:p>
      <w:pPr>
        <w:adjustRightInd w:val="0"/>
        <w:snapToGrid w:val="0"/>
        <w:spacing w:after="0" w:line="580" w:lineRule="exact"/>
        <w:ind w:left="420" w:leftChars="200"/>
        <w:rPr>
          <w:rFonts w:ascii="楷体_GB2312" w:eastAsia="楷体_GB2312" w:cs="DengXian-Bold"/>
          <w:b/>
          <w:bCs/>
          <w:sz w:val="32"/>
          <w:szCs w:val="32"/>
        </w:rPr>
      </w:pPr>
      <w:r>
        <w:rPr>
          <w:rFonts w:ascii="仿宋_GB2312" w:eastAsia="仿宋_GB2312" w:cs="DengXian-Regular"/>
          <w:sz w:val="32"/>
          <w:szCs w:val="32"/>
        </w:rPr>
        <w:pict>
          <v:shape id="_x0000_s1053" o:spid="_x0000_s1053" o:spt="75" type="#_x0000_t75" style="position:absolute;left:0pt;margin-left:60.05pt;margin-top:26.4pt;height:191.3pt;width:284.9pt;mso-wrap-distance-bottom:0pt;mso-wrap-distance-left:9pt;mso-wrap-distance-right:9pt;mso-wrap-distance-top:0pt;z-index:251671552;mso-width-relative:page;mso-height-relative:page;" filled="f" o:preferrelative="t" stroked="f" coordsize="21600,21600">
            <v:path/>
            <v:fill on="f" focussize="0,0"/>
            <v:stroke on="f" joinstyle="miter"/>
            <v:imagedata r:id="rId19" o:title=""/>
            <o:lock v:ext="edit" aspectratio="t"/>
            <w10:wrap type="square"/>
          </v:shape>
        </w:pict>
      </w: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502.55万元，其中：人员经费293.38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209.17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“三公”经费支出共计3万元，</w:t>
      </w:r>
      <w:r>
        <w:rPr>
          <w:rFonts w:hint="eastAsia" w:ascii="仿宋_GB2312" w:eastAsia="仿宋_GB2312" w:cs="DengXian-Regular"/>
          <w:b/>
          <w:bCs/>
          <w:sz w:val="32"/>
          <w:szCs w:val="32"/>
        </w:rPr>
        <w:t>较年初预算持平，</w:t>
      </w:r>
      <w:r>
        <w:rPr>
          <w:rFonts w:hint="eastAsia" w:ascii="仿宋_GB2312" w:eastAsia="仿宋_GB2312" w:cs="DengXian-Regular"/>
          <w:sz w:val="32"/>
          <w:szCs w:val="32"/>
        </w:rPr>
        <w:t>主要是控制“三公”经费支出。具体情况如下：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本部门2018年度因公出国（境）团组0个、共0人。因公出国（境）费支出与年初预算无变化,主要是末发生因公出国（境）业务。</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（二）公务用车购置及运行维护费支出3万元。</w:t>
      </w:r>
      <w:r>
        <w:rPr>
          <w:rFonts w:hint="eastAsia" w:ascii="仿宋_GB2312" w:eastAsia="仿宋_GB2312" w:cs="DengXian-Regular"/>
          <w:sz w:val="32"/>
          <w:szCs w:val="32"/>
        </w:rPr>
        <w:t>本部门2018年度公务用车购置及运行维护费较年初预算持平，主要是控制“三公”经费支出。</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本部门2018年度公务用车购置量0辆，末发生“公务用车购置”经费支出，与年初预算持平。</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本部门2018年度单位公务用车保有量1辆。公车运行维护费3元，较年初预算持平，主要是控制“三公”经费支出。</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（三）公务接待费支出0万元。</w:t>
      </w:r>
      <w:r>
        <w:rPr>
          <w:rFonts w:hint="eastAsia" w:ascii="仿宋_GB2312" w:eastAsia="仿宋_GB2312" w:cs="DengXian-Regular"/>
          <w:sz w:val="32"/>
          <w:szCs w:val="32"/>
        </w:rPr>
        <w:t>本部门2018年度公务接待共0批次、0人次。公务接待费支出与年初预算持平，无增减变化，主要是末发生公务接待。</w:t>
      </w:r>
    </w:p>
    <w:p>
      <w:pPr>
        <w:pStyle w:val="3"/>
        <w:spacing w:before="0" w:after="0" w:line="580" w:lineRule="exact"/>
        <w:ind w:firstLine="643" w:firstLineChars="200"/>
        <w:rPr>
          <w:rFonts w:ascii="黑体" w:eastAsia="黑体" w:cs="Times New Roman"/>
        </w:rPr>
      </w:pPr>
      <w:r>
        <w:rPr>
          <w:rFonts w:hint="eastAsia" w:ascii="黑体" w:eastAsia="黑体"/>
          <w:szCs w:val="40"/>
        </w:rPr>
        <w:t>六、</w:t>
      </w:r>
      <w:r>
        <w:rPr>
          <w:rFonts w:hint="eastAsia" w:ascii="黑体" w:eastAsia="黑体" w:cs="Times New Roman"/>
        </w:rPr>
        <w:t>绩效预算情况说明</w:t>
      </w:r>
    </w:p>
    <w:p>
      <w:pPr>
        <w:pStyle w:val="17"/>
        <w:spacing w:after="0" w:line="580" w:lineRule="exact"/>
        <w:ind w:firstLine="640" w:firstLineChars="200"/>
        <w:rPr>
          <w:rFonts w:ascii="仿宋_GB2312" w:eastAsia="仿宋_GB2312"/>
          <w:color w:val="FF0000"/>
          <w:sz w:val="32"/>
          <w:szCs w:val="32"/>
        </w:rPr>
      </w:pPr>
      <w:r>
        <w:rPr>
          <w:rFonts w:hint="eastAsia" w:ascii="仿宋_GB2312" w:eastAsia="仿宋_GB2312"/>
          <w:sz w:val="32"/>
          <w:szCs w:val="32"/>
        </w:rPr>
        <w:t>（一）绩效管理工作开展情况。根据《关于开展2018年度财政专项资金部门绩效自评价工作的通知》（无财[2019]13号），本单位认真开展了预算绩效管理改革开展情况自查，对部门全面规范绩效预算编制、严格预算执行管理、推进绩效评价工作、推进预决算信息公开等方面进行了自评，考核结果为良好。</w:t>
      </w:r>
    </w:p>
    <w:p>
      <w:pPr>
        <w:pStyle w:val="17"/>
        <w:spacing w:after="0" w:line="580" w:lineRule="exact"/>
        <w:ind w:firstLine="640" w:firstLineChars="200"/>
        <w:rPr>
          <w:rFonts w:ascii="仿宋_GB2312" w:eastAsia="仿宋_GB2312"/>
          <w:sz w:val="32"/>
          <w:szCs w:val="32"/>
        </w:rPr>
      </w:pPr>
      <w:r>
        <w:rPr>
          <w:rFonts w:hint="eastAsia" w:ascii="仿宋_GB2312" w:eastAsia="仿宋_GB2312"/>
          <w:sz w:val="32"/>
          <w:szCs w:val="32"/>
        </w:rPr>
        <w:t>（二）</w:t>
      </w:r>
      <w:r>
        <w:rPr>
          <w:rFonts w:hint="eastAsia" w:ascii="仿宋_GB2312" w:hAnsi="宋体" w:eastAsia="仿宋_GB2312" w:cs="仿宋_GB2312"/>
          <w:color w:val="000000"/>
          <w:sz w:val="32"/>
          <w:szCs w:val="32"/>
        </w:rPr>
        <w:t>预算项目绩效评价开展情况，根据预算绩效管理要求，</w:t>
      </w:r>
      <w:r>
        <w:rPr>
          <w:rFonts w:hint="eastAsia" w:ascii="仿宋_GB2312" w:eastAsia="仿宋_GB2312"/>
          <w:sz w:val="32"/>
          <w:szCs w:val="32"/>
        </w:rPr>
        <w:t>本单位组织对2018年度一般公共预算项目支出全面开展绩效自评，涉及党员教育培训经费、村级活动场所运行维护经费、远教站点运行服务费等3个项目，涉及资金96.24万元。从评价情况看，评价结果为优秀的项目有1个，良好的项目有2个。</w:t>
      </w:r>
    </w:p>
    <w:p>
      <w:pPr>
        <w:pStyle w:val="17"/>
        <w:spacing w:after="0" w:line="580" w:lineRule="exact"/>
        <w:ind w:firstLine="640" w:firstLineChars="200"/>
        <w:rPr>
          <w:rFonts w:ascii="仿宋_GB2312" w:eastAsia="仿宋_GB2312"/>
          <w:sz w:val="32"/>
          <w:szCs w:val="32"/>
        </w:rPr>
      </w:pPr>
      <w:r>
        <w:rPr>
          <w:rFonts w:hint="eastAsia" w:ascii="仿宋_GB2312" w:eastAsia="仿宋_GB2312"/>
          <w:sz w:val="32"/>
          <w:szCs w:val="32"/>
        </w:rPr>
        <w:t>（三）预算项目绩效自评选例</w:t>
      </w:r>
    </w:p>
    <w:p>
      <w:pPr>
        <w:pStyle w:val="17"/>
        <w:spacing w:after="0" w:line="580" w:lineRule="exact"/>
        <w:ind w:firstLine="640" w:firstLineChars="200"/>
        <w:rPr>
          <w:rFonts w:ascii="仿宋_GB2312" w:eastAsia="仿宋_GB2312"/>
          <w:sz w:val="32"/>
          <w:szCs w:val="32"/>
        </w:rPr>
      </w:pPr>
      <w:r>
        <w:rPr>
          <w:rFonts w:hint="eastAsia" w:ascii="仿宋_GB2312" w:hAnsi="宋体" w:eastAsia="仿宋_GB2312" w:cs="仿宋_GB2312"/>
          <w:color w:val="000000"/>
          <w:sz w:val="32"/>
          <w:szCs w:val="32"/>
        </w:rPr>
        <w:t>本</w:t>
      </w:r>
      <w:r>
        <w:rPr>
          <w:rFonts w:hint="eastAsia" w:ascii="仿宋_GB2312" w:eastAsia="仿宋_GB2312"/>
          <w:sz w:val="32"/>
          <w:szCs w:val="32"/>
        </w:rPr>
        <w:t xml:space="preserve">部门项目支出符合单位职责和相关管理规定，绩效目标合 </w:t>
      </w:r>
    </w:p>
    <w:p>
      <w:pPr>
        <w:pStyle w:val="17"/>
        <w:spacing w:after="0" w:line="580" w:lineRule="exact"/>
        <w:rPr>
          <w:rFonts w:ascii="仿宋_GB2312" w:eastAsia="仿宋_GB2312"/>
          <w:sz w:val="32"/>
          <w:szCs w:val="32"/>
        </w:rPr>
      </w:pPr>
      <w:r>
        <w:rPr>
          <w:rFonts w:hint="eastAsia" w:ascii="仿宋_GB2312" w:eastAsia="仿宋_GB2312"/>
          <w:sz w:val="32"/>
          <w:szCs w:val="32"/>
        </w:rPr>
        <w:t xml:space="preserve">理，项目较好完成了目标任务，产生了较好地经济效益和社会效 </w:t>
      </w:r>
    </w:p>
    <w:p>
      <w:pPr>
        <w:pStyle w:val="17"/>
        <w:spacing w:after="0" w:line="580" w:lineRule="exact"/>
        <w:rPr>
          <w:rFonts w:ascii="仿宋_GB2312" w:eastAsia="仿宋_GB2312"/>
          <w:sz w:val="32"/>
          <w:szCs w:val="32"/>
        </w:rPr>
      </w:pPr>
      <w:r>
        <w:rPr>
          <w:rFonts w:hint="eastAsia" w:ascii="仿宋_GB2312" w:eastAsia="仿宋_GB2312"/>
          <w:sz w:val="32"/>
          <w:szCs w:val="32"/>
        </w:rPr>
        <w:t>益，达到了预期绩效目标。</w:t>
      </w:r>
    </w:p>
    <w:p>
      <w:pPr>
        <w:pStyle w:val="17"/>
        <w:spacing w:after="0" w:line="580" w:lineRule="exact"/>
        <w:ind w:firstLine="640" w:firstLineChars="200"/>
        <w:rPr>
          <w:rFonts w:ascii="仿宋_GB2312" w:eastAsia="仿宋_GB2312"/>
          <w:sz w:val="32"/>
          <w:szCs w:val="32"/>
        </w:rPr>
      </w:pPr>
      <w:r>
        <w:rPr>
          <w:rFonts w:hint="eastAsia" w:ascii="仿宋_GB2312" w:eastAsia="仿宋_GB2312"/>
          <w:sz w:val="32"/>
          <w:szCs w:val="32"/>
        </w:rPr>
        <w:t>本单位村级活动场所运行维护经费项目绩效自评：根据年初设定的绩效目标，村级活动场所运行维护经费项目绩效自评结果为优秀。项目全年预算数为80万元，执行数为80万元，完成预算的100%。主要产出和效果是确保了全县村级活动场所运行维护经费补助资金的足额发放。</w:t>
      </w:r>
    </w:p>
    <w:p>
      <w:pPr>
        <w:pStyle w:val="17"/>
        <w:spacing w:after="0" w:line="580" w:lineRule="exact"/>
        <w:ind w:firstLine="640" w:firstLineChars="200"/>
        <w:rPr>
          <w:rFonts w:ascii="仿宋_GB2312" w:eastAsia="仿宋_GB2312"/>
          <w:sz w:val="32"/>
          <w:szCs w:val="32"/>
        </w:rPr>
      </w:pPr>
      <w:r>
        <w:rPr>
          <w:rFonts w:hint="eastAsia" w:ascii="仿宋_GB2312" w:eastAsia="仿宋_GB2312"/>
          <w:sz w:val="32"/>
          <w:szCs w:val="32"/>
        </w:rPr>
        <w:t>本单位远教站点运行服务费项目绩效自评：根据年初设定的绩效目标，远教站点运行服务费项目绩效自评结果为良好。项目全年预算数为9.24万元，执行数为9.24万元，完成预算的100%。主要产出和效果是确保了全县村级远教站点运行维护经费的足额发放。</w:t>
      </w:r>
    </w:p>
    <w:p>
      <w:pPr>
        <w:pStyle w:val="17"/>
        <w:spacing w:after="0" w:line="580" w:lineRule="exact"/>
        <w:ind w:firstLine="640" w:firstLineChars="200"/>
        <w:rPr>
          <w:rFonts w:ascii="仿宋_GB2312" w:eastAsia="仿宋_GB2312"/>
          <w:sz w:val="32"/>
          <w:szCs w:val="32"/>
        </w:rPr>
      </w:pPr>
      <w:r>
        <w:rPr>
          <w:rFonts w:hint="eastAsia" w:ascii="仿宋_GB2312" w:eastAsia="仿宋_GB2312"/>
          <w:sz w:val="32"/>
          <w:szCs w:val="32"/>
        </w:rPr>
        <w:t>本单位党员教育培训经费绩效自评：根据年初设定的绩效目标，党员教育培训经费项目绩效自评结果为良好。项目全年预算数为7万元，执行数为7万元，完成预算的100%。主要产出和效果是确保了全县党员教育培训的全覆盖。</w:t>
      </w:r>
    </w:p>
    <w:p>
      <w:pPr>
        <w:pStyle w:val="17"/>
        <w:spacing w:after="0" w:line="580" w:lineRule="exact"/>
        <w:ind w:firstLine="640" w:firstLineChars="200"/>
        <w:rPr>
          <w:rFonts w:ascii="仿宋_GB2312" w:eastAsia="仿宋_GB2312"/>
          <w:sz w:val="32"/>
          <w:szCs w:val="32"/>
        </w:rPr>
      </w:pPr>
      <w:r>
        <w:rPr>
          <w:rFonts w:hint="eastAsia" w:ascii="仿宋_GB2312" w:hAnsi="宋体" w:eastAsia="仿宋_GB2312" w:cs="仿宋_GB2312"/>
          <w:color w:val="000000"/>
          <w:sz w:val="32"/>
          <w:szCs w:val="32"/>
        </w:rPr>
        <w:t xml:space="preserve">发现的问题及原因：一是资金使用率不高，部分资金支出缓慢；二是实施程序不很到位；三是监督检查不很到位。 </w:t>
      </w:r>
    </w:p>
    <w:p>
      <w:pPr>
        <w:pStyle w:val="17"/>
        <w:spacing w:after="0" w:line="580" w:lineRule="exact"/>
        <w:ind w:firstLine="640" w:firstLineChars="200"/>
        <w:rPr>
          <w:rFonts w:ascii="仿宋_GB2312" w:eastAsia="仿宋_GB2312"/>
          <w:sz w:val="32"/>
          <w:szCs w:val="32"/>
        </w:rPr>
      </w:pPr>
      <w:r>
        <w:rPr>
          <w:rFonts w:hint="eastAsia" w:ascii="仿宋_GB2312" w:hAnsi="宋体" w:eastAsia="仿宋_GB2312" w:cs="仿宋_GB2312"/>
          <w:color w:val="000000"/>
          <w:sz w:val="32"/>
          <w:szCs w:val="32"/>
        </w:rPr>
        <w:t xml:space="preserve">下一步改进措施：一是提高资金的使用效率；二是完善项目 </w:t>
      </w:r>
    </w:p>
    <w:p>
      <w:pPr>
        <w:pStyle w:val="17"/>
        <w:spacing w:after="0" w:line="580" w:lineRule="exact"/>
        <w:rPr>
          <w:rFonts w:ascii="仿宋_GB2312" w:eastAsia="仿宋_GB2312"/>
          <w:sz w:val="32"/>
          <w:szCs w:val="32"/>
        </w:rPr>
      </w:pPr>
      <w:r>
        <w:rPr>
          <w:rFonts w:hint="eastAsia" w:ascii="仿宋_GB2312" w:hAnsi="宋体" w:eastAsia="仿宋_GB2312" w:cs="仿宋_GB2312"/>
          <w:color w:val="000000"/>
          <w:sz w:val="32"/>
          <w:szCs w:val="32"/>
        </w:rPr>
        <w:t xml:space="preserve">实施程序；三是加强日常监督；四是科学合理制定产出目标；五 </w:t>
      </w:r>
    </w:p>
    <w:p>
      <w:pPr>
        <w:pStyle w:val="17"/>
        <w:spacing w:after="0" w:line="580" w:lineRule="exact"/>
        <w:rPr>
          <w:rFonts w:ascii="仿宋_GB2312" w:eastAsia="仿宋_GB2312"/>
          <w:sz w:val="32"/>
          <w:szCs w:val="32"/>
        </w:rPr>
      </w:pPr>
      <w:r>
        <w:rPr>
          <w:rFonts w:hint="eastAsia" w:ascii="仿宋_GB2312" w:hAnsi="宋体" w:eastAsia="仿宋_GB2312" w:cs="仿宋_GB2312"/>
          <w:color w:val="000000"/>
          <w:sz w:val="32"/>
          <w:szCs w:val="32"/>
        </w:rPr>
        <w:t>是重视并加强满意度调查工作。</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本部门2018年度机关运行经费支出209.17万元，比年初预算数增加177.71万元，增长84.96%。主要原因是机关运行经费增加。</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本部门2018年度政府采购支出总额36.9万元，从采购类型来看，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34.15</w:t>
      </w:r>
      <w:r>
        <w:rPr>
          <w:rFonts w:ascii="仿宋_GB2312" w:hAnsi="仿宋_GB2312" w:eastAsia="仿宋_GB2312" w:cs="仿宋_GB2312"/>
          <w:color w:val="000000"/>
          <w:kern w:val="0"/>
          <w:sz w:val="32"/>
          <w:szCs w:val="32"/>
        </w:rPr>
        <w:t xml:space="preserve"> 万元、政府采购工程支出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万元、政府采购服务支出 </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rPr>
        <w:t>34.15</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100</w:t>
      </w:r>
      <w:r>
        <w:rPr>
          <w:rFonts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1辆，比上年持平。其中，副部（省）级及以上领导用车0辆，主要领导干部用车0辆，机要通信用车0辆，应急保障用车0辆，执法执勤用车0辆，特种专业技术用车0辆，离退休干部用车0辆，其他用车1辆，其他用车主要是上报材料开会和下乡督导工作用车；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万元以上通用设备0台（套），比上年持平，单位价值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万元以上专用设备0台（套）比上年持平。</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1、本部门2018年度政府性基金预算财政拨款及国有资本经营预算财政拨款无收支及结转结余情况，故政府性基金预算财政拨款收入支出决算表和国有资本经营预算财政拨款支出决算表以空表列示。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pPr>
        <w:widowControl/>
        <w:spacing w:after="0" w:line="580" w:lineRule="exact"/>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745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13" cstate="print"/>
                    <a:stretch>
                      <a:fillRect/>
                    </a:stretch>
                  </pic:blipFill>
                  <pic:spPr>
                    <a:xfrm>
                      <a:off x="0" y="0"/>
                      <a:ext cx="7550150" cy="10680065"/>
                    </a:xfrm>
                    <a:prstGeom prst="rect">
                      <a:avLst/>
                    </a:prstGeom>
                  </pic:spPr>
                </pic:pic>
              </a:graphicData>
            </a:graphic>
          </wp:anchor>
        </w:drawing>
      </w:r>
      <w:r>
        <w:rPr>
          <w:sz w:val="72"/>
        </w:rPr>
        <w:pict>
          <v:shape id="_x0000_s1027" o:spid="_x0000_s1027" o:spt="202" type="#_x0000_t202" style="position:absolute;left:0pt;margin-left:-78.7pt;margin-top:232.8pt;height:159.1pt;width:596.2pt;z-index:25166643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bookmarkStart w:id="0" w:name="_GoBack"/>
      <w:bookmarkEnd w:id="0"/>
      <w:r>
        <w:rPr>
          <w:rFonts w:ascii="仿宋_GB2312" w:eastAsia="仿宋_GB2312" w:cs="ArialUnicodeMS" w:hAnsiTheme="minorHAnsi"/>
          <w:kern w:val="0"/>
          <w:sz w:val="32"/>
          <w:szCs w:val="32"/>
        </w:rPr>
        <w:drawing>
          <wp:anchor distT="0" distB="0" distL="114300" distR="114300" simplePos="0" relativeHeight="251668480"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20"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C5621E1-BFBB-4A45-9BD5-2786F5095118}"/>
  </w:font>
  <w:font w:name="黑体">
    <w:panose1 w:val="02010609060101010101"/>
    <w:charset w:val="86"/>
    <w:family w:val="auto"/>
    <w:pitch w:val="default"/>
    <w:sig w:usb0="800002BF" w:usb1="38CF7CFA" w:usb2="00000016" w:usb3="00000000" w:csb0="00040001" w:csb1="00000000"/>
    <w:embedRegular r:id="rId2" w:fontKey="{F4EF3B16-A4FA-40E4-A34F-4A7E0F4111B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3" w:fontKey="{C4FCA9EC-D71E-41FC-A417-A40399A00C27}"/>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楷体">
    <w:panose1 w:val="02010609060101010101"/>
    <w:charset w:val="86"/>
    <w:family w:val="modern"/>
    <w:pitch w:val="default"/>
    <w:sig w:usb0="800002BF" w:usb1="38CF7CFA" w:usb2="00000016" w:usb3="00000000" w:csb0="00040001" w:csb1="00000000"/>
    <w:embedRegular r:id="rId4" w:fontKey="{BA780DA4-6489-45E5-AB47-12ADFB85277A}"/>
  </w:font>
  <w:font w:name="楷体_GB2312">
    <w:panose1 w:val="02010609030101010101"/>
    <w:charset w:val="86"/>
    <w:family w:val="modern"/>
    <w:pitch w:val="default"/>
    <w:sig w:usb0="00000001" w:usb1="080E0000" w:usb2="00000000" w:usb3="00000000" w:csb0="00040000" w:csb1="00000000"/>
    <w:embedRegular r:id="rId5" w:fontKey="{A18F285B-0D35-4B5B-B170-BE61BF65102D}"/>
  </w:font>
  <w:font w:name="仿宋_GB2312">
    <w:panose1 w:val="02010609030101010101"/>
    <w:charset w:val="86"/>
    <w:family w:val="modern"/>
    <w:pitch w:val="default"/>
    <w:sig w:usb0="00000001" w:usb1="080E0000" w:usb2="00000000" w:usb3="00000000" w:csb0="00040000" w:csb1="00000000"/>
    <w:embedRegular r:id="rId6" w:fontKey="{E1917E81-7613-4DFB-8936-791662711AA7}"/>
  </w:font>
  <w:font w:name="ArialUnicodeMS">
    <w:altName w:val="Malgun Gothic"/>
    <w:panose1 w:val="00000000000000000000"/>
    <w:charset w:val="81"/>
    <w:family w:val="auto"/>
    <w:pitch w:val="default"/>
    <w:sig w:usb0="00000000" w:usb1="00000000" w:usb2="00000010" w:usb3="00000000" w:csb0="00080001" w:csb1="00000000"/>
    <w:embedRegular r:id="rId7" w:fontKey="{B8C6A3E0-085D-4DB9-B58B-C208DE70A303}"/>
  </w:font>
  <w:font w:name="Malgun Gothic">
    <w:panose1 w:val="020B0503020000020004"/>
    <w:charset w:val="81"/>
    <w:family w:val="auto"/>
    <w:pitch w:val="default"/>
    <w:sig w:usb0="9000002F" w:usb1="29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8" w:fontKey="{E7C73C9C-385A-4672-9D50-5F49A4471C3C}"/>
  </w:font>
  <w:font w:name="DengXian-Regular">
    <w:altName w:val="宋体"/>
    <w:panose1 w:val="00000000000000000000"/>
    <w:charset w:val="86"/>
    <w:family w:val="auto"/>
    <w:pitch w:val="default"/>
    <w:sig w:usb0="00000000" w:usb1="00000000" w:usb2="00000010" w:usb3="00000000" w:csb0="00040001" w:csb1="00000000"/>
    <w:embedRegular r:id="rId9" w:fontKey="{EBC6D798-FF5A-4ED5-A748-9824CB15B631}"/>
  </w:font>
  <w:font w:name="DengXian-Bold">
    <w:altName w:val="宋体"/>
    <w:panose1 w:val="00000000000000000000"/>
    <w:charset w:val="86"/>
    <w:family w:val="auto"/>
    <w:pitch w:val="default"/>
    <w:sig w:usb0="00000000" w:usb1="00000000" w:usb2="00000010" w:usb3="00000000" w:csb0="00040001" w:csb1="00000000"/>
    <w:embedRegular r:id="rId10" w:fontKey="{B8944AA2-33DB-402F-8D16-CA37AB7B9DCE}"/>
  </w:font>
  <w:font w:name="TimesNewRomanPSMT">
    <w:altName w:val="Arial"/>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1413"/>
    <w:rsid w:val="00024E7F"/>
    <w:rsid w:val="000475A0"/>
    <w:rsid w:val="000575E7"/>
    <w:rsid w:val="000838C3"/>
    <w:rsid w:val="00085852"/>
    <w:rsid w:val="000B2446"/>
    <w:rsid w:val="000C0B24"/>
    <w:rsid w:val="000D2808"/>
    <w:rsid w:val="000D7C65"/>
    <w:rsid w:val="000E2F81"/>
    <w:rsid w:val="001150E8"/>
    <w:rsid w:val="00117946"/>
    <w:rsid w:val="00117E2C"/>
    <w:rsid w:val="00146C47"/>
    <w:rsid w:val="00152FB8"/>
    <w:rsid w:val="00176658"/>
    <w:rsid w:val="0018239E"/>
    <w:rsid w:val="00195141"/>
    <w:rsid w:val="001B3410"/>
    <w:rsid w:val="001C030D"/>
    <w:rsid w:val="001C4A84"/>
    <w:rsid w:val="001E5902"/>
    <w:rsid w:val="002041C1"/>
    <w:rsid w:val="00221B5E"/>
    <w:rsid w:val="00224E91"/>
    <w:rsid w:val="00227073"/>
    <w:rsid w:val="00233705"/>
    <w:rsid w:val="00256E7B"/>
    <w:rsid w:val="00262817"/>
    <w:rsid w:val="00275CA2"/>
    <w:rsid w:val="002917C3"/>
    <w:rsid w:val="002A65A5"/>
    <w:rsid w:val="002C04C4"/>
    <w:rsid w:val="002D08B0"/>
    <w:rsid w:val="002D1AE3"/>
    <w:rsid w:val="002F2ECE"/>
    <w:rsid w:val="00317C90"/>
    <w:rsid w:val="00341C8F"/>
    <w:rsid w:val="003539CE"/>
    <w:rsid w:val="0035463A"/>
    <w:rsid w:val="00391D9D"/>
    <w:rsid w:val="00391E1D"/>
    <w:rsid w:val="003B6C51"/>
    <w:rsid w:val="003C1413"/>
    <w:rsid w:val="003C549F"/>
    <w:rsid w:val="003D5A16"/>
    <w:rsid w:val="003E7DB3"/>
    <w:rsid w:val="003F7EC9"/>
    <w:rsid w:val="00431175"/>
    <w:rsid w:val="00480EDF"/>
    <w:rsid w:val="0049576D"/>
    <w:rsid w:val="004B6E37"/>
    <w:rsid w:val="004C32BA"/>
    <w:rsid w:val="004E4D28"/>
    <w:rsid w:val="00502871"/>
    <w:rsid w:val="00535977"/>
    <w:rsid w:val="00553FF0"/>
    <w:rsid w:val="00575922"/>
    <w:rsid w:val="00575F0F"/>
    <w:rsid w:val="005A6C90"/>
    <w:rsid w:val="005E3FB0"/>
    <w:rsid w:val="005F4B66"/>
    <w:rsid w:val="005F5208"/>
    <w:rsid w:val="006275CD"/>
    <w:rsid w:val="00641318"/>
    <w:rsid w:val="0064405D"/>
    <w:rsid w:val="00657EA0"/>
    <w:rsid w:val="00676525"/>
    <w:rsid w:val="00685302"/>
    <w:rsid w:val="00695557"/>
    <w:rsid w:val="006D4EA7"/>
    <w:rsid w:val="006E2DC3"/>
    <w:rsid w:val="006F089C"/>
    <w:rsid w:val="0070012A"/>
    <w:rsid w:val="00704A74"/>
    <w:rsid w:val="0070664B"/>
    <w:rsid w:val="007071B8"/>
    <w:rsid w:val="007414DE"/>
    <w:rsid w:val="0074209C"/>
    <w:rsid w:val="007905A9"/>
    <w:rsid w:val="007E5500"/>
    <w:rsid w:val="007F055B"/>
    <w:rsid w:val="00801DB9"/>
    <w:rsid w:val="0080644C"/>
    <w:rsid w:val="00811C2F"/>
    <w:rsid w:val="00833D46"/>
    <w:rsid w:val="00840A97"/>
    <w:rsid w:val="0084125B"/>
    <w:rsid w:val="008C0149"/>
    <w:rsid w:val="008C689C"/>
    <w:rsid w:val="008D5DED"/>
    <w:rsid w:val="008E25CA"/>
    <w:rsid w:val="008E6E04"/>
    <w:rsid w:val="008F34FC"/>
    <w:rsid w:val="00903B14"/>
    <w:rsid w:val="00935058"/>
    <w:rsid w:val="00944CD7"/>
    <w:rsid w:val="00982EBC"/>
    <w:rsid w:val="009831B2"/>
    <w:rsid w:val="009A1ABE"/>
    <w:rsid w:val="009C2222"/>
    <w:rsid w:val="009E21A4"/>
    <w:rsid w:val="009F22C6"/>
    <w:rsid w:val="009F277C"/>
    <w:rsid w:val="00A07E50"/>
    <w:rsid w:val="00A15397"/>
    <w:rsid w:val="00A35CE0"/>
    <w:rsid w:val="00A4462E"/>
    <w:rsid w:val="00A44AA4"/>
    <w:rsid w:val="00A61623"/>
    <w:rsid w:val="00A84687"/>
    <w:rsid w:val="00AB0A0E"/>
    <w:rsid w:val="00AD3B6E"/>
    <w:rsid w:val="00B1751F"/>
    <w:rsid w:val="00B35BAD"/>
    <w:rsid w:val="00B54F07"/>
    <w:rsid w:val="00B56722"/>
    <w:rsid w:val="00B74D39"/>
    <w:rsid w:val="00B91DA4"/>
    <w:rsid w:val="00BA4820"/>
    <w:rsid w:val="00BB32C2"/>
    <w:rsid w:val="00BC2472"/>
    <w:rsid w:val="00BD4FAA"/>
    <w:rsid w:val="00C12630"/>
    <w:rsid w:val="00C34562"/>
    <w:rsid w:val="00C3774E"/>
    <w:rsid w:val="00C57456"/>
    <w:rsid w:val="00C65387"/>
    <w:rsid w:val="00C87FAB"/>
    <w:rsid w:val="00C91FF7"/>
    <w:rsid w:val="00C94E53"/>
    <w:rsid w:val="00CA3709"/>
    <w:rsid w:val="00CA709D"/>
    <w:rsid w:val="00CB132C"/>
    <w:rsid w:val="00D0048E"/>
    <w:rsid w:val="00D03D5B"/>
    <w:rsid w:val="00D23E7A"/>
    <w:rsid w:val="00D50B4D"/>
    <w:rsid w:val="00D61063"/>
    <w:rsid w:val="00D8746B"/>
    <w:rsid w:val="00DB312D"/>
    <w:rsid w:val="00DB35AF"/>
    <w:rsid w:val="00DD72D7"/>
    <w:rsid w:val="00DF0B82"/>
    <w:rsid w:val="00DF5B88"/>
    <w:rsid w:val="00E0589E"/>
    <w:rsid w:val="00E241FA"/>
    <w:rsid w:val="00E2595E"/>
    <w:rsid w:val="00E35374"/>
    <w:rsid w:val="00E50C19"/>
    <w:rsid w:val="00E56CF5"/>
    <w:rsid w:val="00E603FF"/>
    <w:rsid w:val="00E60F29"/>
    <w:rsid w:val="00E64655"/>
    <w:rsid w:val="00E73081"/>
    <w:rsid w:val="00E856C9"/>
    <w:rsid w:val="00E8744D"/>
    <w:rsid w:val="00EB4A7A"/>
    <w:rsid w:val="00EB6A8B"/>
    <w:rsid w:val="00EC48F7"/>
    <w:rsid w:val="00EC622D"/>
    <w:rsid w:val="00EF38C6"/>
    <w:rsid w:val="00F679C7"/>
    <w:rsid w:val="00F7711A"/>
    <w:rsid w:val="00F80A7D"/>
    <w:rsid w:val="00F9203E"/>
    <w:rsid w:val="00F97068"/>
    <w:rsid w:val="00FA0CB3"/>
    <w:rsid w:val="00FA0D58"/>
    <w:rsid w:val="00FA56F4"/>
    <w:rsid w:val="00FB4B4A"/>
    <w:rsid w:val="00FB4EDA"/>
    <w:rsid w:val="00FD3BD5"/>
    <w:rsid w:val="00FE3DC8"/>
    <w:rsid w:val="00FF6776"/>
    <w:rsid w:val="02ED1254"/>
    <w:rsid w:val="04073F84"/>
    <w:rsid w:val="045247B6"/>
    <w:rsid w:val="075D39B8"/>
    <w:rsid w:val="07C44989"/>
    <w:rsid w:val="09EB1208"/>
    <w:rsid w:val="0AA36288"/>
    <w:rsid w:val="0B60750A"/>
    <w:rsid w:val="0DDB58B1"/>
    <w:rsid w:val="0E233B3F"/>
    <w:rsid w:val="10686488"/>
    <w:rsid w:val="10DF728A"/>
    <w:rsid w:val="11CB21D0"/>
    <w:rsid w:val="11DD6731"/>
    <w:rsid w:val="11FA1A9A"/>
    <w:rsid w:val="1264200E"/>
    <w:rsid w:val="141C5B77"/>
    <w:rsid w:val="14B02165"/>
    <w:rsid w:val="15481579"/>
    <w:rsid w:val="15BA0138"/>
    <w:rsid w:val="16DA4B10"/>
    <w:rsid w:val="17093048"/>
    <w:rsid w:val="18CA1427"/>
    <w:rsid w:val="18D8339D"/>
    <w:rsid w:val="1A21388F"/>
    <w:rsid w:val="1A570D2F"/>
    <w:rsid w:val="1A8C77F5"/>
    <w:rsid w:val="1D814949"/>
    <w:rsid w:val="1DB9279C"/>
    <w:rsid w:val="1E7C0AAE"/>
    <w:rsid w:val="1F597FE8"/>
    <w:rsid w:val="20523048"/>
    <w:rsid w:val="223C12C1"/>
    <w:rsid w:val="22981986"/>
    <w:rsid w:val="23137D2A"/>
    <w:rsid w:val="23FC24CB"/>
    <w:rsid w:val="246C13E7"/>
    <w:rsid w:val="28FB0B8D"/>
    <w:rsid w:val="2A9870FC"/>
    <w:rsid w:val="2CDE0EEB"/>
    <w:rsid w:val="2D2B7942"/>
    <w:rsid w:val="2D46481D"/>
    <w:rsid w:val="2E733B28"/>
    <w:rsid w:val="31852B5A"/>
    <w:rsid w:val="32B11B51"/>
    <w:rsid w:val="32D01238"/>
    <w:rsid w:val="34C1085A"/>
    <w:rsid w:val="351D0C1E"/>
    <w:rsid w:val="36131EB0"/>
    <w:rsid w:val="3B4278C6"/>
    <w:rsid w:val="3C054527"/>
    <w:rsid w:val="3DFC59A8"/>
    <w:rsid w:val="3ECF245E"/>
    <w:rsid w:val="3F7F59A2"/>
    <w:rsid w:val="3FB96314"/>
    <w:rsid w:val="45C065A2"/>
    <w:rsid w:val="491C752F"/>
    <w:rsid w:val="49C570F7"/>
    <w:rsid w:val="50BA23FF"/>
    <w:rsid w:val="50F926A6"/>
    <w:rsid w:val="53A44FAF"/>
    <w:rsid w:val="594329EC"/>
    <w:rsid w:val="5BEE1540"/>
    <w:rsid w:val="5DE61A5D"/>
    <w:rsid w:val="5E131AA7"/>
    <w:rsid w:val="5F4B32FC"/>
    <w:rsid w:val="5FA5101A"/>
    <w:rsid w:val="60D57DA6"/>
    <w:rsid w:val="62B5702C"/>
    <w:rsid w:val="632F38DA"/>
    <w:rsid w:val="636A0C17"/>
    <w:rsid w:val="63C04243"/>
    <w:rsid w:val="649C01C7"/>
    <w:rsid w:val="696266A2"/>
    <w:rsid w:val="699A3F60"/>
    <w:rsid w:val="705A2C16"/>
    <w:rsid w:val="72902E62"/>
    <w:rsid w:val="73C61104"/>
    <w:rsid w:val="771F49CA"/>
    <w:rsid w:val="776452EA"/>
    <w:rsid w:val="782D4425"/>
    <w:rsid w:val="7DC663B9"/>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 w:type="paragraph" w:customStyle="1" w:styleId="33">
    <w:name w:val="Body text|2"/>
    <w:basedOn w:val="1"/>
    <w:qFormat/>
    <w:uiPriority w:val="0"/>
    <w:pPr>
      <w:shd w:val="clear" w:color="auto" w:fill="FFFFFF"/>
      <w:spacing w:line="547" w:lineRule="exact"/>
      <w:jc w:val="distribute"/>
    </w:pPr>
    <w:rPr>
      <w:rFonts w:ascii="PMingLiU" w:hAnsi="PMingLiU" w:eastAsia="PMingLiU" w:cs="PMingLiU"/>
      <w:spacing w:val="5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3.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image" Target="media/image6.png"/><Relationship Id="rId17" Type="http://schemas.openxmlformats.org/officeDocument/2006/relationships/chart" Target="charts/chart1.xml"/><Relationship Id="rId16" Type="http://schemas.openxmlformats.org/officeDocument/2006/relationships/image" Target="media/image5.emf"/><Relationship Id="rId15" Type="http://schemas.openxmlformats.org/officeDocument/2006/relationships/image" Target="media/image4.emf"/><Relationship Id="rId14" Type="http://schemas.openxmlformats.org/officeDocument/2006/relationships/image" Target="media/image3.emf"/><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istrator\&#26700;&#38754;\&#37096;&#38376;&#20915;&#31639;&#20844;&#24320;&#21046;&#22270;&#27169;&#26495;&#65288;&#20462;&#25913;&#29256;&#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i="0" u="none" strike="noStrike" baseline="0">
                <a:latin typeface="仿宋_GB2312" panose="02010609030101010101" pitchFamily="3" charset="-122"/>
                <a:ea typeface="仿宋_GB2312" panose="02010609030101010101" pitchFamily="3" charset="-122"/>
              </a:rPr>
              <a:t>图</a:t>
            </a:r>
            <a:r>
              <a:rPr lang="en-US" altLang="zh-CN" sz="1200" b="0" i="0" u="none" strike="noStrike" baseline="0">
                <a:latin typeface="仿宋_GB2312" panose="02010609030101010101" pitchFamily="3" charset="-122"/>
                <a:ea typeface="仿宋_GB2312" panose="02010609030101010101" pitchFamily="3" charset="-122"/>
              </a:rPr>
              <a:t>4</a:t>
            </a:r>
            <a:r>
              <a:rPr lang="zh-CN" altLang="zh-CN" sz="1200" b="0" i="0" u="none" strike="noStrike" baseline="0">
                <a:latin typeface="仿宋_GB2312" panose="02010609030101010101" pitchFamily="3" charset="-122"/>
                <a:ea typeface="仿宋_GB2312" panose="02010609030101010101" pitchFamily="3" charset="-122"/>
              </a:rPr>
              <a:t>：财政拨款收支预决算对比情况</a:t>
            </a:r>
            <a:endParaRPr lang="zh-CN" altLang="zh-CN" sz="1200" b="0">
              <a:latin typeface="仿宋_GB2312" panose="02010609030101010101" pitchFamily="3" charset="-122"/>
              <a:ea typeface="仿宋_GB2312" panose="02010609030101010101" pitchFamily="3" charset="-122"/>
            </a:endParaRPr>
          </a:p>
        </c:rich>
      </c:tx>
      <c:layout>
        <c:manualLayout>
          <c:xMode val="edge"/>
          <c:yMode val="edge"/>
          <c:x val="0.219444444444445"/>
          <c:y val="0.921675774134793"/>
        </c:manualLayout>
      </c:layout>
      <c:overlay val="0"/>
    </c:title>
    <c:autoTitleDeleted val="0"/>
    <c:plotArea>
      <c:layout>
        <c:manualLayout>
          <c:layoutTarget val="inner"/>
          <c:xMode val="edge"/>
          <c:yMode val="edge"/>
          <c:x val="0.100155074365704"/>
          <c:y val="0.0231156048675734"/>
          <c:w val="0.869289370078741"/>
          <c:h val="0.768818002863281"/>
        </c:manualLayout>
      </c:layout>
      <c:barChart>
        <c:barDir val="col"/>
        <c:grouping val="clustered"/>
        <c:varyColors val="0"/>
        <c:ser>
          <c:idx val="0"/>
          <c:order val="0"/>
          <c:tx>
            <c:strRef>
              <c:f>收支与预算对比!$A$5</c:f>
              <c:strCache>
                <c:ptCount val="1"/>
                <c:pt idx="0">
                  <c:v>年初预算数</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收支与预算对比!$B$4:$C$4</c:f>
              <c:strCache>
                <c:ptCount val="2"/>
                <c:pt idx="0">
                  <c:v>财政拨款收入</c:v>
                </c:pt>
                <c:pt idx="1">
                  <c:v>财政拨款支出</c:v>
                </c:pt>
              </c:strCache>
            </c:strRef>
          </c:cat>
          <c:val>
            <c:numRef>
              <c:f>收支与预算对比!$B$5:$C$5</c:f>
              <c:numCache>
                <c:formatCode>General</c:formatCode>
                <c:ptCount val="2"/>
                <c:pt idx="0">
                  <c:v>527.09</c:v>
                </c:pt>
                <c:pt idx="1">
                  <c:v>551.72</c:v>
                </c:pt>
              </c:numCache>
            </c:numRef>
          </c:val>
        </c:ser>
        <c:ser>
          <c:idx val="1"/>
          <c:order val="1"/>
          <c:tx>
            <c:strRef>
              <c:f>收支与预算对比!$A$6</c:f>
              <c:strCache>
                <c:ptCount val="1"/>
                <c:pt idx="0">
                  <c:v>决算数</c:v>
                </c:pt>
              </c:strCache>
            </c:strRef>
          </c:tx>
          <c:spPr>
            <a:solidFill>
              <a:srgbClr val="0070C0"/>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收支与预算对比!$B$4:$C$4</c:f>
              <c:strCache>
                <c:ptCount val="2"/>
                <c:pt idx="0">
                  <c:v>财政拨款收入</c:v>
                </c:pt>
                <c:pt idx="1">
                  <c:v>财政拨款支出</c:v>
                </c:pt>
              </c:strCache>
            </c:strRef>
          </c:cat>
          <c:val>
            <c:numRef>
              <c:f>收支与预算对比!$B$6:$C$6</c:f>
              <c:numCache>
                <c:formatCode>General</c:formatCode>
                <c:ptCount val="2"/>
                <c:pt idx="0">
                  <c:v>679.62</c:v>
                </c:pt>
                <c:pt idx="1">
                  <c:v>679.62</c:v>
                </c:pt>
              </c:numCache>
            </c:numRef>
          </c:val>
        </c:ser>
        <c:dLbls>
          <c:showLegendKey val="0"/>
          <c:showVal val="1"/>
          <c:showCatName val="0"/>
          <c:showSerName val="0"/>
          <c:showPercent val="0"/>
          <c:showBubbleSize val="0"/>
        </c:dLbls>
        <c:gapWidth val="75"/>
        <c:axId val="142757888"/>
        <c:axId val="144560512"/>
      </c:barChart>
      <c:catAx>
        <c:axId val="142757888"/>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4560512"/>
        <c:crosses val="autoZero"/>
        <c:auto val="1"/>
        <c:lblAlgn val="ctr"/>
        <c:lblOffset val="100"/>
        <c:noMultiLvlLbl val="0"/>
      </c:catAx>
      <c:valAx>
        <c:axId val="144560512"/>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42757888"/>
        <c:crosses val="autoZero"/>
        <c:crossBetween val="between"/>
      </c:valAx>
    </c:plotArea>
    <c:legend>
      <c:legendPos val="b"/>
      <c:layout>
        <c:manualLayout>
          <c:xMode val="edge"/>
          <c:yMode val="edge"/>
          <c:x val="0.34671828521435"/>
          <c:y val="0.848750340633651"/>
          <c:w val="0.339896544181978"/>
          <c:h val="0.0658758228991868"/>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12700" cap="flat" cmpd="sng" algn="ctr">
      <a:solidFill>
        <a:schemeClr val="bg1">
          <a:alpha val="0"/>
        </a:scheme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45"/>
    <customShpInfo spid="_x0000_s1044"/>
    <customShpInfo spid="_x0000_s1043"/>
    <customShpInfo spid="_x0000_s1033"/>
    <customShpInfo spid="_x0000_s1032"/>
    <customShpInfo spid="_x0000_s1031"/>
    <customShpInfo spid="_x0000_s1053"/>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DBD727-20FA-4D83-9987-E968EA7D99A8}">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33</Pages>
  <Words>1812</Words>
  <Characters>10335</Characters>
  <Lines>86</Lines>
  <Paragraphs>24</Paragraphs>
  <TotalTime>6</TotalTime>
  <ScaleCrop>false</ScaleCrop>
  <LinksUpToDate>false</LinksUpToDate>
  <CharactersWithSpaces>12123</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2019-09-16T08:31:00Z</dcterms:created>
  <dc:creator>User</dc:creator>
  <cp:lastModifiedBy>Administrator</cp:lastModifiedBy>
  <cp:lastPrinted>2019-08-02T01:01:00Z</cp:lastPrinted>
  <dcterms:modified xsi:type="dcterms:W3CDTF">2024-06-20T12:00:57Z</dcterms:modified>
  <dc:subject>石家庄市xxx部门</dc:subject>
  <dc:title>2017年度部门决算</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8135B2ADA2CB49A7B45B7CF56AFE8BFA</vt:lpwstr>
  </property>
</Properties>
</file>