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rPr>
          <w:rFonts w:ascii="黑体" w:hAnsi="黑体" w:eastAsia="黑体"/>
          <w:b/>
          <w:sz w:val="72"/>
          <w:szCs w:val="72"/>
        </w:rPr>
      </w:pPr>
      <w: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7"/>
                    <a:stretch>
                      <a:fillRect/>
                    </a:stretch>
                  </pic:blipFill>
                  <pic:spPr>
                    <a:xfrm>
                      <a:off x="0" y="0"/>
                      <a:ext cx="7576820" cy="10796905"/>
                    </a:xfrm>
                    <a:prstGeom prst="rect">
                      <a:avLst/>
                    </a:prstGeom>
                    <a:noFill/>
                    <a:ln w="9525">
                      <a:noFill/>
                    </a:ln>
                  </pic:spPr>
                </pic:pic>
              </a:graphicData>
            </a:graphic>
          </wp:anchor>
        </w:drawing>
      </w:r>
    </w:p>
    <w:p>
      <w:pPr>
        <w:widowControl/>
        <w:jc w:val="center"/>
        <w:rPr>
          <w:rFonts w:ascii="黑体" w:hAnsi="宋体" w:eastAsia="黑体"/>
          <w:color w:val="002060"/>
          <w:sz w:val="72"/>
          <w:szCs w:val="72"/>
        </w:rPr>
      </w:pPr>
      <w:r>
        <mc:AlternateContent>
          <mc:Choice Requires="wps">
            <w:drawing>
              <wp:anchor distT="0" distB="0" distL="114300" distR="114300" simplePos="0" relativeHeight="251667456" behindDoc="0" locked="0" layoutInCell="1" allowOverlap="1">
                <wp:simplePos x="0" y="0"/>
                <wp:positionH relativeFrom="column">
                  <wp:posOffset>-1055370</wp:posOffset>
                </wp:positionH>
                <wp:positionV relativeFrom="paragraph">
                  <wp:posOffset>549275</wp:posOffset>
                </wp:positionV>
                <wp:extent cx="7571740" cy="2111375"/>
                <wp:effectExtent l="0" t="0" r="0" b="0"/>
                <wp:wrapNone/>
                <wp:docPr id="1" name="文本框 3"/>
                <wp:cNvGraphicFramePr/>
                <a:graphic xmlns:a="http://schemas.openxmlformats.org/drawingml/2006/main">
                  <a:graphicData uri="http://schemas.microsoft.com/office/word/2010/wordprocessingShape">
                    <wps:wsp>
                      <wps:cNvSpPr txBox="1"/>
                      <wps:spPr>
                        <a:xfrm>
                          <a:off x="0" y="0"/>
                          <a:ext cx="7571740" cy="2111375"/>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无极县质量技术监督局</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wps:txbx>
                      <wps:bodyPr upright="1"/>
                    </wps:wsp>
                  </a:graphicData>
                </a:graphic>
              </wp:anchor>
            </w:drawing>
          </mc:Choice>
          <mc:Fallback>
            <w:pict>
              <v:shape id="文本框 3" o:spid="_x0000_s1026" o:spt="202" type="#_x0000_t202" style="position:absolute;left:0pt;margin-left:-83.1pt;margin-top:43.25pt;height:166.25pt;width:596.2pt;z-index:251667456;mso-width-relative:page;mso-height-relative:page;" filled="f" stroked="f" coordsize="21600,21600" o:gfxdata="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FgAAAGRycy9QSwECFAAUAAAACACHTuJAHDPDVNsAAAAMAQAADwAAAAAAAAABACAA&#10;AAA4AAAAZHJzL2Rvd25yZXYueG1sUEsBAhQAFAAAAAgAh07iQI3XU4C7AQAAZgMAAA4AAAAAAAAA&#10;AQAgAAAAQAEAAGRycy9lMm9Eb2MueG1sUEsFBgAAAAAGAAYAWQEAAG0FA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无极县质量技术监督局</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w:t>
                      </w:r>
                    </w:p>
                    <w:p>
                      <w:pPr>
                        <w:rPr>
                          <w:color w:val="FDEFBE"/>
                          <w:sz w:val="96"/>
                          <w:szCs w:val="96"/>
                        </w:rPr>
                      </w:pPr>
                    </w:p>
                  </w:txbxContent>
                </v:textbox>
              </v:shape>
            </w:pict>
          </mc:Fallback>
        </mc:AlternateConten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headerReference r:id="rId5" w:type="default"/>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widowControl/>
        <w:spacing w:after="0" w:line="600" w:lineRule="exact"/>
        <w:jc w:val="left"/>
        <w:rPr>
          <w:rFonts w:ascii="黑体" w:hAnsi="黑体" w:eastAsia="黑体" w:cs="黑体"/>
          <w:bCs/>
          <w:sz w:val="32"/>
          <w:szCs w:val="32"/>
          <w:highlight w:val="yellow"/>
        </w:rPr>
      </w:pPr>
    </w:p>
    <w:p>
      <w:pPr>
        <w:spacing w:beforeLines="200" w:after="0" w:line="1000" w:lineRule="exact"/>
        <w:jc w:val="center"/>
        <w:rPr>
          <w:rFonts w:ascii="黑体" w:eastAsia="黑体"/>
          <w:sz w:val="48"/>
          <w:szCs w:val="48"/>
        </w:rPr>
      </w:pPr>
      <w:r>
        <w:rPr>
          <w:rFonts w:hint="eastAsia" w:ascii="黑体" w:eastAsia="黑体"/>
          <w:sz w:val="48"/>
          <w:szCs w:val="48"/>
        </w:rPr>
        <w:t>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hint="eastAsia" w:eastAsia="黑体"/>
          <w:sz w:val="32"/>
          <w:szCs w:val="32"/>
        </w:rPr>
        <w:t>第一部分部门概况</w:t>
      </w:r>
    </w:p>
    <w:p>
      <w:pPr>
        <w:widowControl/>
        <w:spacing w:line="580" w:lineRule="exact"/>
        <w:ind w:firstLine="1273" w:firstLineChars="398"/>
        <w:rPr>
          <w:rFonts w:eastAsia="仿宋_GB2312"/>
          <w:sz w:val="32"/>
          <w:szCs w:val="32"/>
        </w:rPr>
      </w:pPr>
      <w:r>
        <w:rPr>
          <w:rFonts w:hint="eastAsia" w:eastAsia="仿宋_GB2312"/>
          <w:sz w:val="32"/>
          <w:szCs w:val="32"/>
        </w:rPr>
        <w:t>一、部门职责</w:t>
      </w:r>
    </w:p>
    <w:p>
      <w:pPr>
        <w:widowControl/>
        <w:spacing w:line="580" w:lineRule="exact"/>
        <w:ind w:firstLine="1273" w:firstLineChars="398"/>
        <w:rPr>
          <w:rFonts w:eastAsia="仿宋_GB2312"/>
          <w:sz w:val="32"/>
          <w:szCs w:val="32"/>
        </w:rPr>
      </w:pPr>
      <w:r>
        <w:rPr>
          <w:rFonts w:hint="eastAsia" w:eastAsia="仿宋_GB2312"/>
          <w:sz w:val="32"/>
          <w:szCs w:val="32"/>
        </w:rPr>
        <w:t>二、机构设置</w:t>
      </w:r>
    </w:p>
    <w:p>
      <w:pPr>
        <w:widowControl/>
        <w:spacing w:line="580" w:lineRule="exact"/>
        <w:ind w:firstLine="640" w:firstLineChars="200"/>
        <w:rPr>
          <w:rFonts w:eastAsia="仿宋_GB2312"/>
          <w:sz w:val="20"/>
          <w:szCs w:val="32"/>
        </w:rPr>
      </w:pPr>
      <w:r>
        <w:rPr>
          <w:rFonts w:hint="eastAsia" w:eastAsia="黑体"/>
          <w:sz w:val="32"/>
          <w:szCs w:val="32"/>
        </w:rPr>
        <w:t>第二部分</w:t>
      </w:r>
      <w:r>
        <w:rPr>
          <w:rFonts w:eastAsia="黑体"/>
          <w:sz w:val="32"/>
          <w:szCs w:val="32"/>
        </w:rPr>
        <w:t xml:space="preserve">   2018</w:t>
      </w:r>
      <w:r>
        <w:rPr>
          <w:rFonts w:hint="eastAsia" w:eastAsia="黑体"/>
          <w:sz w:val="32"/>
          <w:szCs w:val="32"/>
        </w:rPr>
        <w:t>年度部门决算报表</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二、收入决算表</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七、一般公共预算财政拨款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九、国有资本经营预算财政拨款支出决算表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十、政府采购情况表</w:t>
      </w:r>
    </w:p>
    <w:p>
      <w:pPr>
        <w:widowControl/>
        <w:spacing w:line="580" w:lineRule="exact"/>
        <w:ind w:firstLine="640" w:firstLineChars="200"/>
        <w:rPr>
          <w:rFonts w:eastAsia="黑体"/>
          <w:sz w:val="32"/>
          <w:szCs w:val="32"/>
        </w:rPr>
      </w:pPr>
    </w:p>
    <w:p>
      <w:pPr>
        <w:widowControl/>
        <w:spacing w:line="580" w:lineRule="exact"/>
        <w:rPr>
          <w:rFonts w:eastAsia="黑体"/>
          <w:sz w:val="32"/>
          <w:szCs w:val="32"/>
        </w:rPr>
      </w:pPr>
      <w:r>
        <w:rPr>
          <w:rFonts w:hint="eastAsia" w:eastAsia="黑体"/>
          <w:sz w:val="32"/>
          <w:szCs w:val="32"/>
        </w:rPr>
        <w:t>第三部分无极县质量技术监督局</w:t>
      </w:r>
      <w:r>
        <w:rPr>
          <w:rFonts w:eastAsia="黑体"/>
          <w:sz w:val="32"/>
          <w:szCs w:val="32"/>
        </w:rPr>
        <w:t>2018</w:t>
      </w:r>
      <w:r>
        <w:rPr>
          <w:rFonts w:hint="eastAsia" w:eastAsia="黑体"/>
          <w:sz w:val="32"/>
          <w:szCs w:val="32"/>
        </w:rPr>
        <w:t>年部门决算情况说明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hint="eastAsia"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w:t>
      </w:r>
      <w:r>
        <w:rPr>
          <w:rFonts w:hint="eastAsia" w:eastAsia="仿宋_GB2312"/>
          <w:sz w:val="32"/>
          <w:szCs w:val="32"/>
        </w:rPr>
        <w:t>三公</w:t>
      </w:r>
      <w:r>
        <w:rPr>
          <w:rFonts w:eastAsia="仿宋_GB2312"/>
          <w:sz w:val="32"/>
          <w:szCs w:val="32"/>
        </w:rPr>
        <w:t>”</w:t>
      </w:r>
      <w:r>
        <w:rPr>
          <w:rFonts w:hint="eastAsia" w:eastAsia="仿宋_GB2312"/>
          <w:sz w:val="32"/>
          <w:szCs w:val="32"/>
        </w:rPr>
        <w:t>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七、其他重要事项的说明</w:t>
      </w:r>
    </w:p>
    <w:p>
      <w:pPr>
        <w:widowControl/>
        <w:spacing w:line="580" w:lineRule="exact"/>
        <w:ind w:firstLine="640" w:firstLineChars="200"/>
        <w:rPr>
          <w:rFonts w:eastAsia="黑体"/>
          <w:sz w:val="32"/>
          <w:szCs w:val="32"/>
        </w:rPr>
      </w:pPr>
      <w:r>
        <w:rPr>
          <w:rFonts w:hint="eastAsia"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8"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2" descr="2"/>
                    <pic:cNvPicPr>
                      <a:picLocks noChangeAspect="1"/>
                    </pic:cNvPicPr>
                  </pic:nvPicPr>
                  <pic:blipFill>
                    <a:blip r:embed="rId8"/>
                    <a:stretch>
                      <a:fillRect/>
                    </a:stretch>
                  </pic:blipFill>
                  <pic:spPr>
                    <a:xfrm>
                      <a:off x="0" y="0"/>
                      <a:ext cx="7585710" cy="10727055"/>
                    </a:xfrm>
                    <a:prstGeom prst="rect">
                      <a:avLst/>
                    </a:prstGeom>
                    <a:noFill/>
                    <a:ln w="9525">
                      <a:noFill/>
                    </a:ln>
                  </pic:spPr>
                </pic:pic>
              </a:graphicData>
            </a:graphic>
          </wp:anchor>
        </w:drawing>
      </w:r>
      <w:r>
        <mc:AlternateContent>
          <mc:Choice Requires="wps">
            <w:drawing>
              <wp:anchor distT="0" distB="0" distL="114300" distR="114300" simplePos="0" relativeHeight="251668480" behindDoc="0" locked="0" layoutInCell="1" allowOverlap="1">
                <wp:simplePos x="0" y="0"/>
                <wp:positionH relativeFrom="column">
                  <wp:posOffset>-1235710</wp:posOffset>
                </wp:positionH>
                <wp:positionV relativeFrom="paragraph">
                  <wp:posOffset>3290570</wp:posOffset>
                </wp:positionV>
                <wp:extent cx="7793355" cy="1037590"/>
                <wp:effectExtent l="0" t="0" r="0" b="0"/>
                <wp:wrapNone/>
                <wp:docPr id="2" name="文本框 5"/>
                <wp:cNvGraphicFramePr/>
                <a:graphic xmlns:a="http://schemas.openxmlformats.org/drawingml/2006/main">
                  <a:graphicData uri="http://schemas.microsoft.com/office/word/2010/wordprocessingShape">
                    <wps:wsp>
                      <wps:cNvSpPr txBox="1"/>
                      <wps:spPr>
                        <a:xfrm>
                          <a:off x="0" y="0"/>
                          <a:ext cx="7793355" cy="1037590"/>
                        </a:xfrm>
                        <a:prstGeom prst="rect">
                          <a:avLst/>
                        </a:prstGeom>
                        <a:noFill/>
                        <a:ln w="6350">
                          <a:noFill/>
                        </a:ln>
                        <a:effectLst/>
                      </wps:spPr>
                      <wps:txbx>
                        <w:txbxContent>
                          <w:p>
                            <w:pPr>
                              <w:widowControl/>
                              <w:jc w:val="center"/>
                              <w:rPr>
                                <w:color w:val="FDEFBE"/>
                                <w:sz w:val="96"/>
                                <w:szCs w:val="96"/>
                              </w:rPr>
                            </w:pPr>
                            <w:r>
                              <w:rPr>
                                <w:rFonts w:hint="eastAsia" w:ascii="黑体" w:hAnsi="宋体" w:eastAsia="黑体"/>
                                <w:color w:val="FDEFBE"/>
                                <w:sz w:val="96"/>
                                <w:szCs w:val="96"/>
                              </w:rPr>
                              <w:t>第一部分部门概况</w:t>
                            </w:r>
                          </w:p>
                        </w:txbxContent>
                      </wps:txbx>
                      <wps:bodyPr upright="1"/>
                    </wps:wsp>
                  </a:graphicData>
                </a:graphic>
              </wp:anchor>
            </w:drawing>
          </mc:Choice>
          <mc:Fallback>
            <w:pict>
              <v:shape id="文本框 5" o:spid="_x0000_s1026" o:spt="202" type="#_x0000_t202" style="position:absolute;left:0pt;margin-left:-97.3pt;margin-top:259.1pt;height:81.7pt;width:613.65pt;z-index:251668480;mso-width-relative:page;mso-height-relative:page;" filled="f" stroked="f" coordsize="21600,21600" o:gfxdata="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KiKw6neAAAADQEAAA8AAAAAAAAA&#10;AQAgAAAAOAAAAGRycy9kb3ducmV2LnhtbFBLAQIUABQAAAAIAIdO4kCYOyRlvAEAAGYDAAAOAAAA&#10;AAAAAAEAIAAAAEMBAABkcnMvZTJvRG9jLnhtbFBLBQYAAAAABgAGAFkBAABxBQAAAAA=&#10;">
                <v:fill on="f" focussize="0,0"/>
                <v:stroke on="f" weight="0.5pt"/>
                <v:imagedata o:title=""/>
                <o:lock v:ext="edit" aspectratio="f"/>
                <v:textbox>
                  <w:txbxContent>
                    <w:p>
                      <w:pPr>
                        <w:widowControl/>
                        <w:jc w:val="center"/>
                        <w:rPr>
                          <w:color w:val="FDEFBE"/>
                          <w:sz w:val="96"/>
                          <w:szCs w:val="96"/>
                        </w:rPr>
                      </w:pPr>
                      <w:r>
                        <w:rPr>
                          <w:rFonts w:hint="eastAsia" w:ascii="黑体" w:hAnsi="宋体" w:eastAsia="黑体"/>
                          <w:color w:val="FDEFBE"/>
                          <w:sz w:val="96"/>
                          <w:szCs w:val="96"/>
                        </w:rPr>
                        <w:t>第一部分部门概况</w:t>
                      </w:r>
                    </w:p>
                  </w:txbxContent>
                </v:textbox>
              </v:shape>
            </w:pict>
          </mc:Fallback>
        </mc:AlternateContent>
      </w:r>
    </w:p>
    <w:p/>
    <w:p/>
    <w:p/>
    <w:p/>
    <w:p/>
    <w:p/>
    <w:p/>
    <w:p/>
    <w:p/>
    <w:p/>
    <w:p/>
    <w:p/>
    <w:p/>
    <w:p/>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一、部门职责</w:t>
      </w:r>
    </w:p>
    <w:p>
      <w:pPr>
        <w:ind w:firstLine="560"/>
        <w:rPr>
          <w:rFonts w:ascii="仿宋" w:hAnsi="仿宋" w:eastAsia="仿宋"/>
          <w:sz w:val="32"/>
          <w:szCs w:val="32"/>
        </w:rPr>
      </w:pPr>
      <w:r>
        <w:rPr>
          <w:rFonts w:ascii="仿宋" w:hAnsi="仿宋" w:eastAsia="仿宋"/>
          <w:sz w:val="32"/>
          <w:szCs w:val="32"/>
        </w:rPr>
        <w:t>1.</w:t>
      </w:r>
      <w:r>
        <w:rPr>
          <w:rFonts w:hint="eastAsia" w:ascii="仿宋" w:hAnsi="仿宋" w:eastAsia="仿宋" w:cs="宋体"/>
          <w:sz w:val="32"/>
          <w:szCs w:val="32"/>
        </w:rPr>
        <w:t>贯彻执</w:t>
      </w:r>
      <w:r>
        <w:rPr>
          <w:rFonts w:hint="eastAsia" w:ascii="仿宋" w:hAnsi="仿宋" w:eastAsia="仿宋" w:cs="MS Gothic"/>
          <w:sz w:val="32"/>
          <w:szCs w:val="32"/>
        </w:rPr>
        <w:t>行国家、省和市有关</w:t>
      </w:r>
      <w:r>
        <w:rPr>
          <w:rFonts w:hint="eastAsia" w:ascii="仿宋" w:hAnsi="仿宋" w:eastAsia="仿宋" w:cs="宋体"/>
          <w:sz w:val="32"/>
          <w:szCs w:val="32"/>
        </w:rPr>
        <w:t>质</w:t>
      </w:r>
      <w:r>
        <w:rPr>
          <w:rFonts w:hint="eastAsia" w:ascii="仿宋" w:hAnsi="仿宋" w:eastAsia="仿宋" w:cs="MS Gothic"/>
          <w:sz w:val="32"/>
          <w:szCs w:val="32"/>
        </w:rPr>
        <w:t>量技</w:t>
      </w:r>
      <w:r>
        <w:rPr>
          <w:rFonts w:hint="eastAsia" w:ascii="仿宋" w:hAnsi="仿宋" w:eastAsia="仿宋" w:cs="宋体"/>
          <w:sz w:val="32"/>
          <w:szCs w:val="32"/>
        </w:rPr>
        <w:t>术监</w:t>
      </w:r>
      <w:r>
        <w:rPr>
          <w:rFonts w:hint="eastAsia" w:ascii="仿宋" w:hAnsi="仿宋" w:eastAsia="仿宋" w:cs="MS Gothic"/>
          <w:sz w:val="32"/>
          <w:szCs w:val="32"/>
        </w:rPr>
        <w:t>督工作的方</w:t>
      </w:r>
      <w:r>
        <w:rPr>
          <w:rFonts w:hint="eastAsia" w:ascii="仿宋" w:hAnsi="仿宋" w:eastAsia="仿宋" w:cs="宋体"/>
          <w:sz w:val="32"/>
          <w:szCs w:val="32"/>
        </w:rPr>
        <w:t>针</w:t>
      </w:r>
      <w:r>
        <w:rPr>
          <w:rFonts w:hint="eastAsia" w:ascii="仿宋" w:hAnsi="仿宋" w:eastAsia="仿宋" w:cs="MS Gothic"/>
          <w:sz w:val="32"/>
          <w:szCs w:val="32"/>
        </w:rPr>
        <w:t>、政策，</w:t>
      </w:r>
      <w:r>
        <w:rPr>
          <w:rFonts w:hint="eastAsia" w:ascii="仿宋" w:hAnsi="仿宋" w:eastAsia="仿宋" w:cs="宋体"/>
          <w:sz w:val="32"/>
          <w:szCs w:val="32"/>
        </w:rPr>
        <w:t>负责组织实</w:t>
      </w:r>
      <w:r>
        <w:rPr>
          <w:rFonts w:hint="eastAsia" w:ascii="仿宋" w:hAnsi="仿宋" w:eastAsia="仿宋" w:cs="MS Gothic"/>
          <w:sz w:val="32"/>
          <w:szCs w:val="32"/>
        </w:rPr>
        <w:t>施《</w:t>
      </w:r>
      <w:r>
        <w:rPr>
          <w:rFonts w:hint="eastAsia" w:ascii="仿宋" w:hAnsi="仿宋" w:eastAsia="仿宋" w:cs="宋体"/>
          <w:sz w:val="32"/>
          <w:szCs w:val="32"/>
        </w:rPr>
        <w:t>标</w:t>
      </w:r>
      <w:r>
        <w:rPr>
          <w:rFonts w:hint="eastAsia" w:ascii="仿宋" w:hAnsi="仿宋" w:eastAsia="仿宋" w:cs="MS Gothic"/>
          <w:sz w:val="32"/>
          <w:szCs w:val="32"/>
        </w:rPr>
        <w:t>准化法》、《</w:t>
      </w:r>
      <w:r>
        <w:rPr>
          <w:rFonts w:hint="eastAsia" w:ascii="仿宋" w:hAnsi="仿宋" w:eastAsia="仿宋" w:cs="宋体"/>
          <w:sz w:val="32"/>
          <w:szCs w:val="32"/>
        </w:rPr>
        <w:t>计</w:t>
      </w:r>
      <w:r>
        <w:rPr>
          <w:rFonts w:hint="eastAsia" w:ascii="仿宋" w:hAnsi="仿宋" w:eastAsia="仿宋" w:cs="MS Gothic"/>
          <w:sz w:val="32"/>
          <w:szCs w:val="32"/>
        </w:rPr>
        <w:t>量法》、</w:t>
      </w:r>
      <w:r>
        <w:rPr>
          <w:rFonts w:hint="default" w:ascii="仿宋" w:hAnsi="仿宋" w:eastAsia="仿宋" w:cs="MS Gothic"/>
          <w:sz w:val="32"/>
          <w:szCs w:val="32"/>
          <w:lang w:val="en-US"/>
        </w:rPr>
        <w:t>《中华人民共和国产品质量法》</w:t>
      </w:r>
      <w:r>
        <w:rPr>
          <w:rFonts w:hint="eastAsia" w:ascii="仿宋" w:hAnsi="仿宋" w:eastAsia="仿宋" w:cs="MS Gothic"/>
          <w:sz w:val="32"/>
          <w:szCs w:val="32"/>
        </w:rPr>
        <w:t>等有关法律、法</w:t>
      </w:r>
      <w:r>
        <w:rPr>
          <w:rFonts w:hint="eastAsia" w:ascii="仿宋" w:hAnsi="仿宋" w:eastAsia="仿宋" w:cs="宋体"/>
          <w:sz w:val="32"/>
          <w:szCs w:val="32"/>
        </w:rPr>
        <w:t>规</w:t>
      </w:r>
      <w:r>
        <w:rPr>
          <w:rFonts w:hint="eastAsia" w:ascii="仿宋" w:hAnsi="仿宋" w:eastAsia="仿宋" w:cs="MS Gothic"/>
          <w:sz w:val="32"/>
          <w:szCs w:val="32"/>
        </w:rPr>
        <w:t>、</w:t>
      </w:r>
      <w:r>
        <w:rPr>
          <w:rFonts w:hint="eastAsia" w:ascii="仿宋" w:hAnsi="仿宋" w:eastAsia="仿宋" w:cs="宋体"/>
          <w:sz w:val="32"/>
          <w:szCs w:val="32"/>
        </w:rPr>
        <w:t>规</w:t>
      </w:r>
      <w:r>
        <w:rPr>
          <w:rFonts w:hint="eastAsia" w:ascii="仿宋" w:hAnsi="仿宋" w:eastAsia="仿宋" w:cs="MS Gothic"/>
          <w:sz w:val="32"/>
          <w:szCs w:val="32"/>
        </w:rPr>
        <w:t>章，参与制</w:t>
      </w:r>
      <w:r>
        <w:rPr>
          <w:rFonts w:hint="eastAsia" w:ascii="仿宋" w:hAnsi="仿宋" w:eastAsia="仿宋" w:cs="宋体"/>
          <w:sz w:val="32"/>
          <w:szCs w:val="32"/>
        </w:rPr>
        <w:t>订</w:t>
      </w:r>
      <w:r>
        <w:rPr>
          <w:rFonts w:hint="eastAsia" w:ascii="仿宋" w:hAnsi="仿宋" w:eastAsia="仿宋" w:cs="MS Gothic"/>
          <w:sz w:val="32"/>
          <w:szCs w:val="32"/>
        </w:rPr>
        <w:t>全</w:t>
      </w:r>
      <w:r>
        <w:rPr>
          <w:rFonts w:hint="eastAsia" w:ascii="仿宋" w:hAnsi="仿宋" w:eastAsia="仿宋" w:cs="宋体"/>
          <w:sz w:val="32"/>
          <w:szCs w:val="32"/>
        </w:rPr>
        <w:t>县质</w:t>
      </w:r>
      <w:r>
        <w:rPr>
          <w:rFonts w:hint="eastAsia" w:ascii="仿宋" w:hAnsi="仿宋" w:eastAsia="仿宋" w:cs="MS Gothic"/>
          <w:sz w:val="32"/>
          <w:szCs w:val="32"/>
        </w:rPr>
        <w:t>量技</w:t>
      </w:r>
      <w:r>
        <w:rPr>
          <w:rFonts w:hint="eastAsia" w:ascii="仿宋" w:hAnsi="仿宋" w:eastAsia="仿宋" w:cs="宋体"/>
          <w:sz w:val="32"/>
          <w:szCs w:val="32"/>
        </w:rPr>
        <w:t>术监</w:t>
      </w:r>
      <w:r>
        <w:rPr>
          <w:rFonts w:hint="eastAsia" w:ascii="仿宋" w:hAnsi="仿宋" w:eastAsia="仿宋" w:cs="MS Gothic"/>
          <w:sz w:val="32"/>
          <w:szCs w:val="32"/>
        </w:rPr>
        <w:t>督工作的方</w:t>
      </w:r>
      <w:r>
        <w:rPr>
          <w:rFonts w:hint="eastAsia" w:ascii="仿宋" w:hAnsi="仿宋" w:eastAsia="仿宋" w:cs="宋体"/>
          <w:sz w:val="32"/>
          <w:szCs w:val="32"/>
        </w:rPr>
        <w:t>针</w:t>
      </w:r>
      <w:r>
        <w:rPr>
          <w:rFonts w:hint="eastAsia" w:ascii="仿宋" w:hAnsi="仿宋" w:eastAsia="仿宋" w:cs="MS Gothic"/>
          <w:sz w:val="32"/>
          <w:szCs w:val="32"/>
        </w:rPr>
        <w:t>政策，指</w:t>
      </w:r>
      <w:r>
        <w:rPr>
          <w:rFonts w:hint="eastAsia" w:ascii="仿宋" w:hAnsi="仿宋" w:eastAsia="仿宋" w:cs="宋体"/>
          <w:sz w:val="32"/>
          <w:szCs w:val="32"/>
        </w:rPr>
        <w:t>导</w:t>
      </w:r>
      <w:r>
        <w:rPr>
          <w:rFonts w:hint="eastAsia" w:ascii="仿宋" w:hAnsi="仿宋" w:eastAsia="仿宋" w:cs="MS Gothic"/>
          <w:sz w:val="32"/>
          <w:szCs w:val="32"/>
        </w:rPr>
        <w:t>、</w:t>
      </w:r>
      <w:r>
        <w:rPr>
          <w:rFonts w:hint="eastAsia" w:ascii="仿宋" w:hAnsi="仿宋" w:eastAsia="仿宋" w:cs="宋体"/>
          <w:sz w:val="32"/>
          <w:szCs w:val="32"/>
        </w:rPr>
        <w:t>协调</w:t>
      </w:r>
      <w:r>
        <w:rPr>
          <w:rFonts w:hint="eastAsia" w:ascii="仿宋" w:hAnsi="仿宋" w:eastAsia="仿宋" w:cs="MS Gothic"/>
          <w:sz w:val="32"/>
          <w:szCs w:val="32"/>
        </w:rPr>
        <w:t>和</w:t>
      </w:r>
      <w:r>
        <w:rPr>
          <w:rFonts w:hint="eastAsia" w:ascii="仿宋" w:hAnsi="仿宋" w:eastAsia="仿宋" w:cs="宋体"/>
          <w:sz w:val="32"/>
          <w:szCs w:val="32"/>
        </w:rPr>
        <w:t>质</w:t>
      </w:r>
      <w:r>
        <w:rPr>
          <w:rFonts w:hint="eastAsia" w:ascii="仿宋" w:hAnsi="仿宋" w:eastAsia="仿宋" w:cs="MS Gothic"/>
          <w:sz w:val="32"/>
          <w:szCs w:val="32"/>
        </w:rPr>
        <w:t>量技</w:t>
      </w:r>
      <w:r>
        <w:rPr>
          <w:rFonts w:hint="eastAsia" w:ascii="仿宋" w:hAnsi="仿宋" w:eastAsia="仿宋" w:cs="宋体"/>
          <w:sz w:val="32"/>
          <w:szCs w:val="32"/>
        </w:rPr>
        <w:t>术监</w:t>
      </w:r>
      <w:r>
        <w:rPr>
          <w:rFonts w:hint="eastAsia" w:ascii="仿宋" w:hAnsi="仿宋" w:eastAsia="仿宋" w:cs="MS Gothic"/>
          <w:sz w:val="32"/>
          <w:szCs w:val="32"/>
        </w:rPr>
        <w:t>督行政</w:t>
      </w:r>
      <w:r>
        <w:rPr>
          <w:rFonts w:hint="eastAsia" w:ascii="仿宋" w:hAnsi="仿宋" w:eastAsia="仿宋" w:cs="宋体"/>
          <w:sz w:val="32"/>
          <w:szCs w:val="32"/>
        </w:rPr>
        <w:t>执</w:t>
      </w:r>
      <w:r>
        <w:rPr>
          <w:rFonts w:hint="eastAsia" w:ascii="仿宋" w:hAnsi="仿宋" w:eastAsia="仿宋" w:cs="MS Gothic"/>
          <w:sz w:val="32"/>
          <w:szCs w:val="32"/>
        </w:rPr>
        <w:t>法工作。</w:t>
      </w:r>
    </w:p>
    <w:p>
      <w:pPr>
        <w:ind w:firstLine="560"/>
        <w:rPr>
          <w:rFonts w:ascii="仿宋" w:hAnsi="仿宋" w:eastAsia="仿宋"/>
          <w:sz w:val="32"/>
          <w:szCs w:val="32"/>
        </w:rPr>
      </w:pPr>
      <w:r>
        <w:rPr>
          <w:rFonts w:ascii="仿宋" w:hAnsi="仿宋" w:eastAsia="仿宋" w:cs="宋体"/>
          <w:sz w:val="32"/>
          <w:szCs w:val="32"/>
        </w:rPr>
        <w:t>2.</w:t>
      </w:r>
      <w:r>
        <w:rPr>
          <w:rFonts w:hint="eastAsia" w:ascii="仿宋" w:hAnsi="仿宋" w:eastAsia="仿宋" w:cs="宋体"/>
          <w:sz w:val="32"/>
          <w:szCs w:val="32"/>
        </w:rPr>
        <w:t>管理和指导全县质量工作。组织实施国家的《质量振兴纲要》，研究拟定提高我县质量水平的发展战略，推广先进的质量管理经验和方法，组织推动全县企业的质量体系认证和产品质量认证。同时管理和指导质量监督检查工作，组织查处生产和经销假冒伪劣产商品活动。</w:t>
      </w:r>
    </w:p>
    <w:p>
      <w:pPr>
        <w:ind w:firstLine="560"/>
        <w:rPr>
          <w:rFonts w:ascii="仿宋" w:hAnsi="仿宋" w:eastAsia="仿宋"/>
          <w:sz w:val="32"/>
          <w:szCs w:val="32"/>
        </w:rPr>
      </w:pPr>
      <w:r>
        <w:rPr>
          <w:rFonts w:ascii="仿宋" w:hAnsi="仿宋" w:eastAsia="仿宋"/>
          <w:sz w:val="32"/>
          <w:szCs w:val="32"/>
        </w:rPr>
        <w:t>3.</w:t>
      </w:r>
      <w:r>
        <w:rPr>
          <w:rFonts w:hint="eastAsia" w:ascii="仿宋" w:hAnsi="仿宋" w:eastAsia="仿宋" w:cs="宋体"/>
          <w:sz w:val="32"/>
          <w:szCs w:val="32"/>
        </w:rPr>
        <w:t>综</w:t>
      </w:r>
      <w:r>
        <w:rPr>
          <w:rFonts w:hint="eastAsia" w:ascii="仿宋" w:hAnsi="仿宋" w:eastAsia="仿宋" w:cs="MS Gothic"/>
          <w:sz w:val="32"/>
          <w:szCs w:val="32"/>
        </w:rPr>
        <w:t>合管理</w:t>
      </w:r>
      <w:r>
        <w:rPr>
          <w:rFonts w:hint="eastAsia" w:ascii="仿宋" w:hAnsi="仿宋" w:eastAsia="仿宋"/>
          <w:sz w:val="32"/>
          <w:szCs w:val="32"/>
        </w:rPr>
        <w:t>全</w:t>
      </w:r>
      <w:r>
        <w:rPr>
          <w:rFonts w:hint="eastAsia" w:ascii="仿宋" w:hAnsi="仿宋" w:eastAsia="仿宋" w:cs="宋体"/>
          <w:sz w:val="32"/>
          <w:szCs w:val="32"/>
        </w:rPr>
        <w:t>县标</w:t>
      </w:r>
      <w:r>
        <w:rPr>
          <w:rFonts w:hint="eastAsia" w:ascii="仿宋" w:hAnsi="仿宋" w:eastAsia="仿宋" w:cs="MS Gothic"/>
          <w:sz w:val="32"/>
          <w:szCs w:val="32"/>
        </w:rPr>
        <w:t>准化工作。</w:t>
      </w:r>
      <w:r>
        <w:rPr>
          <w:rFonts w:hint="eastAsia" w:ascii="仿宋" w:hAnsi="仿宋" w:eastAsia="仿宋" w:cs="宋体"/>
          <w:sz w:val="32"/>
          <w:szCs w:val="32"/>
        </w:rPr>
        <w:t>贯彻执</w:t>
      </w:r>
      <w:r>
        <w:rPr>
          <w:rFonts w:hint="eastAsia" w:ascii="仿宋" w:hAnsi="仿宋" w:eastAsia="仿宋" w:cs="MS Gothic"/>
          <w:sz w:val="32"/>
          <w:szCs w:val="32"/>
        </w:rPr>
        <w:t>行国家有关</w:t>
      </w:r>
      <w:r>
        <w:rPr>
          <w:rFonts w:hint="eastAsia" w:ascii="仿宋" w:hAnsi="仿宋" w:eastAsia="仿宋" w:cs="宋体"/>
          <w:sz w:val="32"/>
          <w:szCs w:val="32"/>
        </w:rPr>
        <w:t>标</w:t>
      </w:r>
      <w:r>
        <w:rPr>
          <w:rFonts w:hint="eastAsia" w:ascii="仿宋" w:hAnsi="仿宋" w:eastAsia="仿宋" w:cs="MS Gothic"/>
          <w:sz w:val="32"/>
          <w:szCs w:val="32"/>
        </w:rPr>
        <w:t>准化工作的政策、法律、法</w:t>
      </w:r>
      <w:r>
        <w:rPr>
          <w:rFonts w:hint="eastAsia" w:ascii="仿宋" w:hAnsi="仿宋" w:eastAsia="仿宋" w:cs="宋体"/>
          <w:sz w:val="32"/>
          <w:szCs w:val="32"/>
        </w:rPr>
        <w:t>规</w:t>
      </w:r>
      <w:r>
        <w:rPr>
          <w:rFonts w:hint="eastAsia" w:ascii="仿宋" w:hAnsi="仿宋" w:eastAsia="仿宋" w:cs="MS Gothic"/>
          <w:sz w:val="32"/>
          <w:szCs w:val="32"/>
        </w:rPr>
        <w:t>，管理全</w:t>
      </w:r>
      <w:r>
        <w:rPr>
          <w:rFonts w:hint="eastAsia" w:ascii="仿宋" w:hAnsi="仿宋" w:eastAsia="仿宋" w:cs="宋体"/>
          <w:sz w:val="32"/>
          <w:szCs w:val="32"/>
        </w:rPr>
        <w:t>县</w:t>
      </w:r>
      <w:r>
        <w:rPr>
          <w:rFonts w:hint="eastAsia" w:ascii="仿宋" w:hAnsi="仿宋" w:eastAsia="仿宋" w:cs="MS Gothic"/>
          <w:sz w:val="32"/>
          <w:szCs w:val="32"/>
        </w:rPr>
        <w:t>企</w:t>
      </w:r>
      <w:r>
        <w:rPr>
          <w:rFonts w:hint="eastAsia" w:ascii="仿宋" w:hAnsi="仿宋" w:eastAsia="仿宋" w:cs="宋体"/>
          <w:sz w:val="32"/>
          <w:szCs w:val="32"/>
        </w:rPr>
        <w:t>业产</w:t>
      </w:r>
      <w:r>
        <w:rPr>
          <w:rFonts w:hint="eastAsia" w:ascii="仿宋" w:hAnsi="仿宋" w:eastAsia="仿宋" w:cs="MS Gothic"/>
          <w:sz w:val="32"/>
          <w:szCs w:val="32"/>
        </w:rPr>
        <w:t>品</w:t>
      </w:r>
      <w:r>
        <w:rPr>
          <w:rFonts w:hint="eastAsia" w:ascii="仿宋" w:hAnsi="仿宋" w:eastAsia="仿宋" w:cs="宋体"/>
          <w:sz w:val="32"/>
          <w:szCs w:val="32"/>
        </w:rPr>
        <w:t>执</w:t>
      </w:r>
      <w:r>
        <w:rPr>
          <w:rFonts w:hint="eastAsia" w:ascii="仿宋" w:hAnsi="仿宋" w:eastAsia="仿宋" w:cs="MS Gothic"/>
          <w:sz w:val="32"/>
          <w:szCs w:val="32"/>
        </w:rPr>
        <w:t>行</w:t>
      </w:r>
      <w:r>
        <w:rPr>
          <w:rFonts w:hint="eastAsia" w:ascii="仿宋" w:hAnsi="仿宋" w:eastAsia="仿宋" w:cs="宋体"/>
          <w:sz w:val="32"/>
          <w:szCs w:val="32"/>
        </w:rPr>
        <w:t>标</w:t>
      </w:r>
      <w:r>
        <w:rPr>
          <w:rFonts w:hint="eastAsia" w:ascii="仿宋" w:hAnsi="仿宋" w:eastAsia="仿宋" w:cs="MS Gothic"/>
          <w:sz w:val="32"/>
          <w:szCs w:val="32"/>
        </w:rPr>
        <w:t>准登</w:t>
      </w:r>
      <w:r>
        <w:rPr>
          <w:rFonts w:hint="eastAsia" w:ascii="仿宋" w:hAnsi="仿宋" w:eastAsia="仿宋" w:cs="宋体"/>
          <w:sz w:val="32"/>
          <w:szCs w:val="32"/>
        </w:rPr>
        <w:t>记</w:t>
      </w:r>
      <w:r>
        <w:rPr>
          <w:rFonts w:hint="eastAsia" w:ascii="仿宋" w:hAnsi="仿宋" w:eastAsia="仿宋" w:cs="MS Gothic"/>
          <w:sz w:val="32"/>
          <w:szCs w:val="32"/>
        </w:rPr>
        <w:t>、企</w:t>
      </w:r>
      <w:r>
        <w:rPr>
          <w:rFonts w:hint="eastAsia" w:ascii="仿宋" w:hAnsi="仿宋" w:eastAsia="仿宋" w:cs="宋体"/>
          <w:sz w:val="32"/>
          <w:szCs w:val="32"/>
        </w:rPr>
        <w:t>业标</w:t>
      </w:r>
      <w:r>
        <w:rPr>
          <w:rFonts w:hint="eastAsia" w:ascii="仿宋" w:hAnsi="仿宋" w:eastAsia="仿宋" w:cs="MS Gothic"/>
          <w:sz w:val="32"/>
          <w:szCs w:val="32"/>
        </w:rPr>
        <w:t>准</w:t>
      </w:r>
      <w:r>
        <w:rPr>
          <w:rFonts w:hint="eastAsia" w:ascii="仿宋" w:hAnsi="仿宋" w:eastAsia="仿宋" w:cs="宋体"/>
          <w:sz w:val="32"/>
          <w:szCs w:val="32"/>
        </w:rPr>
        <w:t>备</w:t>
      </w:r>
      <w:r>
        <w:rPr>
          <w:rFonts w:hint="eastAsia" w:ascii="仿宋" w:hAnsi="仿宋" w:eastAsia="仿宋" w:cs="MS Gothic"/>
          <w:sz w:val="32"/>
          <w:szCs w:val="32"/>
        </w:rPr>
        <w:t>案和</w:t>
      </w:r>
      <w:r>
        <w:rPr>
          <w:rFonts w:hint="eastAsia" w:ascii="仿宋" w:hAnsi="仿宋" w:eastAsia="仿宋" w:cs="宋体"/>
          <w:sz w:val="32"/>
          <w:szCs w:val="32"/>
        </w:rPr>
        <w:t>标</w:t>
      </w:r>
      <w:r>
        <w:rPr>
          <w:rFonts w:hint="eastAsia" w:ascii="仿宋" w:hAnsi="仿宋" w:eastAsia="仿宋" w:cs="MS Gothic"/>
          <w:sz w:val="32"/>
          <w:szCs w:val="32"/>
        </w:rPr>
        <w:t>准</w:t>
      </w:r>
      <w:r>
        <w:rPr>
          <w:rFonts w:hint="eastAsia" w:ascii="仿宋" w:hAnsi="仿宋" w:eastAsia="仿宋" w:cs="宋体"/>
          <w:sz w:val="32"/>
          <w:szCs w:val="32"/>
        </w:rPr>
        <w:t>监</w:t>
      </w:r>
      <w:r>
        <w:rPr>
          <w:rFonts w:hint="eastAsia" w:ascii="仿宋" w:hAnsi="仿宋" w:eastAsia="仿宋" w:cs="MS Gothic"/>
          <w:sz w:val="32"/>
          <w:szCs w:val="32"/>
        </w:rPr>
        <w:t>督工作。</w:t>
      </w:r>
    </w:p>
    <w:p>
      <w:pPr>
        <w:ind w:firstLine="560"/>
        <w:rPr>
          <w:rFonts w:ascii="仿宋" w:hAnsi="仿宋" w:eastAsia="仿宋"/>
          <w:sz w:val="32"/>
          <w:szCs w:val="32"/>
        </w:rPr>
      </w:pPr>
      <w:r>
        <w:rPr>
          <w:rFonts w:ascii="仿宋" w:hAnsi="仿宋" w:eastAsia="仿宋"/>
          <w:sz w:val="32"/>
          <w:szCs w:val="32"/>
        </w:rPr>
        <w:t>4.</w:t>
      </w:r>
      <w:r>
        <w:rPr>
          <w:rFonts w:hint="eastAsia" w:ascii="仿宋" w:hAnsi="仿宋" w:eastAsia="仿宋" w:cs="宋体"/>
          <w:sz w:val="32"/>
          <w:szCs w:val="32"/>
        </w:rPr>
        <w:t>统</w:t>
      </w:r>
      <w:r>
        <w:rPr>
          <w:rFonts w:hint="eastAsia" w:ascii="仿宋" w:hAnsi="仿宋" w:eastAsia="仿宋" w:cs="MS Gothic"/>
          <w:sz w:val="32"/>
          <w:szCs w:val="32"/>
        </w:rPr>
        <w:t>一管理全</w:t>
      </w:r>
      <w:r>
        <w:rPr>
          <w:rFonts w:hint="eastAsia" w:ascii="仿宋" w:hAnsi="仿宋" w:eastAsia="仿宋" w:cs="宋体"/>
          <w:sz w:val="32"/>
          <w:szCs w:val="32"/>
        </w:rPr>
        <w:t>县</w:t>
      </w:r>
      <w:r>
        <w:rPr>
          <w:rFonts w:hint="eastAsia" w:ascii="仿宋" w:hAnsi="仿宋" w:eastAsia="仿宋" w:cs="MS Gothic"/>
          <w:sz w:val="32"/>
          <w:szCs w:val="32"/>
        </w:rPr>
        <w:t>的</w:t>
      </w:r>
      <w:r>
        <w:rPr>
          <w:rFonts w:hint="eastAsia" w:ascii="仿宋" w:hAnsi="仿宋" w:eastAsia="仿宋" w:cs="宋体"/>
          <w:sz w:val="32"/>
          <w:szCs w:val="32"/>
        </w:rPr>
        <w:t>计</w:t>
      </w:r>
      <w:r>
        <w:rPr>
          <w:rFonts w:hint="eastAsia" w:ascii="仿宋" w:hAnsi="仿宋" w:eastAsia="仿宋" w:cs="MS Gothic"/>
          <w:sz w:val="32"/>
          <w:szCs w:val="32"/>
        </w:rPr>
        <w:t>量工作。推行法定</w:t>
      </w:r>
      <w:r>
        <w:rPr>
          <w:rFonts w:hint="eastAsia" w:ascii="仿宋" w:hAnsi="仿宋" w:eastAsia="仿宋" w:cs="宋体"/>
          <w:sz w:val="32"/>
          <w:szCs w:val="32"/>
        </w:rPr>
        <w:t>计</w:t>
      </w:r>
      <w:r>
        <w:rPr>
          <w:rFonts w:hint="eastAsia" w:ascii="仿宋" w:hAnsi="仿宋" w:eastAsia="仿宋" w:cs="MS Gothic"/>
          <w:sz w:val="32"/>
          <w:szCs w:val="32"/>
        </w:rPr>
        <w:t>量</w:t>
      </w:r>
      <w:r>
        <w:rPr>
          <w:rFonts w:hint="eastAsia" w:ascii="仿宋" w:hAnsi="仿宋" w:eastAsia="仿宋" w:cs="宋体"/>
          <w:sz w:val="32"/>
          <w:szCs w:val="32"/>
        </w:rPr>
        <w:t>单</w:t>
      </w:r>
      <w:r>
        <w:rPr>
          <w:rFonts w:hint="eastAsia" w:ascii="仿宋" w:hAnsi="仿宋" w:eastAsia="仿宋" w:cs="MS Gothic"/>
          <w:sz w:val="32"/>
          <w:szCs w:val="32"/>
        </w:rPr>
        <w:t>位和国家</w:t>
      </w:r>
      <w:r>
        <w:rPr>
          <w:rFonts w:hint="eastAsia" w:ascii="仿宋" w:hAnsi="仿宋" w:eastAsia="仿宋" w:cs="宋体"/>
          <w:sz w:val="32"/>
          <w:szCs w:val="32"/>
        </w:rPr>
        <w:t>计</w:t>
      </w:r>
      <w:r>
        <w:rPr>
          <w:rFonts w:hint="eastAsia" w:ascii="仿宋" w:hAnsi="仿宋" w:eastAsia="仿宋" w:cs="MS Gothic"/>
          <w:sz w:val="32"/>
          <w:szCs w:val="32"/>
        </w:rPr>
        <w:t>量制度，</w:t>
      </w:r>
      <w:r>
        <w:rPr>
          <w:rFonts w:hint="eastAsia" w:ascii="仿宋" w:hAnsi="仿宋" w:eastAsia="仿宋" w:cs="宋体"/>
          <w:sz w:val="32"/>
          <w:szCs w:val="32"/>
        </w:rPr>
        <w:t>贯彻</w:t>
      </w:r>
      <w:r>
        <w:rPr>
          <w:rFonts w:hint="eastAsia" w:ascii="仿宋" w:hAnsi="仿宋" w:eastAsia="仿宋" w:cs="MS Gothic"/>
          <w:sz w:val="32"/>
          <w:szCs w:val="32"/>
        </w:rPr>
        <w:t>国家</w:t>
      </w:r>
      <w:r>
        <w:rPr>
          <w:rFonts w:hint="eastAsia" w:ascii="仿宋" w:hAnsi="仿宋" w:eastAsia="仿宋" w:cs="宋体"/>
          <w:sz w:val="32"/>
          <w:szCs w:val="32"/>
        </w:rPr>
        <w:t>计</w:t>
      </w:r>
      <w:r>
        <w:rPr>
          <w:rFonts w:hint="eastAsia" w:ascii="仿宋" w:hAnsi="仿宋" w:eastAsia="仿宋" w:cs="MS Gothic"/>
          <w:sz w:val="32"/>
          <w:szCs w:val="32"/>
        </w:rPr>
        <w:t>量</w:t>
      </w:r>
      <w:r>
        <w:rPr>
          <w:rFonts w:hint="eastAsia" w:ascii="仿宋" w:hAnsi="仿宋" w:eastAsia="仿宋" w:cs="宋体"/>
          <w:sz w:val="32"/>
          <w:szCs w:val="32"/>
        </w:rPr>
        <w:t>检</w:t>
      </w:r>
      <w:r>
        <w:rPr>
          <w:rFonts w:hint="eastAsia" w:ascii="仿宋" w:hAnsi="仿宋" w:eastAsia="仿宋" w:cs="MS Gothic"/>
          <w:sz w:val="32"/>
          <w:szCs w:val="32"/>
        </w:rPr>
        <w:t>定系</w:t>
      </w:r>
      <w:r>
        <w:rPr>
          <w:rFonts w:hint="eastAsia" w:ascii="仿宋" w:hAnsi="仿宋" w:eastAsia="仿宋" w:cs="宋体"/>
          <w:sz w:val="32"/>
          <w:szCs w:val="32"/>
        </w:rPr>
        <w:t>统</w:t>
      </w:r>
      <w:r>
        <w:rPr>
          <w:rFonts w:hint="eastAsia" w:ascii="仿宋" w:hAnsi="仿宋" w:eastAsia="仿宋" w:cs="MS Gothic"/>
          <w:sz w:val="32"/>
          <w:szCs w:val="32"/>
        </w:rPr>
        <w:t>、</w:t>
      </w:r>
      <w:r>
        <w:rPr>
          <w:rFonts w:hint="eastAsia" w:ascii="仿宋" w:hAnsi="仿宋" w:eastAsia="仿宋" w:cs="宋体"/>
          <w:sz w:val="32"/>
          <w:szCs w:val="32"/>
        </w:rPr>
        <w:t>检</w:t>
      </w:r>
      <w:r>
        <w:rPr>
          <w:rFonts w:hint="eastAsia" w:ascii="仿宋" w:hAnsi="仿宋" w:eastAsia="仿宋" w:cs="MS Gothic"/>
          <w:sz w:val="32"/>
          <w:szCs w:val="32"/>
        </w:rPr>
        <w:t>定</w:t>
      </w:r>
      <w:r>
        <w:rPr>
          <w:rFonts w:hint="eastAsia" w:ascii="仿宋" w:hAnsi="仿宋" w:eastAsia="仿宋" w:cs="宋体"/>
          <w:sz w:val="32"/>
          <w:szCs w:val="32"/>
        </w:rPr>
        <w:t>规</w:t>
      </w:r>
      <w:r>
        <w:rPr>
          <w:rFonts w:hint="eastAsia" w:ascii="仿宋" w:hAnsi="仿宋" w:eastAsia="仿宋" w:cs="MS Gothic"/>
          <w:sz w:val="32"/>
          <w:szCs w:val="32"/>
        </w:rPr>
        <w:t>程和</w:t>
      </w:r>
      <w:r>
        <w:rPr>
          <w:rFonts w:hint="eastAsia" w:ascii="仿宋" w:hAnsi="仿宋" w:eastAsia="仿宋" w:cs="宋体"/>
          <w:sz w:val="32"/>
          <w:szCs w:val="32"/>
        </w:rPr>
        <w:t>计</w:t>
      </w:r>
      <w:r>
        <w:rPr>
          <w:rFonts w:hint="eastAsia" w:ascii="仿宋" w:hAnsi="仿宋" w:eastAsia="仿宋" w:cs="MS Gothic"/>
          <w:sz w:val="32"/>
          <w:szCs w:val="32"/>
        </w:rPr>
        <w:t>量技</w:t>
      </w:r>
      <w:r>
        <w:rPr>
          <w:rFonts w:hint="eastAsia" w:ascii="仿宋" w:hAnsi="仿宋" w:eastAsia="仿宋" w:cs="宋体"/>
          <w:sz w:val="32"/>
          <w:szCs w:val="32"/>
        </w:rPr>
        <w:t>术规</w:t>
      </w:r>
      <w:r>
        <w:rPr>
          <w:rFonts w:hint="eastAsia" w:ascii="仿宋" w:hAnsi="仿宋" w:eastAsia="仿宋" w:cs="MS Gothic"/>
          <w:sz w:val="32"/>
          <w:szCs w:val="32"/>
        </w:rPr>
        <w:t>范，依法管理和</w:t>
      </w:r>
      <w:r>
        <w:rPr>
          <w:rFonts w:hint="eastAsia" w:ascii="仿宋" w:hAnsi="仿宋" w:eastAsia="仿宋" w:cs="宋体"/>
          <w:sz w:val="32"/>
          <w:szCs w:val="32"/>
        </w:rPr>
        <w:t>监</w:t>
      </w:r>
      <w:r>
        <w:rPr>
          <w:rFonts w:hint="eastAsia" w:ascii="仿宋" w:hAnsi="仿宋" w:eastAsia="仿宋" w:cs="MS Gothic"/>
          <w:sz w:val="32"/>
          <w:szCs w:val="32"/>
        </w:rPr>
        <w:t>督全</w:t>
      </w:r>
      <w:r>
        <w:rPr>
          <w:rFonts w:hint="eastAsia" w:ascii="仿宋" w:hAnsi="仿宋" w:eastAsia="仿宋" w:cs="宋体"/>
          <w:sz w:val="32"/>
          <w:szCs w:val="32"/>
        </w:rPr>
        <w:t>县计</w:t>
      </w:r>
      <w:r>
        <w:rPr>
          <w:rFonts w:hint="eastAsia" w:ascii="仿宋" w:hAnsi="仿宋" w:eastAsia="仿宋" w:cs="MS Gothic"/>
          <w:sz w:val="32"/>
          <w:szCs w:val="32"/>
        </w:rPr>
        <w:t>量器具，。</w:t>
      </w:r>
      <w:r>
        <w:rPr>
          <w:rFonts w:hint="eastAsia" w:ascii="仿宋" w:hAnsi="仿宋" w:eastAsia="仿宋" w:cs="宋体"/>
          <w:sz w:val="32"/>
          <w:szCs w:val="32"/>
        </w:rPr>
        <w:t>组织</w:t>
      </w:r>
      <w:r>
        <w:rPr>
          <w:rFonts w:hint="eastAsia" w:ascii="仿宋" w:hAnsi="仿宋" w:eastAsia="仿宋" w:cs="MS Gothic"/>
          <w:sz w:val="32"/>
          <w:szCs w:val="32"/>
        </w:rPr>
        <w:t>量</w:t>
      </w:r>
      <w:r>
        <w:rPr>
          <w:rFonts w:hint="eastAsia" w:ascii="仿宋" w:hAnsi="仿宋" w:eastAsia="仿宋" w:cs="宋体"/>
          <w:sz w:val="32"/>
          <w:szCs w:val="32"/>
        </w:rPr>
        <w:t>值传递</w:t>
      </w:r>
      <w:r>
        <w:rPr>
          <w:rFonts w:hint="eastAsia" w:ascii="仿宋" w:hAnsi="仿宋" w:eastAsia="仿宋" w:cs="MS Gothic"/>
          <w:sz w:val="32"/>
          <w:szCs w:val="32"/>
        </w:rPr>
        <w:t>，</w:t>
      </w:r>
      <w:r>
        <w:rPr>
          <w:rFonts w:hint="eastAsia" w:ascii="仿宋" w:hAnsi="仿宋" w:eastAsia="仿宋" w:cs="宋体"/>
          <w:sz w:val="32"/>
          <w:szCs w:val="32"/>
        </w:rPr>
        <w:t>规</w:t>
      </w:r>
      <w:r>
        <w:rPr>
          <w:rFonts w:hint="eastAsia" w:ascii="仿宋" w:hAnsi="仿宋" w:eastAsia="仿宋" w:cs="MS Gothic"/>
          <w:sz w:val="32"/>
          <w:szCs w:val="32"/>
        </w:rPr>
        <w:t>范和</w:t>
      </w:r>
      <w:r>
        <w:rPr>
          <w:rFonts w:hint="eastAsia" w:ascii="仿宋" w:hAnsi="仿宋" w:eastAsia="仿宋" w:cs="宋体"/>
          <w:sz w:val="32"/>
          <w:szCs w:val="32"/>
        </w:rPr>
        <w:t>监</w:t>
      </w:r>
      <w:r>
        <w:rPr>
          <w:rFonts w:hint="eastAsia" w:ascii="仿宋" w:hAnsi="仿宋" w:eastAsia="仿宋" w:cs="MS Gothic"/>
          <w:sz w:val="32"/>
          <w:szCs w:val="32"/>
        </w:rPr>
        <w:t>督商品量的</w:t>
      </w:r>
      <w:r>
        <w:rPr>
          <w:rFonts w:hint="eastAsia" w:ascii="仿宋" w:hAnsi="仿宋" w:eastAsia="仿宋" w:cs="宋体"/>
          <w:sz w:val="32"/>
          <w:szCs w:val="32"/>
        </w:rPr>
        <w:t>计</w:t>
      </w:r>
      <w:r>
        <w:rPr>
          <w:rFonts w:hint="eastAsia" w:ascii="仿宋" w:hAnsi="仿宋" w:eastAsia="仿宋" w:cs="MS Gothic"/>
          <w:sz w:val="32"/>
          <w:szCs w:val="32"/>
        </w:rPr>
        <w:t>量行</w:t>
      </w:r>
      <w:r>
        <w:rPr>
          <w:rFonts w:hint="eastAsia" w:ascii="仿宋" w:hAnsi="仿宋" w:eastAsia="仿宋" w:cs="宋体"/>
          <w:sz w:val="32"/>
          <w:szCs w:val="32"/>
        </w:rPr>
        <w:t>为</w:t>
      </w:r>
    </w:p>
    <w:p>
      <w:pPr>
        <w:ind w:firstLine="560"/>
        <w:rPr>
          <w:rFonts w:ascii="仿宋" w:hAnsi="仿宋" w:eastAsia="仿宋"/>
          <w:sz w:val="32"/>
          <w:szCs w:val="32"/>
        </w:rPr>
      </w:pPr>
      <w:r>
        <w:rPr>
          <w:rFonts w:ascii="仿宋" w:hAnsi="仿宋" w:eastAsia="仿宋"/>
          <w:sz w:val="32"/>
          <w:szCs w:val="32"/>
        </w:rPr>
        <w:t>5.</w:t>
      </w:r>
      <w:r>
        <w:rPr>
          <w:rFonts w:hint="eastAsia" w:ascii="仿宋" w:hAnsi="仿宋" w:eastAsia="仿宋" w:cs="宋体"/>
          <w:sz w:val="32"/>
          <w:szCs w:val="32"/>
        </w:rPr>
        <w:t>负责</w:t>
      </w:r>
      <w:r>
        <w:rPr>
          <w:rFonts w:hint="eastAsia" w:ascii="仿宋" w:hAnsi="仿宋" w:eastAsia="仿宋" w:cs="MS Gothic"/>
          <w:sz w:val="32"/>
          <w:szCs w:val="32"/>
        </w:rPr>
        <w:t>管理全</w:t>
      </w:r>
      <w:r>
        <w:rPr>
          <w:rFonts w:hint="eastAsia" w:ascii="仿宋" w:hAnsi="仿宋" w:eastAsia="仿宋" w:cs="宋体"/>
          <w:sz w:val="32"/>
          <w:szCs w:val="32"/>
        </w:rPr>
        <w:t>县</w:t>
      </w:r>
      <w:r>
        <w:rPr>
          <w:rFonts w:hint="eastAsia" w:ascii="仿宋" w:hAnsi="仿宋" w:eastAsia="仿宋" w:cs="MS Gothic"/>
          <w:sz w:val="32"/>
          <w:szCs w:val="32"/>
        </w:rPr>
        <w:t>工</w:t>
      </w:r>
      <w:r>
        <w:rPr>
          <w:rFonts w:hint="eastAsia" w:ascii="仿宋" w:hAnsi="仿宋" w:eastAsia="仿宋" w:cs="宋体"/>
          <w:sz w:val="32"/>
          <w:szCs w:val="32"/>
        </w:rPr>
        <w:t>业产</w:t>
      </w:r>
      <w:r>
        <w:rPr>
          <w:rFonts w:hint="eastAsia" w:ascii="仿宋" w:hAnsi="仿宋" w:eastAsia="仿宋" w:cs="MS Gothic"/>
          <w:sz w:val="32"/>
          <w:szCs w:val="32"/>
        </w:rPr>
        <w:t>品生</w:t>
      </w:r>
      <w:r>
        <w:rPr>
          <w:rFonts w:hint="eastAsia" w:ascii="仿宋" w:hAnsi="仿宋" w:eastAsia="仿宋" w:cs="宋体"/>
          <w:sz w:val="32"/>
          <w:szCs w:val="32"/>
        </w:rPr>
        <w:t>产许</w:t>
      </w:r>
      <w:r>
        <w:rPr>
          <w:rFonts w:hint="eastAsia" w:ascii="仿宋" w:hAnsi="仿宋" w:eastAsia="仿宋" w:cs="MS Gothic"/>
          <w:sz w:val="32"/>
          <w:szCs w:val="32"/>
        </w:rPr>
        <w:t>可</w:t>
      </w:r>
      <w:r>
        <w:rPr>
          <w:rFonts w:hint="eastAsia" w:ascii="仿宋" w:hAnsi="仿宋" w:eastAsia="仿宋" w:cs="宋体"/>
          <w:sz w:val="32"/>
          <w:szCs w:val="32"/>
        </w:rPr>
        <w:t>证</w:t>
      </w:r>
      <w:r>
        <w:rPr>
          <w:rFonts w:hint="eastAsia" w:ascii="仿宋" w:hAnsi="仿宋" w:eastAsia="仿宋" w:cs="MS Gothic"/>
          <w:sz w:val="32"/>
          <w:szCs w:val="32"/>
        </w:rPr>
        <w:t>申</w:t>
      </w:r>
      <w:r>
        <w:rPr>
          <w:rFonts w:hint="eastAsia" w:ascii="仿宋" w:hAnsi="仿宋" w:eastAsia="仿宋" w:cs="宋体"/>
          <w:sz w:val="32"/>
          <w:szCs w:val="32"/>
        </w:rPr>
        <w:t>报</w:t>
      </w:r>
      <w:r>
        <w:rPr>
          <w:rFonts w:hint="eastAsia" w:ascii="仿宋" w:hAnsi="仿宋" w:eastAsia="仿宋" w:cs="MS Gothic"/>
          <w:sz w:val="32"/>
          <w:szCs w:val="32"/>
        </w:rPr>
        <w:t>工作。帮助企</w:t>
      </w:r>
      <w:r>
        <w:rPr>
          <w:rFonts w:hint="eastAsia" w:ascii="仿宋" w:hAnsi="仿宋" w:eastAsia="仿宋" w:cs="宋体"/>
          <w:sz w:val="32"/>
          <w:szCs w:val="32"/>
        </w:rPr>
        <w:t>业</w:t>
      </w:r>
      <w:r>
        <w:rPr>
          <w:rFonts w:hint="eastAsia" w:ascii="仿宋" w:hAnsi="仿宋" w:eastAsia="仿宋" w:cs="MS Gothic"/>
          <w:sz w:val="32"/>
          <w:szCs w:val="32"/>
        </w:rPr>
        <w:t>申</w:t>
      </w:r>
      <w:r>
        <w:rPr>
          <w:rFonts w:hint="eastAsia" w:ascii="仿宋" w:hAnsi="仿宋" w:eastAsia="仿宋" w:cs="宋体"/>
          <w:sz w:val="32"/>
          <w:szCs w:val="32"/>
        </w:rPr>
        <w:t>领</w:t>
      </w:r>
      <w:r>
        <w:rPr>
          <w:rFonts w:hint="eastAsia" w:ascii="仿宋" w:hAnsi="仿宋" w:eastAsia="仿宋" w:cs="MS Gothic"/>
          <w:sz w:val="32"/>
          <w:szCs w:val="32"/>
        </w:rPr>
        <w:t>国家或省管的工</w:t>
      </w:r>
      <w:r>
        <w:rPr>
          <w:rFonts w:hint="eastAsia" w:ascii="仿宋" w:hAnsi="仿宋" w:eastAsia="仿宋" w:cs="宋体"/>
          <w:sz w:val="32"/>
          <w:szCs w:val="32"/>
        </w:rPr>
        <w:t>业产</w:t>
      </w:r>
      <w:r>
        <w:rPr>
          <w:rFonts w:hint="eastAsia" w:ascii="仿宋" w:hAnsi="仿宋" w:eastAsia="仿宋" w:cs="MS Gothic"/>
          <w:sz w:val="32"/>
          <w:szCs w:val="32"/>
        </w:rPr>
        <w:t>品生</w:t>
      </w:r>
      <w:r>
        <w:rPr>
          <w:rFonts w:hint="eastAsia" w:ascii="仿宋" w:hAnsi="仿宋" w:eastAsia="仿宋" w:cs="宋体"/>
          <w:sz w:val="32"/>
          <w:szCs w:val="32"/>
        </w:rPr>
        <w:t>产许</w:t>
      </w:r>
      <w:r>
        <w:rPr>
          <w:rFonts w:hint="eastAsia" w:ascii="仿宋" w:hAnsi="仿宋" w:eastAsia="仿宋" w:cs="MS Gothic"/>
          <w:sz w:val="32"/>
          <w:szCs w:val="32"/>
        </w:rPr>
        <w:t>可</w:t>
      </w:r>
      <w:r>
        <w:rPr>
          <w:rFonts w:hint="eastAsia" w:ascii="仿宋" w:hAnsi="仿宋" w:eastAsia="仿宋" w:cs="宋体"/>
          <w:sz w:val="32"/>
          <w:szCs w:val="32"/>
        </w:rPr>
        <w:t>证</w:t>
      </w:r>
      <w:r>
        <w:rPr>
          <w:rFonts w:hint="eastAsia" w:ascii="仿宋" w:hAnsi="仿宋" w:eastAsia="仿宋" w:cs="MS Gothic"/>
          <w:sz w:val="32"/>
          <w:szCs w:val="32"/>
        </w:rPr>
        <w:t>，</w:t>
      </w:r>
      <w:r>
        <w:rPr>
          <w:rFonts w:hint="eastAsia" w:ascii="仿宋" w:hAnsi="仿宋" w:eastAsia="仿宋" w:cs="宋体"/>
          <w:sz w:val="32"/>
          <w:szCs w:val="32"/>
        </w:rPr>
        <w:t>负责实</w:t>
      </w:r>
      <w:r>
        <w:rPr>
          <w:rFonts w:hint="eastAsia" w:ascii="仿宋" w:hAnsi="仿宋" w:eastAsia="仿宋" w:cs="MS Gothic"/>
          <w:sz w:val="32"/>
          <w:szCs w:val="32"/>
        </w:rPr>
        <w:t>行生</w:t>
      </w:r>
      <w:r>
        <w:rPr>
          <w:rFonts w:hint="eastAsia" w:ascii="仿宋" w:hAnsi="仿宋" w:eastAsia="仿宋" w:cs="宋体"/>
          <w:sz w:val="32"/>
          <w:szCs w:val="32"/>
        </w:rPr>
        <w:t>产许</w:t>
      </w:r>
      <w:r>
        <w:rPr>
          <w:rFonts w:hint="eastAsia" w:ascii="仿宋" w:hAnsi="仿宋" w:eastAsia="仿宋" w:cs="MS Gothic"/>
          <w:sz w:val="32"/>
          <w:szCs w:val="32"/>
        </w:rPr>
        <w:t>可</w:t>
      </w:r>
      <w:r>
        <w:rPr>
          <w:rFonts w:hint="eastAsia" w:ascii="仿宋" w:hAnsi="仿宋" w:eastAsia="仿宋" w:cs="宋体"/>
          <w:sz w:val="32"/>
          <w:szCs w:val="32"/>
        </w:rPr>
        <w:t>证</w:t>
      </w:r>
      <w:r>
        <w:rPr>
          <w:rFonts w:hint="eastAsia" w:ascii="仿宋" w:hAnsi="仿宋" w:eastAsia="仿宋" w:cs="MS Gothic"/>
          <w:sz w:val="32"/>
          <w:szCs w:val="32"/>
        </w:rPr>
        <w:t>管理的</w:t>
      </w:r>
      <w:r>
        <w:rPr>
          <w:rFonts w:hint="eastAsia" w:ascii="仿宋" w:hAnsi="仿宋" w:eastAsia="仿宋" w:cs="宋体"/>
          <w:sz w:val="32"/>
          <w:szCs w:val="32"/>
        </w:rPr>
        <w:t>产</w:t>
      </w:r>
      <w:r>
        <w:rPr>
          <w:rFonts w:hint="eastAsia" w:ascii="仿宋" w:hAnsi="仿宋" w:eastAsia="仿宋" w:cs="MS Gothic"/>
          <w:sz w:val="32"/>
          <w:szCs w:val="32"/>
        </w:rPr>
        <w:t>品的</w:t>
      </w:r>
      <w:r>
        <w:rPr>
          <w:rFonts w:hint="eastAsia" w:ascii="仿宋" w:hAnsi="仿宋" w:eastAsia="仿宋" w:cs="宋体"/>
          <w:sz w:val="32"/>
          <w:szCs w:val="32"/>
        </w:rPr>
        <w:t>监</w:t>
      </w:r>
      <w:r>
        <w:rPr>
          <w:rFonts w:hint="eastAsia" w:ascii="仿宋" w:hAnsi="仿宋" w:eastAsia="仿宋" w:cs="MS Gothic"/>
          <w:sz w:val="32"/>
          <w:szCs w:val="32"/>
        </w:rPr>
        <w:t>督</w:t>
      </w:r>
      <w:r>
        <w:rPr>
          <w:rFonts w:hint="eastAsia" w:ascii="仿宋" w:hAnsi="仿宋" w:eastAsia="仿宋" w:cs="宋体"/>
          <w:sz w:val="32"/>
          <w:szCs w:val="32"/>
        </w:rPr>
        <w:t>检查</w:t>
      </w:r>
      <w:r>
        <w:rPr>
          <w:rFonts w:hint="eastAsia" w:ascii="仿宋" w:hAnsi="仿宋" w:eastAsia="仿宋" w:cs="MS Gothic"/>
          <w:sz w:val="32"/>
          <w:szCs w:val="32"/>
        </w:rPr>
        <w:t>工作。</w:t>
      </w:r>
    </w:p>
    <w:p>
      <w:pPr>
        <w:ind w:firstLine="560"/>
        <w:rPr>
          <w:rFonts w:ascii="仿宋" w:hAnsi="仿宋" w:eastAsia="仿宋"/>
          <w:sz w:val="32"/>
          <w:szCs w:val="32"/>
        </w:rPr>
      </w:pPr>
      <w:r>
        <w:rPr>
          <w:rFonts w:ascii="仿宋" w:hAnsi="仿宋" w:eastAsia="仿宋"/>
          <w:sz w:val="32"/>
          <w:szCs w:val="32"/>
        </w:rPr>
        <w:t>6.</w:t>
      </w:r>
      <w:r>
        <w:rPr>
          <w:rFonts w:hint="eastAsia" w:ascii="仿宋" w:hAnsi="仿宋" w:eastAsia="仿宋" w:cs="宋体"/>
          <w:sz w:val="32"/>
          <w:szCs w:val="32"/>
        </w:rPr>
        <w:t>统</w:t>
      </w:r>
      <w:r>
        <w:rPr>
          <w:rFonts w:hint="eastAsia" w:ascii="仿宋" w:hAnsi="仿宋" w:eastAsia="仿宋" w:cs="MS Gothic"/>
          <w:sz w:val="32"/>
          <w:szCs w:val="32"/>
        </w:rPr>
        <w:t>一管理全</w:t>
      </w:r>
      <w:r>
        <w:rPr>
          <w:rFonts w:hint="eastAsia" w:ascii="仿宋" w:hAnsi="仿宋" w:eastAsia="仿宋" w:cs="宋体"/>
          <w:sz w:val="32"/>
          <w:szCs w:val="32"/>
        </w:rPr>
        <w:t>县</w:t>
      </w:r>
      <w:r>
        <w:rPr>
          <w:rFonts w:hint="eastAsia" w:ascii="仿宋" w:hAnsi="仿宋" w:eastAsia="仿宋" w:cs="MS Gothic"/>
          <w:sz w:val="32"/>
          <w:szCs w:val="32"/>
        </w:rPr>
        <w:t>的</w:t>
      </w:r>
      <w:r>
        <w:rPr>
          <w:rFonts w:hint="eastAsia" w:ascii="仿宋" w:hAnsi="仿宋" w:eastAsia="仿宋" w:cs="宋体"/>
          <w:sz w:val="32"/>
          <w:szCs w:val="32"/>
        </w:rPr>
        <w:t>锅</w:t>
      </w:r>
      <w:r>
        <w:rPr>
          <w:rFonts w:hint="eastAsia" w:ascii="仿宋" w:hAnsi="仿宋" w:eastAsia="仿宋" w:cs="MS Gothic"/>
          <w:sz w:val="32"/>
          <w:szCs w:val="32"/>
        </w:rPr>
        <w:t>炉、</w:t>
      </w:r>
      <w:r>
        <w:rPr>
          <w:rFonts w:hint="eastAsia" w:ascii="仿宋" w:hAnsi="仿宋" w:eastAsia="仿宋" w:cs="宋体"/>
          <w:sz w:val="32"/>
          <w:szCs w:val="32"/>
        </w:rPr>
        <w:t>压</w:t>
      </w:r>
      <w:r>
        <w:rPr>
          <w:rFonts w:hint="eastAsia" w:ascii="仿宋" w:hAnsi="仿宋" w:eastAsia="仿宋" w:cs="MS Gothic"/>
          <w:sz w:val="32"/>
          <w:szCs w:val="32"/>
        </w:rPr>
        <w:t>力容器、</w:t>
      </w:r>
      <w:r>
        <w:rPr>
          <w:rFonts w:hint="eastAsia" w:ascii="仿宋" w:hAnsi="仿宋" w:eastAsia="仿宋" w:cs="宋体"/>
          <w:sz w:val="32"/>
          <w:szCs w:val="32"/>
        </w:rPr>
        <w:t>压</w:t>
      </w:r>
      <w:r>
        <w:rPr>
          <w:rFonts w:hint="eastAsia" w:ascii="仿宋" w:hAnsi="仿宋" w:eastAsia="仿宋" w:cs="MS Gothic"/>
          <w:sz w:val="32"/>
          <w:szCs w:val="32"/>
        </w:rPr>
        <w:t>力管道、特种</w:t>
      </w:r>
      <w:r>
        <w:rPr>
          <w:rFonts w:hint="eastAsia" w:ascii="仿宋" w:hAnsi="仿宋" w:eastAsia="仿宋" w:cs="宋体"/>
          <w:sz w:val="32"/>
          <w:szCs w:val="32"/>
        </w:rPr>
        <w:t>设备</w:t>
      </w:r>
      <w:r>
        <w:rPr>
          <w:rFonts w:hint="eastAsia" w:ascii="仿宋" w:hAnsi="仿宋" w:eastAsia="仿宋" w:cs="MS Gothic"/>
          <w:sz w:val="32"/>
          <w:szCs w:val="32"/>
        </w:rPr>
        <w:t>的安全</w:t>
      </w:r>
      <w:r>
        <w:rPr>
          <w:rFonts w:hint="eastAsia" w:ascii="仿宋" w:hAnsi="仿宋" w:eastAsia="仿宋" w:cs="宋体"/>
          <w:sz w:val="32"/>
          <w:szCs w:val="32"/>
        </w:rPr>
        <w:t>监</w:t>
      </w:r>
      <w:r>
        <w:rPr>
          <w:rFonts w:hint="eastAsia" w:ascii="仿宋" w:hAnsi="仿宋" w:eastAsia="仿宋" w:cs="MS Gothic"/>
          <w:sz w:val="32"/>
          <w:szCs w:val="32"/>
        </w:rPr>
        <w:t>察工作，抓好</w:t>
      </w:r>
      <w:r>
        <w:rPr>
          <w:rFonts w:hint="eastAsia" w:ascii="仿宋" w:hAnsi="仿宋" w:eastAsia="仿宋" w:cs="宋体"/>
          <w:sz w:val="32"/>
          <w:szCs w:val="32"/>
        </w:rPr>
        <w:t>锅</w:t>
      </w:r>
      <w:r>
        <w:rPr>
          <w:rFonts w:hint="eastAsia" w:ascii="仿宋" w:hAnsi="仿宋" w:eastAsia="仿宋" w:cs="MS Gothic"/>
          <w:sz w:val="32"/>
          <w:szCs w:val="32"/>
        </w:rPr>
        <w:t>容管特</w:t>
      </w:r>
      <w:r>
        <w:rPr>
          <w:rFonts w:hint="eastAsia" w:ascii="仿宋" w:hAnsi="仿宋" w:eastAsia="仿宋" w:cs="宋体"/>
          <w:sz w:val="32"/>
          <w:szCs w:val="32"/>
        </w:rPr>
        <w:t>设备</w:t>
      </w:r>
      <w:r>
        <w:rPr>
          <w:rFonts w:hint="eastAsia" w:ascii="仿宋" w:hAnsi="仿宋" w:eastAsia="仿宋" w:cs="MS Gothic"/>
          <w:sz w:val="32"/>
          <w:szCs w:val="32"/>
        </w:rPr>
        <w:t>的登</w:t>
      </w:r>
      <w:r>
        <w:rPr>
          <w:rFonts w:hint="eastAsia" w:ascii="仿宋" w:hAnsi="仿宋" w:eastAsia="仿宋" w:cs="宋体"/>
          <w:sz w:val="32"/>
          <w:szCs w:val="32"/>
        </w:rPr>
        <w:t>记</w:t>
      </w:r>
      <w:r>
        <w:rPr>
          <w:rFonts w:hint="eastAsia" w:ascii="仿宋" w:hAnsi="仿宋" w:eastAsia="仿宋" w:cs="MS Gothic"/>
          <w:sz w:val="32"/>
          <w:szCs w:val="32"/>
        </w:rPr>
        <w:t>、</w:t>
      </w:r>
      <w:r>
        <w:rPr>
          <w:rFonts w:hint="eastAsia" w:ascii="仿宋" w:hAnsi="仿宋" w:eastAsia="仿宋" w:cs="宋体"/>
          <w:sz w:val="32"/>
          <w:szCs w:val="32"/>
        </w:rPr>
        <w:t>检验</w:t>
      </w:r>
      <w:r>
        <w:rPr>
          <w:rFonts w:hint="eastAsia" w:ascii="仿宋" w:hAnsi="仿宋" w:eastAsia="仿宋" w:cs="MS Gothic"/>
          <w:sz w:val="32"/>
          <w:szCs w:val="32"/>
        </w:rPr>
        <w:t>、人</w:t>
      </w:r>
      <w:r>
        <w:rPr>
          <w:rFonts w:hint="eastAsia" w:ascii="仿宋" w:hAnsi="仿宋" w:eastAsia="仿宋" w:cs="宋体"/>
          <w:sz w:val="32"/>
          <w:szCs w:val="32"/>
        </w:rPr>
        <w:t>员</w:t>
      </w:r>
      <w:r>
        <w:rPr>
          <w:rFonts w:hint="eastAsia" w:ascii="仿宋" w:hAnsi="仿宋" w:eastAsia="仿宋" w:cs="MS Gothic"/>
          <w:sz w:val="32"/>
          <w:szCs w:val="32"/>
        </w:rPr>
        <w:t>培</w:t>
      </w:r>
      <w:r>
        <w:rPr>
          <w:rFonts w:hint="eastAsia" w:ascii="仿宋" w:hAnsi="仿宋" w:eastAsia="仿宋" w:cs="宋体"/>
          <w:sz w:val="32"/>
          <w:szCs w:val="32"/>
        </w:rPr>
        <w:t>训</w:t>
      </w:r>
      <w:r>
        <w:rPr>
          <w:rFonts w:hint="eastAsia" w:ascii="仿宋" w:hAnsi="仿宋" w:eastAsia="仿宋" w:cs="MS Gothic"/>
          <w:sz w:val="32"/>
          <w:szCs w:val="32"/>
        </w:rPr>
        <w:t>和持</w:t>
      </w:r>
      <w:r>
        <w:rPr>
          <w:rFonts w:hint="eastAsia" w:ascii="仿宋" w:hAnsi="仿宋" w:eastAsia="仿宋" w:cs="宋体"/>
          <w:sz w:val="32"/>
          <w:szCs w:val="32"/>
        </w:rPr>
        <w:t>证</w:t>
      </w:r>
      <w:r>
        <w:rPr>
          <w:rFonts w:hint="eastAsia" w:ascii="仿宋" w:hAnsi="仿宋" w:eastAsia="仿宋" w:cs="MS Gothic"/>
          <w:sz w:val="32"/>
          <w:szCs w:val="32"/>
        </w:rPr>
        <w:t>上</w:t>
      </w:r>
      <w:r>
        <w:rPr>
          <w:rFonts w:hint="eastAsia" w:ascii="仿宋" w:hAnsi="仿宋" w:eastAsia="仿宋" w:cs="宋体"/>
          <w:sz w:val="32"/>
          <w:szCs w:val="32"/>
        </w:rPr>
        <w:t>岗</w:t>
      </w:r>
      <w:r>
        <w:rPr>
          <w:rFonts w:hint="eastAsia" w:ascii="仿宋" w:hAnsi="仿宋" w:eastAsia="仿宋" w:cs="MS Gothic"/>
          <w:sz w:val="32"/>
          <w:szCs w:val="32"/>
        </w:rPr>
        <w:t>，</w:t>
      </w:r>
      <w:r>
        <w:rPr>
          <w:rFonts w:hint="eastAsia" w:ascii="仿宋" w:hAnsi="仿宋" w:eastAsia="仿宋" w:cs="宋体"/>
          <w:sz w:val="32"/>
          <w:szCs w:val="32"/>
        </w:rPr>
        <w:t>进</w:t>
      </w:r>
      <w:r>
        <w:rPr>
          <w:rFonts w:hint="eastAsia" w:ascii="仿宋" w:hAnsi="仿宋" w:eastAsia="仿宋" w:cs="MS Gothic"/>
          <w:sz w:val="32"/>
          <w:szCs w:val="32"/>
        </w:rPr>
        <w:t>行安全事故</w:t>
      </w:r>
      <w:r>
        <w:rPr>
          <w:rFonts w:hint="eastAsia" w:ascii="仿宋" w:hAnsi="仿宋" w:eastAsia="仿宋" w:cs="宋体"/>
          <w:sz w:val="32"/>
          <w:szCs w:val="32"/>
        </w:rPr>
        <w:t>处</w:t>
      </w:r>
      <w:r>
        <w:rPr>
          <w:rFonts w:hint="eastAsia" w:ascii="仿宋" w:hAnsi="仿宋" w:eastAsia="仿宋" w:cs="MS Gothic"/>
          <w:sz w:val="32"/>
          <w:szCs w:val="32"/>
        </w:rPr>
        <w:t>理和</w:t>
      </w:r>
      <w:r>
        <w:rPr>
          <w:rFonts w:hint="eastAsia" w:ascii="仿宋" w:hAnsi="仿宋" w:eastAsia="仿宋" w:cs="宋体"/>
          <w:sz w:val="32"/>
          <w:szCs w:val="32"/>
        </w:rPr>
        <w:t>责</w:t>
      </w:r>
      <w:r>
        <w:rPr>
          <w:rFonts w:hint="eastAsia" w:ascii="仿宋" w:hAnsi="仿宋" w:eastAsia="仿宋" w:cs="MS Gothic"/>
          <w:sz w:val="32"/>
          <w:szCs w:val="32"/>
        </w:rPr>
        <w:t>任追究。</w:t>
      </w:r>
    </w:p>
    <w:p>
      <w:pPr>
        <w:ind w:firstLine="560"/>
        <w:rPr>
          <w:rFonts w:ascii="仿宋" w:hAnsi="仿宋" w:eastAsia="仿宋"/>
          <w:sz w:val="32"/>
          <w:szCs w:val="32"/>
        </w:rPr>
      </w:pPr>
      <w:r>
        <w:rPr>
          <w:rFonts w:ascii="仿宋" w:hAnsi="仿宋" w:eastAsia="仿宋"/>
          <w:sz w:val="32"/>
          <w:szCs w:val="32"/>
        </w:rPr>
        <w:t>7.</w:t>
      </w:r>
      <w:r>
        <w:rPr>
          <w:rFonts w:hint="eastAsia" w:ascii="仿宋" w:hAnsi="仿宋" w:eastAsia="仿宋"/>
          <w:sz w:val="32"/>
          <w:szCs w:val="32"/>
        </w:rPr>
        <w:t>制</w:t>
      </w:r>
      <w:r>
        <w:rPr>
          <w:rFonts w:hint="eastAsia" w:ascii="仿宋" w:hAnsi="仿宋" w:eastAsia="仿宋" w:cs="宋体"/>
          <w:sz w:val="32"/>
          <w:szCs w:val="32"/>
        </w:rPr>
        <w:t>订实</w:t>
      </w:r>
      <w:r>
        <w:rPr>
          <w:rFonts w:hint="eastAsia" w:ascii="仿宋" w:hAnsi="仿宋" w:eastAsia="仿宋" w:cs="MS Gothic"/>
          <w:sz w:val="32"/>
          <w:szCs w:val="32"/>
        </w:rPr>
        <w:t>施全</w:t>
      </w:r>
      <w:r>
        <w:rPr>
          <w:rFonts w:hint="eastAsia" w:ascii="仿宋" w:hAnsi="仿宋" w:eastAsia="仿宋" w:cs="宋体"/>
          <w:sz w:val="32"/>
          <w:szCs w:val="32"/>
        </w:rPr>
        <w:t>县质</w:t>
      </w:r>
      <w:r>
        <w:rPr>
          <w:rFonts w:hint="eastAsia" w:ascii="仿宋" w:hAnsi="仿宋" w:eastAsia="仿宋" w:cs="MS Gothic"/>
          <w:sz w:val="32"/>
          <w:szCs w:val="32"/>
        </w:rPr>
        <w:t>量技</w:t>
      </w:r>
      <w:r>
        <w:rPr>
          <w:rFonts w:hint="eastAsia" w:ascii="仿宋" w:hAnsi="仿宋" w:eastAsia="仿宋" w:cs="宋体"/>
          <w:sz w:val="32"/>
          <w:szCs w:val="32"/>
        </w:rPr>
        <w:t>术监</w:t>
      </w:r>
      <w:r>
        <w:rPr>
          <w:rFonts w:hint="eastAsia" w:ascii="仿宋" w:hAnsi="仿宋" w:eastAsia="仿宋" w:cs="MS Gothic"/>
          <w:sz w:val="32"/>
          <w:szCs w:val="32"/>
        </w:rPr>
        <w:t>督事</w:t>
      </w:r>
      <w:r>
        <w:rPr>
          <w:rFonts w:hint="eastAsia" w:ascii="仿宋" w:hAnsi="仿宋" w:eastAsia="仿宋" w:cs="宋体"/>
          <w:sz w:val="32"/>
          <w:szCs w:val="32"/>
        </w:rPr>
        <w:t>业发</w:t>
      </w:r>
      <w:r>
        <w:rPr>
          <w:rFonts w:hint="eastAsia" w:ascii="仿宋" w:hAnsi="仿宋" w:eastAsia="仿宋" w:cs="MS Gothic"/>
          <w:sz w:val="32"/>
          <w:szCs w:val="32"/>
        </w:rPr>
        <w:t>展</w:t>
      </w:r>
      <w:r>
        <w:rPr>
          <w:rFonts w:hint="eastAsia" w:ascii="仿宋" w:hAnsi="仿宋" w:eastAsia="仿宋" w:cs="宋体"/>
          <w:sz w:val="32"/>
          <w:szCs w:val="32"/>
        </w:rPr>
        <w:t>规</w:t>
      </w:r>
      <w:r>
        <w:rPr>
          <w:rFonts w:hint="eastAsia" w:ascii="仿宋" w:hAnsi="仿宋" w:eastAsia="仿宋" w:cs="MS Gothic"/>
          <w:sz w:val="32"/>
          <w:szCs w:val="32"/>
        </w:rPr>
        <w:t>划和年度</w:t>
      </w:r>
      <w:r>
        <w:rPr>
          <w:rFonts w:hint="eastAsia" w:ascii="仿宋" w:hAnsi="仿宋" w:eastAsia="仿宋" w:cs="宋体"/>
          <w:sz w:val="32"/>
          <w:szCs w:val="32"/>
        </w:rPr>
        <w:t>计</w:t>
      </w:r>
      <w:r>
        <w:rPr>
          <w:rFonts w:hint="eastAsia" w:ascii="仿宋" w:hAnsi="仿宋" w:eastAsia="仿宋" w:cs="MS Gothic"/>
          <w:sz w:val="32"/>
          <w:szCs w:val="32"/>
        </w:rPr>
        <w:t>划，</w:t>
      </w:r>
      <w:r>
        <w:rPr>
          <w:rFonts w:hint="eastAsia" w:ascii="仿宋" w:hAnsi="仿宋" w:eastAsia="仿宋" w:cs="宋体"/>
          <w:sz w:val="32"/>
          <w:szCs w:val="32"/>
        </w:rPr>
        <w:t>组织</w:t>
      </w:r>
      <w:r>
        <w:rPr>
          <w:rFonts w:hint="eastAsia" w:ascii="仿宋" w:hAnsi="仿宋" w:eastAsia="仿宋" w:cs="MS Gothic"/>
          <w:sz w:val="32"/>
          <w:szCs w:val="32"/>
        </w:rPr>
        <w:t>管理</w:t>
      </w:r>
      <w:r>
        <w:rPr>
          <w:rFonts w:hint="eastAsia" w:ascii="仿宋" w:hAnsi="仿宋" w:eastAsia="仿宋" w:cs="宋体"/>
          <w:sz w:val="32"/>
          <w:szCs w:val="32"/>
        </w:rPr>
        <w:t>质</w:t>
      </w:r>
      <w:r>
        <w:rPr>
          <w:rFonts w:hint="eastAsia" w:ascii="仿宋" w:hAnsi="仿宋" w:eastAsia="仿宋" w:cs="MS Gothic"/>
          <w:sz w:val="32"/>
          <w:szCs w:val="32"/>
        </w:rPr>
        <w:t>量技</w:t>
      </w:r>
      <w:r>
        <w:rPr>
          <w:rFonts w:hint="eastAsia" w:ascii="仿宋" w:hAnsi="仿宋" w:eastAsia="仿宋" w:cs="宋体"/>
          <w:sz w:val="32"/>
          <w:szCs w:val="32"/>
        </w:rPr>
        <w:t>术监</w:t>
      </w:r>
      <w:r>
        <w:rPr>
          <w:rFonts w:hint="eastAsia" w:ascii="仿宋" w:hAnsi="仿宋" w:eastAsia="仿宋" w:cs="MS Gothic"/>
          <w:sz w:val="32"/>
          <w:szCs w:val="32"/>
        </w:rPr>
        <w:t>督的宣</w:t>
      </w:r>
      <w:r>
        <w:rPr>
          <w:rFonts w:hint="eastAsia" w:ascii="仿宋" w:hAnsi="仿宋" w:eastAsia="仿宋" w:cs="宋体"/>
          <w:sz w:val="32"/>
          <w:szCs w:val="32"/>
        </w:rPr>
        <w:t>传</w:t>
      </w:r>
      <w:r>
        <w:rPr>
          <w:rFonts w:hint="eastAsia" w:ascii="仿宋" w:hAnsi="仿宋" w:eastAsia="仿宋" w:cs="MS Gothic"/>
          <w:sz w:val="32"/>
          <w:szCs w:val="32"/>
        </w:rPr>
        <w:t>、教育、培</w:t>
      </w:r>
      <w:r>
        <w:rPr>
          <w:rFonts w:hint="eastAsia" w:ascii="仿宋" w:hAnsi="仿宋" w:eastAsia="仿宋" w:cs="宋体"/>
          <w:sz w:val="32"/>
          <w:szCs w:val="32"/>
        </w:rPr>
        <w:t>训</w:t>
      </w:r>
      <w:r>
        <w:rPr>
          <w:rFonts w:hint="eastAsia" w:ascii="仿宋" w:hAnsi="仿宋" w:eastAsia="仿宋" w:cs="MS Gothic"/>
          <w:sz w:val="32"/>
          <w:szCs w:val="32"/>
        </w:rPr>
        <w:t>、信息工作。管理</w:t>
      </w:r>
    </w:p>
    <w:p>
      <w:pPr>
        <w:ind w:firstLine="560"/>
        <w:rPr>
          <w:rFonts w:ascii="仿宋" w:hAnsi="仿宋" w:eastAsia="仿宋" w:cs="ArialUnicodeMS"/>
          <w:kern w:val="0"/>
          <w:sz w:val="32"/>
          <w:szCs w:val="32"/>
        </w:rPr>
      </w:pPr>
      <w:r>
        <w:rPr>
          <w:rFonts w:ascii="仿宋" w:hAnsi="仿宋" w:eastAsia="仿宋"/>
          <w:sz w:val="32"/>
          <w:szCs w:val="32"/>
        </w:rPr>
        <w:t>8.</w:t>
      </w:r>
      <w:r>
        <w:rPr>
          <w:rFonts w:hint="eastAsia" w:ascii="仿宋" w:hAnsi="仿宋" w:eastAsia="仿宋"/>
          <w:sz w:val="32"/>
          <w:szCs w:val="32"/>
        </w:rPr>
        <w:t>承担</w:t>
      </w:r>
      <w:r>
        <w:rPr>
          <w:rFonts w:hint="eastAsia" w:ascii="仿宋" w:hAnsi="仿宋" w:eastAsia="仿宋" w:cs="宋体"/>
          <w:sz w:val="32"/>
          <w:szCs w:val="32"/>
        </w:rPr>
        <w:t>县</w:t>
      </w:r>
      <w:r>
        <w:rPr>
          <w:rFonts w:hint="eastAsia" w:ascii="仿宋" w:hAnsi="仿宋" w:eastAsia="仿宋" w:cs="MS Gothic"/>
          <w:sz w:val="32"/>
          <w:szCs w:val="32"/>
        </w:rPr>
        <w:t>委</w:t>
      </w:r>
      <w:r>
        <w:rPr>
          <w:rFonts w:hint="eastAsia" w:ascii="仿宋" w:hAnsi="仿宋" w:eastAsia="仿宋" w:cs="宋体"/>
          <w:sz w:val="32"/>
          <w:szCs w:val="32"/>
        </w:rPr>
        <w:t>县</w:t>
      </w:r>
      <w:r>
        <w:rPr>
          <w:rFonts w:hint="eastAsia" w:ascii="仿宋" w:hAnsi="仿宋" w:eastAsia="仿宋" w:cs="MS Gothic"/>
          <w:sz w:val="32"/>
          <w:szCs w:val="32"/>
        </w:rPr>
        <w:t>政府交</w:t>
      </w:r>
      <w:r>
        <w:rPr>
          <w:rFonts w:hint="eastAsia" w:ascii="仿宋" w:hAnsi="仿宋" w:eastAsia="仿宋" w:cs="宋体"/>
          <w:sz w:val="32"/>
          <w:szCs w:val="32"/>
        </w:rPr>
        <w:t>办</w:t>
      </w:r>
      <w:r>
        <w:rPr>
          <w:rFonts w:hint="eastAsia" w:ascii="仿宋" w:hAnsi="仿宋" w:eastAsia="仿宋" w:cs="MS Gothic"/>
          <w:sz w:val="32"/>
          <w:szCs w:val="32"/>
        </w:rPr>
        <w:t>的其他事</w:t>
      </w:r>
      <w:r>
        <w:rPr>
          <w:rFonts w:hint="eastAsia" w:ascii="仿宋" w:hAnsi="仿宋" w:eastAsia="仿宋" w:cs="宋体"/>
          <w:sz w:val="32"/>
          <w:szCs w:val="32"/>
        </w:rPr>
        <w:t>项</w:t>
      </w:r>
      <w:r>
        <w:rPr>
          <w:rFonts w:hint="eastAsia" w:ascii="仿宋" w:hAnsi="仿宋" w:eastAsia="仿宋" w:cs="MS Gothic"/>
          <w:sz w:val="32"/>
          <w:szCs w:val="32"/>
        </w:rPr>
        <w:t>。</w:t>
      </w:r>
    </w:p>
    <w:p>
      <w:pPr>
        <w:pStyle w:val="2"/>
        <w:spacing w:before="0" w:after="0" w:line="600" w:lineRule="exact"/>
        <w:jc w:val="left"/>
        <w:rPr>
          <w:rFonts w:ascii="黑体" w:hAnsi="Cambria" w:eastAsia="黑体" w:cs="黑体"/>
          <w:b w:val="0"/>
          <w:bCs w:val="0"/>
          <w:kern w:val="0"/>
          <w:sz w:val="32"/>
          <w:szCs w:val="32"/>
        </w:rPr>
      </w:pPr>
      <w:r>
        <w:rPr>
          <w:rFonts w:hint="eastAsia" w:ascii="黑体" w:hAnsi="Cambria" w:eastAsia="黑体" w:cs="黑体"/>
          <w:b w:val="0"/>
          <w:bCs w:val="0"/>
          <w:kern w:val="0"/>
          <w:sz w:val="32"/>
          <w:szCs w:val="32"/>
        </w:rPr>
        <w:t>二、机构设置</w:t>
      </w:r>
    </w:p>
    <w:p>
      <w:pPr>
        <w:spacing w:after="0" w:line="560" w:lineRule="exac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从决算编报单位构成看，纳入</w:t>
      </w:r>
      <w:r>
        <w:rPr>
          <w:rFonts w:ascii="仿宋_GB2312" w:hAnsi="Cambria" w:eastAsia="仿宋_GB2312" w:cs="ArialUnicodeMS"/>
          <w:kern w:val="0"/>
          <w:sz w:val="32"/>
          <w:szCs w:val="32"/>
        </w:rPr>
        <w:t xml:space="preserve">2018 </w:t>
      </w:r>
      <w:r>
        <w:rPr>
          <w:rFonts w:hint="eastAsia" w:ascii="仿宋_GB2312" w:hAnsi="Cambria" w:eastAsia="仿宋_GB2312" w:cs="ArialUnicodeMS"/>
          <w:kern w:val="0"/>
          <w:sz w:val="32"/>
          <w:szCs w:val="32"/>
        </w:rPr>
        <w:t>年度本部门决算汇编范围的独立核算单位（以下简称“单位”）共2个，具体情况如下：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序号</w:t>
            </w:r>
          </w:p>
        </w:tc>
        <w:tc>
          <w:tcPr>
            <w:tcW w:w="348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单位名称</w:t>
            </w:r>
          </w:p>
        </w:tc>
        <w:tc>
          <w:tcPr>
            <w:tcW w:w="244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单位基本性质</w:t>
            </w:r>
          </w:p>
        </w:tc>
        <w:tc>
          <w:tcPr>
            <w:tcW w:w="2665" w:type="dxa"/>
            <w:vAlign w:val="center"/>
          </w:tcPr>
          <w:p>
            <w:pPr>
              <w:spacing w:after="0" w:line="560" w:lineRule="exact"/>
              <w:jc w:val="center"/>
              <w:rPr>
                <w:rFonts w:ascii="仿宋_GB2312" w:hAnsi="Cambria" w:eastAsia="仿宋_GB2312" w:cs="ArialUnicodeMS"/>
                <w:b/>
                <w:bCs/>
                <w:kern w:val="0"/>
                <w:sz w:val="28"/>
                <w:szCs w:val="28"/>
              </w:rPr>
            </w:pPr>
            <w:r>
              <w:rPr>
                <w:rFonts w:hint="eastAsia" w:ascii="仿宋_GB2312" w:hAnsi="Cambria"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1</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无极县质量技术监督局</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行政单位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r>
              <w:rPr>
                <w:rFonts w:ascii="仿宋_GB2312" w:hAnsi="Cambria" w:eastAsia="仿宋_GB2312" w:cs="ArialUnicodeMS"/>
                <w:kern w:val="0"/>
                <w:sz w:val="28"/>
                <w:szCs w:val="28"/>
              </w:rPr>
              <w:t>2</w:t>
            </w:r>
          </w:p>
        </w:tc>
        <w:tc>
          <w:tcPr>
            <w:tcW w:w="3485" w:type="dxa"/>
          </w:tcPr>
          <w:p>
            <w:pPr>
              <w:spacing w:after="0" w:line="560" w:lineRule="exact"/>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无极县质量技术监督检验所</w:t>
            </w:r>
          </w:p>
        </w:tc>
        <w:tc>
          <w:tcPr>
            <w:tcW w:w="244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财政事业单位</w:t>
            </w:r>
          </w:p>
        </w:tc>
        <w:tc>
          <w:tcPr>
            <w:tcW w:w="2665" w:type="dxa"/>
          </w:tcPr>
          <w:p>
            <w:pPr>
              <w:spacing w:after="0" w:line="560" w:lineRule="exact"/>
              <w:jc w:val="center"/>
              <w:rPr>
                <w:rFonts w:ascii="仿宋_GB2312" w:hAnsi="Cambria" w:eastAsia="仿宋_GB2312" w:cs="ArialUnicodeMS"/>
                <w:kern w:val="0"/>
                <w:sz w:val="28"/>
                <w:szCs w:val="28"/>
              </w:rPr>
            </w:pPr>
            <w:r>
              <w:rPr>
                <w:rFonts w:hint="eastAsia" w:ascii="仿宋_GB2312" w:hAnsi="Cambria"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hAnsi="Cambria" w:eastAsia="仿宋_GB2312" w:cs="ArialUnicodeMS"/>
                <w:kern w:val="0"/>
                <w:sz w:val="28"/>
                <w:szCs w:val="28"/>
              </w:rPr>
            </w:pP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Pr>
          <w:p>
            <w:pPr>
              <w:spacing w:after="0" w:line="560" w:lineRule="exact"/>
              <w:rPr>
                <w:rFonts w:ascii="仿宋_GB2312" w:hAnsi="Cambria" w:eastAsia="仿宋_GB2312" w:cs="ArialUnicodeMS"/>
                <w:kern w:val="0"/>
                <w:sz w:val="28"/>
                <w:szCs w:val="28"/>
              </w:rPr>
            </w:pPr>
          </w:p>
        </w:tc>
        <w:tc>
          <w:tcPr>
            <w:tcW w:w="3485" w:type="dxa"/>
          </w:tcPr>
          <w:p>
            <w:pPr>
              <w:spacing w:after="0" w:line="560" w:lineRule="exact"/>
              <w:rPr>
                <w:rFonts w:ascii="仿宋_GB2312" w:hAnsi="Cambria" w:eastAsia="仿宋_GB2312" w:cs="ArialUnicodeMS"/>
                <w:kern w:val="0"/>
                <w:sz w:val="28"/>
                <w:szCs w:val="28"/>
              </w:rPr>
            </w:pPr>
          </w:p>
        </w:tc>
        <w:tc>
          <w:tcPr>
            <w:tcW w:w="2445" w:type="dxa"/>
          </w:tcPr>
          <w:p>
            <w:pPr>
              <w:spacing w:after="0" w:line="560" w:lineRule="exact"/>
              <w:jc w:val="center"/>
              <w:rPr>
                <w:rFonts w:ascii="仿宋_GB2312" w:hAnsi="Cambria" w:eastAsia="仿宋_GB2312" w:cs="ArialUnicodeMS"/>
                <w:kern w:val="0"/>
                <w:sz w:val="28"/>
                <w:szCs w:val="28"/>
              </w:rPr>
            </w:pPr>
          </w:p>
        </w:tc>
        <w:tc>
          <w:tcPr>
            <w:tcW w:w="2665" w:type="dxa"/>
          </w:tcPr>
          <w:p>
            <w:pPr>
              <w:spacing w:after="0" w:line="560" w:lineRule="exact"/>
              <w:jc w:val="center"/>
              <w:rPr>
                <w:rFonts w:ascii="仿宋_GB2312" w:hAnsi="Cambria"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left w:val="nil"/>
              <w:bottom w:val="nil"/>
              <w:right w:val="nil"/>
            </w:tcBorders>
          </w:tcPr>
          <w:p>
            <w:pPr>
              <w:spacing w:after="0" w:line="560" w:lineRule="exact"/>
              <w:jc w:val="left"/>
              <w:rPr>
                <w:rFonts w:ascii="仿宋_GB2312" w:hAnsi="Cambria" w:eastAsia="仿宋_GB2312" w:cs="ArialUnicodeMS"/>
                <w:kern w:val="0"/>
                <w:sz w:val="28"/>
                <w:szCs w:val="28"/>
                <w:highlight w:val="yellow"/>
              </w:rPr>
            </w:pPr>
          </w:p>
        </w:tc>
      </w:tr>
    </w:tbl>
    <w:p>
      <w:pPr>
        <w:widowControl/>
        <w:spacing w:line="560" w:lineRule="exact"/>
        <w:jc w:val="center"/>
        <w:rPr>
          <w:rFonts w:ascii="黑体" w:hAnsi="Cambria" w:eastAsia="黑体" w:cs="MS-UIGothic,Bold"/>
          <w:bCs/>
          <w:kern w:val="0"/>
          <w:sz w:val="52"/>
          <w:szCs w:val="52"/>
        </w:rPr>
      </w:pPr>
    </w:p>
    <w:p>
      <w:pPr>
        <w:widowControl/>
        <w:spacing w:line="560" w:lineRule="exact"/>
        <w:jc w:val="center"/>
        <w:rPr>
          <w:rFonts w:ascii="黑体" w:hAnsi="Cambria" w:eastAsia="黑体" w:cs="MS-UIGothic,Bold"/>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hAnsi="Cambria" w:eastAsia="黑体" w:cs="MS-UIGothic,Bold"/>
          <w:bCs/>
          <w:kern w:val="0"/>
          <w:sz w:val="52"/>
          <w:szCs w:val="52"/>
        </w:rPr>
      </w:pPr>
      <w:r>
        <w:drawing>
          <wp:anchor distT="0" distB="0" distL="114300" distR="114300" simplePos="0" relativeHeight="251661312"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9"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6" descr="2"/>
                    <pic:cNvPicPr>
                      <a:picLocks noChangeAspect="1"/>
                    </pic:cNvPicPr>
                  </pic:nvPicPr>
                  <pic:blipFill>
                    <a:blip r:embed="rId8"/>
                    <a:stretch>
                      <a:fillRect/>
                    </a:stretch>
                  </pic:blipFill>
                  <pic:spPr>
                    <a:xfrm>
                      <a:off x="0" y="0"/>
                      <a:ext cx="7571105" cy="10680065"/>
                    </a:xfrm>
                    <a:prstGeom prst="rect">
                      <a:avLst/>
                    </a:prstGeom>
                    <a:noFill/>
                    <a:ln w="9525">
                      <a:noFill/>
                    </a:ln>
                  </pic:spPr>
                </pic:pic>
              </a:graphicData>
            </a:graphic>
          </wp:anchor>
        </w:drawing>
      </w:r>
    </w:p>
    <w:p>
      <w:pPr>
        <w:widowControl/>
        <w:spacing w:line="560" w:lineRule="exact"/>
        <w:jc w:val="center"/>
        <w:rPr>
          <w:rFonts w:ascii="黑体" w:hAnsi="Cambria" w:eastAsia="黑体" w:cs="MS-UIGothic,Bold"/>
          <w:bCs/>
          <w:kern w:val="0"/>
          <w:sz w:val="52"/>
          <w:szCs w:val="52"/>
        </w:rPr>
      </w:pPr>
    </w:p>
    <w:p>
      <w:pPr>
        <w:rPr>
          <w:rFonts w:ascii="宋体" w:cs="ArialUnicodeMS"/>
          <w:color w:val="000000"/>
          <w:kern w:val="0"/>
        </w:r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mc:AlternateContent>
          <mc:Choice Requires="wps">
            <w:drawing>
              <wp:anchor distT="0" distB="0" distL="114300" distR="114300" simplePos="0" relativeHeight="251669504" behindDoc="0" locked="0" layoutInCell="1" allowOverlap="1">
                <wp:simplePos x="0" y="0"/>
                <wp:positionH relativeFrom="column">
                  <wp:posOffset>-942340</wp:posOffset>
                </wp:positionH>
                <wp:positionV relativeFrom="paragraph">
                  <wp:posOffset>1527810</wp:posOffset>
                </wp:positionV>
                <wp:extent cx="7571740" cy="2020570"/>
                <wp:effectExtent l="0" t="0" r="0" b="0"/>
                <wp:wrapNone/>
                <wp:docPr id="3" name="文本框 7"/>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wps:txbx>
                      <wps:bodyPr upright="1"/>
                    </wps:wsp>
                  </a:graphicData>
                </a:graphic>
              </wp:anchor>
            </w:drawing>
          </mc:Choice>
          <mc:Fallback>
            <w:pict>
              <v:shape id="文本框 7" o:spid="_x0000_s1026" o:spt="202" type="#_x0000_t202" style="position:absolute;left:0pt;margin-left:-74.2pt;margin-top:120.3pt;height:159.1pt;width:596.2pt;z-index:251669504;mso-width-relative:page;mso-height-relative:page;" filled="f" stroked="f" coordsize="21600,21600" o:gfxdata="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E5rPdDcAAAADQEAAA8AAAAAAAAAAQAg&#10;AAAAOAAAAGRycy9kb3ducmV2LnhtbFBLAQIUABQAAAAIAIdO4kAXJtH6uwEAAGYDAAAOAAAAAAAA&#10;AAEAIAAAAEEBAABkcnMvZTJvRG9jLnhtbFBLBQYAAAAABgAGAFkBAABuBQ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第二部分</w:t>
                      </w:r>
                    </w:p>
                    <w:p>
                      <w:pPr>
                        <w:widowControl/>
                        <w:spacing w:line="1200" w:lineRule="exact"/>
                        <w:jc w:val="center"/>
                        <w:rPr>
                          <w:color w:val="FDEFBE"/>
                          <w:sz w:val="96"/>
                          <w:szCs w:val="96"/>
                        </w:rPr>
                      </w:pPr>
                      <w:r>
                        <w:rPr>
                          <w:rFonts w:ascii="黑体" w:hAnsi="宋体" w:eastAsia="黑体"/>
                          <w:color w:val="FDEFBE"/>
                          <w:sz w:val="96"/>
                          <w:szCs w:val="96"/>
                        </w:rPr>
                        <w:t>2018</w:t>
                      </w:r>
                      <w:r>
                        <w:rPr>
                          <w:rFonts w:hint="eastAsia" w:ascii="黑体" w:hAnsi="宋体" w:eastAsia="黑体"/>
                          <w:color w:val="FDEFBE"/>
                          <w:sz w:val="96"/>
                          <w:szCs w:val="96"/>
                        </w:rPr>
                        <w:t>年度部门决算报表</w:t>
                      </w:r>
                    </w:p>
                  </w:txbxContent>
                </v:textbox>
              </v:shape>
            </w:pict>
          </mc:Fallback>
        </mc:AlternateConten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01</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tcMar>
              <w:top w:w="15" w:type="dxa"/>
              <w:left w:w="15" w:type="dxa"/>
              <w:right w:w="15" w:type="dxa"/>
            </w:tcMar>
            <w:vAlign w:val="center"/>
          </w:tcPr>
          <w:p>
            <w:pPr>
              <w:widowControl/>
              <w:spacing w:after="0" w:line="240" w:lineRule="exact"/>
              <w:jc w:val="left"/>
              <w:textAlignment w:val="center"/>
              <w:rPr>
                <w:rFonts w:ascii="宋体" w:cs="宋体"/>
                <w:color w:val="000000"/>
                <w:sz w:val="20"/>
                <w:szCs w:val="20"/>
              </w:rPr>
            </w:pPr>
            <w:r>
              <w:rPr>
                <w:rFonts w:hint="eastAsia" w:ascii="宋体" w:hAnsi="宋体" w:cs="宋体"/>
                <w:color w:val="000000"/>
                <w:kern w:val="0"/>
                <w:sz w:val="20"/>
                <w:szCs w:val="20"/>
              </w:rPr>
              <w:t>部门：无极县质量技术监督局（汇总））</w:t>
            </w: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336"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2700"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567" w:type="dxa"/>
            <w:tcBorders>
              <w:top w:val="nil"/>
              <w:left w:val="nil"/>
              <w:bottom w:val="nil"/>
              <w:right w:val="nil"/>
            </w:tcBorders>
            <w:tcMar>
              <w:top w:w="15" w:type="dxa"/>
              <w:left w:w="15" w:type="dxa"/>
              <w:right w:w="15" w:type="dxa"/>
            </w:tcMar>
            <w:vAlign w:val="center"/>
          </w:tcPr>
          <w:p>
            <w:pPr>
              <w:widowControl/>
              <w:spacing w:after="0" w:line="240" w:lineRule="exact"/>
              <w:rPr>
                <w:rFonts w:ascii="宋体" w:cs="宋体"/>
                <w:color w:val="000000"/>
                <w:sz w:val="20"/>
                <w:szCs w:val="20"/>
              </w:rPr>
            </w:pPr>
          </w:p>
        </w:tc>
        <w:tc>
          <w:tcPr>
            <w:tcW w:w="1430" w:type="dxa"/>
            <w:tcBorders>
              <w:top w:val="nil"/>
              <w:left w:val="nil"/>
              <w:bottom w:val="nil"/>
              <w:right w:val="nil"/>
            </w:tcBorders>
            <w:tcMar>
              <w:top w:w="15" w:type="dxa"/>
              <w:left w:w="15" w:type="dxa"/>
              <w:right w:w="15" w:type="dxa"/>
            </w:tcMar>
            <w:vAlign w:val="center"/>
          </w:tcPr>
          <w:p>
            <w:pPr>
              <w:widowControl/>
              <w:spacing w:after="0" w:line="240" w:lineRule="exac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rPr>
                <w:rFonts w:ascii="宋体" w:cs="宋体"/>
                <w:color w:val="000000"/>
                <w:sz w:val="20"/>
                <w:szCs w:val="20"/>
              </w:rPr>
            </w:pP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exact"/>
              <w:jc w:val="center"/>
              <w:textAlignment w:val="center"/>
              <w:rPr>
                <w:rFonts w:ascii="宋体" w:cs="宋体"/>
                <w:color w:val="000000"/>
                <w:sz w:val="20"/>
                <w:szCs w:val="20"/>
              </w:rPr>
            </w:pPr>
            <w:r>
              <w:rPr>
                <w:rFonts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684.11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665.49</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23.76</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rPr>
                <w:rFonts w:ascii="宋体" w:cs="宋体"/>
                <w:color w:val="000000"/>
                <w:sz w:val="20"/>
                <w:szCs w:val="20"/>
              </w:rPr>
            </w:pP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hint="eastAsia" w:ascii="宋体" w:cs="宋体"/>
                <w:color w:val="000000"/>
                <w:sz w:val="18"/>
                <w:szCs w:val="18"/>
              </w:rPr>
              <w:t>684.11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689.25</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hint="eastAsia" w:ascii="宋体" w:cs="宋体"/>
                <w:color w:val="000000"/>
                <w:sz w:val="18"/>
                <w:szCs w:val="18"/>
              </w:rPr>
              <w:t>20.01</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left"/>
              <w:textAlignment w:val="center"/>
              <w:rPr>
                <w:rFonts w:asci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14.87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18"/>
                <w:szCs w:val="18"/>
              </w:rPr>
            </w:pPr>
            <w:r>
              <w:rPr>
                <w:rFonts w:hint="eastAsia" w:ascii="宋体" w:cs="宋体"/>
                <w:color w:val="000000"/>
                <w:sz w:val="18"/>
                <w:szCs w:val="18"/>
              </w:rPr>
              <w:t>704.12</w:t>
            </w:r>
          </w:p>
        </w:tc>
        <w:tc>
          <w:tcPr>
            <w:tcW w:w="270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center"/>
              <w:textAlignment w:val="center"/>
              <w:rPr>
                <w:rFonts w:ascii="宋体" w:cs="宋体"/>
                <w:color w:val="000000"/>
                <w:sz w:val="20"/>
                <w:szCs w:val="20"/>
              </w:rPr>
            </w:pPr>
            <w:r>
              <w:rPr>
                <w:rFonts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00" w:lineRule="exact"/>
              <w:jc w:val="right"/>
              <w:rPr>
                <w:rFonts w:ascii="宋体" w:cs="宋体"/>
                <w:color w:val="000000"/>
                <w:sz w:val="20"/>
                <w:szCs w:val="20"/>
              </w:rPr>
            </w:pPr>
            <w:r>
              <w:rPr>
                <w:rFonts w:hint="eastAsia" w:ascii="宋体" w:cs="宋体"/>
                <w:color w:val="000000"/>
                <w:sz w:val="20"/>
                <w:szCs w:val="20"/>
              </w:rPr>
              <w:t>704.12</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tcMar>
              <w:top w:w="15" w:type="dxa"/>
              <w:left w:w="15" w:type="dxa"/>
              <w:right w:w="15" w:type="dxa"/>
            </w:tcMar>
            <w:vAlign w:val="center"/>
          </w:tcPr>
          <w:p>
            <w:pPr>
              <w:widowControl/>
              <w:spacing w:after="0" w:line="200" w:lineRule="exact"/>
              <w:jc w:val="left"/>
              <w:textAlignment w:val="center"/>
              <w:rPr>
                <w:rFonts w:asci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02</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部门：无极县质量技术监督局（汇总））</w:t>
            </w:r>
          </w:p>
        </w:tc>
        <w:tc>
          <w:tcPr>
            <w:tcW w:w="26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r>
              <w:rPr>
                <w:rFonts w:hint="eastAsia" w:ascii="宋体" w:cs="宋体"/>
                <w:b/>
                <w:color w:val="000000"/>
                <w:sz w:val="18"/>
                <w:szCs w:val="18"/>
              </w:rPr>
              <w:t>684.11</w:t>
            </w: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r>
              <w:rPr>
                <w:rFonts w:hint="eastAsia" w:ascii="宋体" w:cs="宋体"/>
                <w:b/>
                <w:color w:val="000000"/>
                <w:sz w:val="18"/>
                <w:szCs w:val="18"/>
              </w:rPr>
              <w:t>684.11</w:t>
            </w: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0"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c>
          <w:tcPr>
            <w:tcW w:w="926" w:type="dxa"/>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质量技术监督与检验检疫事务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664.44</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664.44</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140.51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140.51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2011702</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一般行政管理事务</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15.10</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15.10</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2011706</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质量技术监督行政执法及业务管理</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232.75</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232.75</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2011750</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事业运行</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2011799</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其他质量技术监督与检验检疫事务支出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19.67</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19.67</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4.59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2080505</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4.59</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4.59</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2080801</w:t>
            </w:r>
          </w:p>
        </w:tc>
        <w:tc>
          <w:tcPr>
            <w:tcW w:w="1318"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死亡抚恤</w:t>
            </w:r>
          </w:p>
        </w:tc>
        <w:tc>
          <w:tcPr>
            <w:tcW w:w="920"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150.08</w:t>
            </w: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2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270" w:type="dxa"/>
        <w:tblInd w:w="0" w:type="dxa"/>
        <w:tblLayout w:type="fixed"/>
        <w:tblCellMar>
          <w:top w:w="0" w:type="dxa"/>
          <w:left w:w="0" w:type="dxa"/>
          <w:bottom w:w="0" w:type="dxa"/>
          <w:right w:w="0" w:type="dxa"/>
        </w:tblCellMar>
      </w:tblPr>
      <w:tblGrid>
        <w:gridCol w:w="290"/>
        <w:gridCol w:w="289"/>
        <w:gridCol w:w="803"/>
        <w:gridCol w:w="1944"/>
        <w:gridCol w:w="90"/>
        <w:gridCol w:w="848"/>
        <w:gridCol w:w="109"/>
        <w:gridCol w:w="161"/>
        <w:gridCol w:w="850"/>
        <w:gridCol w:w="144"/>
        <w:gridCol w:w="126"/>
        <w:gridCol w:w="848"/>
        <w:gridCol w:w="270"/>
        <w:gridCol w:w="631"/>
        <w:gridCol w:w="489"/>
        <w:gridCol w:w="381"/>
        <w:gridCol w:w="727"/>
        <w:gridCol w:w="270"/>
      </w:tblGrid>
      <w:tr>
        <w:tblPrEx>
          <w:tblCellMar>
            <w:top w:w="0" w:type="dxa"/>
            <w:left w:w="0" w:type="dxa"/>
            <w:bottom w:w="0" w:type="dxa"/>
            <w:right w:w="0" w:type="dxa"/>
          </w:tblCellMar>
        </w:tblPrEx>
        <w:trPr>
          <w:gridAfter w:val="1"/>
          <w:wAfter w:w="270" w:type="dxa"/>
          <w:trHeight w:val="798" w:hRule="atLeast"/>
        </w:trPr>
        <w:tc>
          <w:tcPr>
            <w:tcW w:w="90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944"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9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3"/>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03</w:t>
            </w:r>
            <w:r>
              <w:rPr>
                <w:rFonts w:hint="eastAsia" w:ascii="宋体" w:hAnsi="宋体" w:cs="宋体"/>
                <w:color w:val="000000"/>
                <w:kern w:val="0"/>
                <w:szCs w:val="21"/>
              </w:rPr>
              <w:t>表</w:t>
            </w:r>
          </w:p>
        </w:tc>
      </w:tr>
      <w:tr>
        <w:tblPrEx>
          <w:tblCellMar>
            <w:top w:w="0" w:type="dxa"/>
            <w:left w:w="0" w:type="dxa"/>
            <w:bottom w:w="0" w:type="dxa"/>
            <w:right w:w="0" w:type="dxa"/>
          </w:tblCellMar>
        </w:tblPrEx>
        <w:trPr>
          <w:gridAfter w:val="1"/>
          <w:wAfter w:w="270" w:type="dxa"/>
          <w:trHeight w:val="380" w:hRule="atLeast"/>
        </w:trPr>
        <w:tc>
          <w:tcPr>
            <w:tcW w:w="3326" w:type="dxa"/>
            <w:gridSpan w:val="4"/>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w:t>
            </w:r>
          </w:p>
        </w:tc>
        <w:tc>
          <w:tcPr>
            <w:tcW w:w="938"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5"/>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gridAfter w:val="1"/>
          <w:wAfter w:w="270" w:type="dxa"/>
          <w:trHeight w:val="837" w:hRule="atLeast"/>
        </w:trPr>
        <w:tc>
          <w:tcPr>
            <w:tcW w:w="3326"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1047" w:type="dxa"/>
            <w:gridSpan w:val="3"/>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本年支出合计</w:t>
            </w:r>
          </w:p>
        </w:tc>
        <w:tc>
          <w:tcPr>
            <w:tcW w:w="1155" w:type="dxa"/>
            <w:gridSpan w:val="3"/>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974"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c>
          <w:tcPr>
            <w:tcW w:w="901"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上缴上级支出</w:t>
            </w:r>
          </w:p>
        </w:tc>
        <w:tc>
          <w:tcPr>
            <w:tcW w:w="870" w:type="dxa"/>
            <w:gridSpan w:val="2"/>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经营支出</w:t>
            </w:r>
          </w:p>
        </w:tc>
        <w:tc>
          <w:tcPr>
            <w:tcW w:w="727" w:type="dxa"/>
            <w:vMerge w:val="restart"/>
            <w:tcBorders>
              <w:top w:val="single" w:color="000000" w:sz="4" w:space="0"/>
              <w:left w:val="nil"/>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gridAfter w:val="1"/>
          <w:wAfter w:w="270" w:type="dxa"/>
          <w:trHeight w:val="782"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047" w:type="dxa"/>
            <w:gridSpan w:val="3"/>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155" w:type="dxa"/>
            <w:gridSpan w:val="3"/>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974"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901"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870" w:type="dxa"/>
            <w:gridSpan w:val="2"/>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727" w:type="dxa"/>
            <w:vMerge w:val="continue"/>
            <w:tcBorders>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gridAfter w:val="1"/>
          <w:wAfter w:w="270" w:type="dxa"/>
          <w:trHeight w:val="395" w:hRule="atLeast"/>
        </w:trPr>
        <w:tc>
          <w:tcPr>
            <w:tcW w:w="332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4</w:t>
            </w: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5</w:t>
            </w: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gridAfter w:val="1"/>
          <w:wAfter w:w="270" w:type="dxa"/>
          <w:trHeight w:val="440" w:hRule="atLeast"/>
        </w:trPr>
        <w:tc>
          <w:tcPr>
            <w:tcW w:w="3326"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689.25</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464.52</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224.73</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p>
        </w:tc>
      </w:tr>
      <w:tr>
        <w:tblPrEx>
          <w:tblCellMar>
            <w:top w:w="0" w:type="dxa"/>
            <w:left w:w="0" w:type="dxa"/>
            <w:bottom w:w="0" w:type="dxa"/>
            <w:right w:w="0" w:type="dxa"/>
          </w:tblCellMar>
        </w:tblPrEx>
        <w:trPr>
          <w:gridAfter w:val="1"/>
          <w:wAfter w:w="270" w:type="dxa"/>
          <w:trHeight w:val="37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665.49</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440.77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224.73</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质量技术监督与检验检疫事务</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665.49</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440.77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224.73</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53"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2011701</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140.51</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140.51</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2011702</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一般行政管理事务</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15.10</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15.10</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2011706</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质量技术监督行政执法及业务管理</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233.80</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24.17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209.63</w:t>
            </w: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2011750</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事业运行</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2011799</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其他质量技术监督与检验检疫支出</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社会保障和就业支出</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23.76</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23.76</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行政事业单位离退休</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2080505</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机关事业单位基本养老保险缴费支出</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393"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抚恤</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34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2080801</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死亡抚恤</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20827</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财政对其他社会保险基金的补助</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468" w:hRule="atLeast"/>
        </w:trPr>
        <w:tc>
          <w:tcPr>
            <w:tcW w:w="1382"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2082702</w:t>
            </w:r>
          </w:p>
        </w:tc>
        <w:tc>
          <w:tcPr>
            <w:tcW w:w="1944"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财政对工伤保险基金的保障</w:t>
            </w:r>
          </w:p>
        </w:tc>
        <w:tc>
          <w:tcPr>
            <w:tcW w:w="1047"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1155" w:type="dxa"/>
            <w:gridSpan w:val="3"/>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974"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901"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870"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727"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gridAfter w:val="1"/>
          <w:wAfter w:w="270" w:type="dxa"/>
          <w:trHeight w:val="748" w:hRule="atLeast"/>
        </w:trPr>
        <w:tc>
          <w:tcPr>
            <w:tcW w:w="9000" w:type="dxa"/>
            <w:gridSpan w:val="1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04</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 w:val="20"/>
                <w:szCs w:val="20"/>
              </w:rPr>
            </w:pPr>
            <w:r>
              <w:rPr>
                <w:rFonts w:hint="eastAsia" w:ascii="宋体" w:hAnsi="宋体" w:cs="宋体"/>
                <w:color w:val="000000"/>
                <w:kern w:val="0"/>
                <w:sz w:val="20"/>
                <w:szCs w:val="20"/>
              </w:rPr>
              <w:t>部门：无极县质量技术监督局（汇总））</w:t>
            </w:r>
          </w:p>
        </w:tc>
        <w:tc>
          <w:tcPr>
            <w:tcW w:w="650"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收入</w:t>
            </w:r>
          </w:p>
        </w:tc>
        <w:tc>
          <w:tcPr>
            <w:tcW w:w="6153"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20"/>
                <w:szCs w:val="20"/>
              </w:rPr>
            </w:pPr>
            <w:r>
              <w:rPr>
                <w:rFonts w:hint="eastAsia" w:ascii="宋体" w:hAnsi="宋体" w:cs="宋体"/>
                <w:color w:val="000000"/>
                <w:kern w:val="0"/>
                <w:sz w:val="20"/>
                <w:szCs w:val="20"/>
              </w:rPr>
              <w:t>支出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684.11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664.45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664.45</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0.00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23.76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23.76</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684.11</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688.21</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688.21</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12.03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7.93</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7.93</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一般公共预算财政拨款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12.03</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政府性基金预算财政拨款</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0.00</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 w:val="18"/>
                <w:szCs w:val="18"/>
              </w:rPr>
            </w:pP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696.14</w:t>
            </w:r>
          </w:p>
        </w:tc>
        <w:tc>
          <w:tcPr>
            <w:tcW w:w="231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 w:val="18"/>
                <w:szCs w:val="18"/>
              </w:rPr>
            </w:pPr>
            <w:r>
              <w:rPr>
                <w:rFonts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696.14</w:t>
            </w:r>
          </w:p>
        </w:tc>
        <w:tc>
          <w:tcPr>
            <w:tcW w:w="876"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r>
              <w:rPr>
                <w:rFonts w:hint="eastAsia" w:ascii="宋体" w:cs="宋体"/>
                <w:color w:val="000000"/>
                <w:sz w:val="18"/>
                <w:szCs w:val="18"/>
              </w:rPr>
              <w:t>696.14</w:t>
            </w:r>
          </w:p>
        </w:tc>
        <w:tc>
          <w:tcPr>
            <w:tcW w:w="876"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981"/>
        <w:gridCol w:w="214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05</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部门：无极县质量技术监督局（汇总）</w:t>
            </w:r>
          </w:p>
        </w:tc>
        <w:tc>
          <w:tcPr>
            <w:tcW w:w="1892" w:type="dxa"/>
            <w:gridSpan w:val="2"/>
            <w:tcBorders>
              <w:top w:val="nil"/>
              <w:left w:val="nil"/>
              <w:bottom w:val="nil"/>
              <w:right w:val="nil"/>
            </w:tcBorders>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tcMar>
              <w:top w:w="15" w:type="dxa"/>
              <w:left w:w="15" w:type="dxa"/>
              <w:right w:w="15" w:type="dxa"/>
            </w:tcMar>
            <w:vAlign w:val="center"/>
          </w:tcPr>
          <w:p>
            <w:pPr>
              <w:widowControl/>
              <w:spacing w:after="0" w:line="240" w:lineRule="atLeast"/>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小计</w:t>
            </w:r>
          </w:p>
        </w:tc>
        <w:tc>
          <w:tcPr>
            <w:tcW w:w="1699"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基本支出</w:t>
            </w:r>
          </w:p>
        </w:tc>
        <w:tc>
          <w:tcPr>
            <w:tcW w:w="21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69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09"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91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1699"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c>
          <w:tcPr>
            <w:tcW w:w="21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rPr>
                <w:rFonts w:asci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2</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center"/>
              <w:textAlignment w:val="center"/>
              <w:rPr>
                <w:rFonts w:asci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688.21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464.53</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b/>
                <w:color w:val="000000"/>
                <w:szCs w:val="21"/>
              </w:rPr>
            </w:pPr>
            <w:r>
              <w:rPr>
                <w:rFonts w:hint="eastAsia" w:ascii="宋体" w:cs="宋体"/>
                <w:b/>
                <w:color w:val="000000"/>
                <w:szCs w:val="21"/>
              </w:rPr>
              <w:t>223.68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一般公共服务支出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664.45</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440.77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223.68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质量技术监督与检验检疫事务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664.45</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ind w:firstLine="840" w:firstLineChars="400"/>
              <w:rPr>
                <w:rFonts w:ascii="宋体" w:cs="宋体"/>
                <w:color w:val="000000"/>
                <w:szCs w:val="21"/>
              </w:rPr>
            </w:pPr>
            <w:r>
              <w:rPr>
                <w:rFonts w:hint="eastAsia" w:ascii="宋体" w:cs="宋体"/>
                <w:color w:val="000000"/>
                <w:szCs w:val="21"/>
              </w:rPr>
              <w:t>440.77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223.68</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140.51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 xml:space="preserve"> 140.51</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一般行政管理事务</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15.10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2011706</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质量技术监督行政执法及业务管理</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233.8</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24.17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209.63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2011750</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事业运行</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5.17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2011799</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其他质量技术监督与检验检疫事务支出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270.91</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23.76</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23.76</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2080505</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8.41</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2080801</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死亡抚恤</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15.08</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20827</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财政对其他社会保险基金的补助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2082702</w:t>
            </w:r>
          </w:p>
        </w:tc>
        <w:tc>
          <w:tcPr>
            <w:tcW w:w="210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left"/>
              <w:rPr>
                <w:rFonts w:ascii="宋体" w:cs="宋体"/>
                <w:color w:val="000000"/>
                <w:szCs w:val="21"/>
              </w:rPr>
            </w:pPr>
            <w:r>
              <w:rPr>
                <w:rFonts w:hint="eastAsia" w:ascii="宋体" w:cs="宋体"/>
                <w:color w:val="000000"/>
                <w:szCs w:val="21"/>
              </w:rPr>
              <w:t>财政对工伤保险基金的补助</w:t>
            </w:r>
          </w:p>
        </w:tc>
        <w:tc>
          <w:tcPr>
            <w:tcW w:w="191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1699"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r>
              <w:rPr>
                <w:rFonts w:hint="eastAsia" w:ascii="宋体" w:cs="宋体"/>
                <w:color w:val="000000"/>
                <w:szCs w:val="21"/>
              </w:rPr>
              <w:t>0.27</w:t>
            </w:r>
          </w:p>
        </w:tc>
        <w:tc>
          <w:tcPr>
            <w:tcW w:w="2140"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tLeast"/>
              <w:jc w:val="right"/>
              <w:rPr>
                <w:rFonts w:asci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tcMar>
              <w:top w:w="15" w:type="dxa"/>
              <w:left w:w="15" w:type="dxa"/>
              <w:right w:w="15" w:type="dxa"/>
            </w:tcMar>
            <w:vAlign w:val="center"/>
          </w:tcPr>
          <w:p>
            <w:pPr>
              <w:widowControl/>
              <w:spacing w:after="0" w:line="240" w:lineRule="atLeast"/>
              <w:jc w:val="left"/>
              <w:textAlignment w:val="center"/>
              <w:rPr>
                <w:rFonts w:ascii="宋体" w:cs="宋体"/>
                <w:color w:val="000000"/>
                <w:szCs w:val="21"/>
              </w:rPr>
            </w:pPr>
            <w:r>
              <w:rPr>
                <w:rFonts w:hint="eastAsia" w:ascii="宋体" w:hAnsi="宋体" w:cs="宋体"/>
                <w:color w:val="000000"/>
                <w:kern w:val="0"/>
                <w:szCs w:val="21"/>
              </w:rPr>
              <w:t>注：本表反映部门本年度一般公共预算财政拨款收入及支出情况。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06</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部门：无极县质量技术监督局（汇总）</w:t>
            </w:r>
          </w:p>
        </w:tc>
        <w:tc>
          <w:tcPr>
            <w:tcW w:w="74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59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47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6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74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560"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1788"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c>
          <w:tcPr>
            <w:tcW w:w="857"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rPr>
                <w:rFonts w:asci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421.65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12.75</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基本工资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201.35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办公费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国内债务付息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津贴补贴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68.07</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印刷费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国外债务付息</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奖金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75.39</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咨询费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伙食补助费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手续费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0.02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房屋建筑物购建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绩效工资</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61.40</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水费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0.10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办公设备购置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机关事业单位基本养老保险缴费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10.28</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1.00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专用设备购置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职业年金缴费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邮电费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基础设施建设</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职工基本医疗保险缴费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取暖费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大型修缮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公务员医疗补助缴费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物业管理费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信息网络及软件购置更新</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其他社会保障缴费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1.54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差旅费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物资储备</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住房公积金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因公出国（境）费用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土地补偿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医疗费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维修（护）费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安置补助</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其他工资福利支出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3.61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租赁费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地上附着物和青苗补偿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30.12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会议费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拆迁补偿</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离休费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培训费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公务用车购置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退休费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8.64</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公务接待费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其他交通工具购置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退职（役）费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专用材料费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3.30</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文物和陈列品购置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抚恤金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19.61</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被装购置费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无形资产购置</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生活补助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1.85</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专用燃料费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其他资本性支出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救济费</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劳务费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6.11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医疗费补助</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委托业务费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赠与</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助学金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工会经费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1.12</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国家赔偿费用支出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奖励金</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0.02</w:t>
            </w: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福利费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1.11</w:t>
            </w: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对民间非营利组织和群众性自治组织补贴</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个人农业生产补贴</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公务用车运行维护费</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其他对个人和家庭的补助支出</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其他交通费用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税金及附加费用</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59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47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textAlignment w:val="center"/>
              <w:rPr>
                <w:rFonts w:ascii="宋体" w:cs="宋体"/>
                <w:color w:val="000000"/>
                <w:sz w:val="16"/>
                <w:szCs w:val="16"/>
              </w:rPr>
            </w:pPr>
            <w:r>
              <w:rPr>
                <w:rFonts w:hint="eastAsia" w:ascii="宋体" w:hAnsi="宋体" w:cs="宋体"/>
                <w:color w:val="000000"/>
                <w:kern w:val="0"/>
                <w:sz w:val="16"/>
                <w:szCs w:val="16"/>
              </w:rPr>
              <w:t>其他商品和服务支出</w:t>
            </w:r>
          </w:p>
        </w:tc>
        <w:tc>
          <w:tcPr>
            <w:tcW w:w="7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p>
        </w:tc>
        <w:tc>
          <w:tcPr>
            <w:tcW w:w="56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1788"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left"/>
              <w:rPr>
                <w:rFonts w:ascii="宋体" w:cs="宋体"/>
                <w:color w:val="000000"/>
                <w:sz w:val="16"/>
                <w:szCs w:val="16"/>
              </w:rPr>
            </w:pP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451.77</w:t>
            </w:r>
          </w:p>
        </w:tc>
        <w:tc>
          <w:tcPr>
            <w:tcW w:w="5328" w:type="dxa"/>
            <w:gridSpan w:val="5"/>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center"/>
              <w:textAlignment w:val="center"/>
              <w:rPr>
                <w:rFonts w:asci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tcMar>
              <w:top w:w="15" w:type="dxa"/>
              <w:left w:w="15" w:type="dxa"/>
              <w:right w:w="15" w:type="dxa"/>
            </w:tcMar>
            <w:vAlign w:val="center"/>
          </w:tcPr>
          <w:p>
            <w:pPr>
              <w:widowControl/>
              <w:snapToGrid w:val="0"/>
              <w:spacing w:after="0" w:line="240" w:lineRule="auto"/>
              <w:jc w:val="right"/>
              <w:rPr>
                <w:rFonts w:ascii="宋体" w:cs="宋体"/>
                <w:color w:val="000000"/>
                <w:sz w:val="16"/>
                <w:szCs w:val="16"/>
              </w:rPr>
            </w:pPr>
            <w:r>
              <w:rPr>
                <w:rFonts w:hint="eastAsia" w:ascii="宋体" w:cs="宋体"/>
                <w:color w:val="000000"/>
                <w:sz w:val="16"/>
                <w:szCs w:val="16"/>
              </w:rPr>
              <w:t>12.75</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注：本表反映部门本年度一般公共预算财政拨款基本支出明细情况。</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公开</w:t>
            </w:r>
            <w:r>
              <w:rPr>
                <w:rFonts w:ascii="宋体" w:hAnsi="宋体" w:cs="宋体"/>
                <w:color w:val="000000"/>
                <w:kern w:val="0"/>
                <w:sz w:val="20"/>
                <w:szCs w:val="20"/>
              </w:rPr>
              <w:t>07</w:t>
            </w:r>
            <w:r>
              <w:rPr>
                <w:rFonts w:hint="eastAsia" w:ascii="宋体" w:hAnsi="宋体" w:cs="宋体"/>
                <w:color w:val="000000"/>
                <w:kern w:val="0"/>
                <w:sz w:val="20"/>
                <w:szCs w:val="20"/>
              </w:rPr>
              <w:t>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 w:val="20"/>
                <w:szCs w:val="20"/>
              </w:rPr>
            </w:pPr>
            <w:r>
              <w:rPr>
                <w:rFonts w:hint="eastAsia" w:ascii="宋体" w:hAnsi="宋体" w:cs="宋体"/>
                <w:color w:val="000000"/>
                <w:kern w:val="0"/>
                <w:sz w:val="20"/>
                <w:szCs w:val="20"/>
              </w:rPr>
              <w:t>部门：无极县质量技术监督局（汇总）</w:t>
            </w:r>
          </w:p>
        </w:tc>
        <w:tc>
          <w:tcPr>
            <w:tcW w:w="1527"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3.80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0.80</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3.80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0.80</w:t>
            </w: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注：本表反映部门本年度“三公”经费支出预决算情况。其中：预算数为“三公”经费年初预算数，决算数是包括当年一般公共预算财政拨款和以前年度结转资金安排的实际支出。</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08</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部门：无极县质量技术监督局（汇总）</w:t>
            </w:r>
          </w:p>
        </w:tc>
        <w:tc>
          <w:tcPr>
            <w:tcW w:w="840"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tcMar>
              <w:top w:w="15" w:type="dxa"/>
              <w:left w:w="15" w:type="dxa"/>
              <w:right w:w="15" w:type="dxa"/>
            </w:tcMar>
            <w:vAlign w:val="center"/>
          </w:tcPr>
          <w:p>
            <w:pPr>
              <w:widowControl/>
              <w:adjustRightIn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045" w:type="dxa"/>
            <w:gridSpan w:val="2"/>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1"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192"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045"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left"/>
              <w:rPr>
                <w:rFonts w:ascii="宋体" w:cs="宋体"/>
                <w:color w:val="000000"/>
                <w:szCs w:val="21"/>
              </w:rPr>
            </w:pPr>
          </w:p>
        </w:tc>
        <w:tc>
          <w:tcPr>
            <w:tcW w:w="116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840"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1"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192"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c>
          <w:tcPr>
            <w:tcW w:w="1268"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tcMar>
              <w:top w:w="15" w:type="dxa"/>
              <w:left w:w="15" w:type="dxa"/>
              <w:right w:w="15" w:type="dxa"/>
            </w:tcMar>
            <w:vAlign w:val="center"/>
          </w:tcPr>
          <w:p>
            <w:pPr>
              <w:widowControl/>
              <w:adjustRightIn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注：本表反映部门本年度政府性基金预算财政拨款收入、支出及结转和结余情况。本部门本年度无相关收入（或支出、收支及结转结余等）情况，按要求空表列示。</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公开</w:t>
            </w:r>
            <w:r>
              <w:rPr>
                <w:rFonts w:ascii="宋体" w:hAnsi="宋体" w:cs="宋体"/>
                <w:color w:val="000000"/>
                <w:kern w:val="0"/>
                <w:sz w:val="22"/>
                <w:szCs w:val="22"/>
              </w:rPr>
              <w:t>09</w:t>
            </w:r>
            <w:r>
              <w:rPr>
                <w:rFonts w:hint="eastAsia" w:ascii="宋体" w:hAnsi="宋体" w:cs="宋体"/>
                <w:color w:val="000000"/>
                <w:kern w:val="0"/>
                <w:sz w:val="22"/>
                <w:szCs w:val="22"/>
              </w:rPr>
              <w:t>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编制单位：无极县质量技术监督局（汇总）</w:t>
            </w:r>
          </w:p>
        </w:tc>
        <w:tc>
          <w:tcPr>
            <w:tcW w:w="2005" w:type="dxa"/>
            <w:gridSpan w:val="2"/>
            <w:tcBorders>
              <w:top w:val="nil"/>
              <w:left w:val="nil"/>
              <w:bottom w:val="nil"/>
              <w:right w:val="nil"/>
            </w:tcBorders>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tcMar>
              <w:top w:w="15" w:type="dxa"/>
              <w:left w:w="15" w:type="dxa"/>
              <w:right w:w="15" w:type="dxa"/>
            </w:tcMar>
            <w:vAlign w:val="center"/>
          </w:tcPr>
          <w:p>
            <w:pPr>
              <w:widowControl/>
              <w:spacing w:after="0" w:line="240" w:lineRule="auto"/>
              <w:jc w:val="right"/>
              <w:textAlignment w:val="center"/>
              <w:rPr>
                <w:rFonts w:asci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center"/>
              <w:textAlignment w:val="center"/>
              <w:rPr>
                <w:rFonts w:asci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677"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lef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8"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c>
          <w:tcPr>
            <w:tcW w:w="1899" w:type="dxa"/>
            <w:tcBorders>
              <w:top w:val="nil"/>
              <w:left w:val="nil"/>
              <w:bottom w:val="single" w:color="000000" w:sz="4" w:space="0"/>
              <w:right w:val="single" w:color="000000" w:sz="4" w:space="0"/>
            </w:tcBorders>
            <w:tcMar>
              <w:top w:w="15" w:type="dxa"/>
              <w:left w:w="15" w:type="dxa"/>
              <w:right w:w="15" w:type="dxa"/>
            </w:tcMar>
            <w:vAlign w:val="center"/>
          </w:tcPr>
          <w:p>
            <w:pPr>
              <w:widowControl/>
              <w:spacing w:after="0" w:line="240" w:lineRule="auto"/>
              <w:jc w:val="right"/>
              <w:rPr>
                <w:rFonts w:asci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tcMar>
              <w:top w:w="15" w:type="dxa"/>
              <w:left w:w="15" w:type="dxa"/>
              <w:right w:w="15" w:type="dxa"/>
            </w:tcMar>
            <w:vAlign w:val="center"/>
          </w:tcPr>
          <w:p>
            <w:pPr>
              <w:widowControl/>
              <w:spacing w:after="0" w:line="240" w:lineRule="auto"/>
              <w:jc w:val="left"/>
              <w:textAlignment w:val="center"/>
              <w:rPr>
                <w:rFonts w:asci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本部门本年度无相关收入（或支出、收支及结转结余等）情况，按要求空表列示。</w:t>
            </w:r>
          </w:p>
        </w:tc>
      </w:tr>
    </w:tbl>
    <w:p>
      <w:pPr>
        <w:widowControl/>
        <w:spacing w:after="0" w:line="560" w:lineRule="exact"/>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公开</w:t>
            </w:r>
            <w:r>
              <w:rPr>
                <w:rFonts w:ascii="宋体" w:hAnsi="宋体" w:cs="宋体"/>
                <w:color w:val="000000"/>
                <w:kern w:val="0"/>
                <w:szCs w:val="21"/>
              </w:rPr>
              <w:t>10</w:t>
            </w:r>
            <w:r>
              <w:rPr>
                <w:rFonts w:hint="eastAsia" w:ascii="宋体" w:hAnsi="宋体" w:cs="宋体"/>
                <w:color w:val="000000"/>
                <w:kern w:val="0"/>
                <w:szCs w:val="21"/>
              </w:rPr>
              <w:t>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编制单位：无极县质量技术监督局（汇总）</w:t>
            </w:r>
          </w:p>
        </w:tc>
        <w:tc>
          <w:tcPr>
            <w:tcW w:w="2500" w:type="dxa"/>
            <w:gridSpan w:val="3"/>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right"/>
              <w:textAlignment w:val="center"/>
              <w:rPr>
                <w:rFonts w:asci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30.00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203"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rPr>
                <w:rFonts w:asci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4</w:t>
            </w: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5</w:t>
            </w: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合计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r>
              <w:rPr>
                <w:rFonts w:hint="eastAsia" w:ascii="宋体" w:cs="宋体"/>
                <w:color w:val="000000"/>
                <w:szCs w:val="21"/>
              </w:rPr>
              <w:t>29.80</w:t>
            </w: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center"/>
              <w:textAlignment w:val="center"/>
              <w:rPr>
                <w:rFonts w:asci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2" w:type="dxa"/>
            <w:gridSpan w:val="2"/>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154"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c>
          <w:tcPr>
            <w:tcW w:w="1226" w:type="dxa"/>
            <w:tcBorders>
              <w:top w:val="nil"/>
              <w:left w:val="nil"/>
              <w:bottom w:val="single" w:color="000000" w:sz="4" w:space="0"/>
              <w:right w:val="single" w:color="000000" w:sz="4" w:space="0"/>
            </w:tcBorders>
            <w:tcMar>
              <w:top w:w="15" w:type="dxa"/>
              <w:left w:w="15" w:type="dxa"/>
              <w:right w:w="15" w:type="dxa"/>
            </w:tcMar>
            <w:vAlign w:val="center"/>
          </w:tcPr>
          <w:p>
            <w:pPr>
              <w:widowControl/>
              <w:adjustRightInd w:val="0"/>
              <w:snapToGrid w:val="0"/>
              <w:spacing w:after="0" w:line="240" w:lineRule="auto"/>
              <w:jc w:val="right"/>
              <w:rPr>
                <w:rFonts w:asci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tcMar>
              <w:top w:w="15" w:type="dxa"/>
              <w:left w:w="15" w:type="dxa"/>
              <w:right w:w="15" w:type="dxa"/>
            </w:tcMar>
            <w:vAlign w:val="center"/>
          </w:tcPr>
          <w:p>
            <w:pPr>
              <w:widowControl/>
              <w:adjustRightInd w:val="0"/>
              <w:snapToGrid w:val="0"/>
              <w:spacing w:after="0" w:line="240" w:lineRule="auto"/>
              <w:jc w:val="left"/>
              <w:textAlignment w:val="center"/>
              <w:rPr>
                <w:rFonts w:ascii="宋体" w:cs="宋体"/>
                <w:color w:val="000000"/>
                <w:szCs w:val="21"/>
              </w:rPr>
            </w:pPr>
            <w:r>
              <w:rPr>
                <w:rFonts w:hint="eastAsia" w:ascii="宋体" w:hAnsi="宋体" w:cs="宋体"/>
                <w:color w:val="000000"/>
                <w:kern w:val="0"/>
                <w:szCs w:val="21"/>
              </w:rPr>
              <w:t>注：本表反映部门本年度纳入部门预算范围的政府采购预算及支出情况。</w:t>
            </w:r>
          </w:p>
        </w:tc>
      </w:tr>
    </w:tbl>
    <w:p>
      <w:pPr>
        <w:widowControl/>
        <w:spacing w:after="0" w:line="560" w:lineRule="exact"/>
        <w:jc w:val="left"/>
        <w:rPr>
          <w:rFonts w:ascii="仿宋_GB2312" w:hAnsi="宋体" w:eastAsia="仿宋_GB2312"/>
          <w:b/>
          <w:sz w:val="28"/>
          <w:szCs w:val="28"/>
          <w:highlight w:val="yellow"/>
        </w:rPr>
      </w:pPr>
    </w:p>
    <w:p/>
    <w:p/>
    <w:p/>
    <w:p/>
    <w:p>
      <w:pPr>
        <w:tabs>
          <w:tab w:val="left" w:pos="1086"/>
        </w:tabs>
        <w:jc w:val="left"/>
        <w:rPr>
          <w:rFonts w:ascii="仿宋_GB2312" w:hAnsi="宋体" w:eastAsia="仿宋_GB2312"/>
          <w:b/>
          <w:sz w:val="28"/>
          <w:szCs w:val="28"/>
          <w:highlight w:val="yellow"/>
        </w:rPr>
        <w:sectPr>
          <w:pgSz w:w="11906" w:h="16838"/>
          <w:pgMar w:top="2098" w:right="1474" w:bottom="1984" w:left="1588" w:header="851" w:footer="992" w:gutter="0"/>
          <w:cols w:space="0" w:num="1"/>
          <w:docGrid w:type="lines" w:linePitch="312" w:charSpace="0"/>
        </w:sectPr>
      </w:pPr>
      <w:r>
        <w:tab/>
      </w: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10"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4" descr="2"/>
                    <pic:cNvPicPr>
                      <a:picLocks noChangeAspect="1"/>
                    </pic:cNvPicPr>
                  </pic:nvPicPr>
                  <pic:blipFill>
                    <a:blip r:embed="rId8"/>
                    <a:stretch>
                      <a:fillRect/>
                    </a:stretch>
                  </pic:blipFill>
                  <pic:spPr>
                    <a:xfrm>
                      <a:off x="0" y="0"/>
                      <a:ext cx="7550150" cy="10680065"/>
                    </a:xfrm>
                    <a:prstGeom prst="rect">
                      <a:avLst/>
                    </a:prstGeom>
                    <a:noFill/>
                    <a:ln w="9525">
                      <a:noFill/>
                    </a:ln>
                  </pic:spPr>
                </pic:pic>
              </a:graphicData>
            </a:graphic>
          </wp:anchor>
        </w:drawing>
      </w:r>
      <w:r>
        <mc:AlternateContent>
          <mc:Choice Requires="wps">
            <w:drawing>
              <wp:anchor distT="0" distB="0" distL="114300" distR="114300" simplePos="0" relativeHeight="251670528"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4" name="文本框 9"/>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wps:txbx>
                      <wps:bodyPr upright="1"/>
                    </wps:wsp>
                  </a:graphicData>
                </a:graphic>
              </wp:anchor>
            </w:drawing>
          </mc:Choice>
          <mc:Fallback>
            <w:pict>
              <v:shape id="文本框 9" o:spid="_x0000_s1026" o:spt="202" type="#_x0000_t202" style="position:absolute;left:0pt;margin-left:-78.7pt;margin-top:232.8pt;height:159.1pt;width:596.2pt;z-index:251670528;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NlmnozeAAAADQEAAA8AAAAAAAAA&#10;AQAgAAAAOAAAAGRycy9kb3ducmV2LnhtbFBLAQIUABQAAAAIAIdO4kCT4cX1vAEAAGYDAAAOAAAA&#10;AAAAAAEAIAAAAEMBAABkcnMvZTJvRG9jLnhtbFBLBQYAAAAABgAGAFkBAABxBQ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第三部分</w:t>
                      </w:r>
                    </w:p>
                    <w:p>
                      <w:pPr>
                        <w:widowControl/>
                        <w:spacing w:line="1200" w:lineRule="exact"/>
                        <w:jc w:val="center"/>
                        <w:rPr>
                          <w:color w:val="FDEFBE"/>
                          <w:sz w:val="96"/>
                          <w:szCs w:val="96"/>
                        </w:rPr>
                      </w:pPr>
                      <w:r>
                        <w:rPr>
                          <w:rFonts w:hint="eastAsia" w:ascii="黑体" w:hAnsi="宋体" w:eastAsia="黑体"/>
                          <w:color w:val="FDEFBE"/>
                          <w:sz w:val="96"/>
                          <w:szCs w:val="96"/>
                        </w:rPr>
                        <w:t>部门决算情况说明</w:t>
                      </w:r>
                    </w:p>
                  </w:txbxContent>
                </v:textbox>
              </v:shape>
            </w:pict>
          </mc:Fallback>
        </mc:AlternateConten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hAnsi="Cambria" w:eastAsia="黑体" w:cs="黑体"/>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年度收支总计（含结转和结余）704.12万元。与</w:t>
      </w:r>
      <w:r>
        <w:rPr>
          <w:rFonts w:ascii="仿宋_GB2312" w:eastAsia="仿宋_GB2312" w:cs="DengXian-Regular"/>
          <w:sz w:val="32"/>
          <w:szCs w:val="32"/>
        </w:rPr>
        <w:t>2017</w:t>
      </w:r>
      <w:r>
        <w:rPr>
          <w:rFonts w:hint="eastAsia" w:ascii="仿宋_GB2312" w:eastAsia="仿宋_GB2312" w:cs="DengXian-Regular"/>
          <w:sz w:val="32"/>
          <w:szCs w:val="32"/>
        </w:rPr>
        <w:t>年度决算相比，收支各减少53.19万元，下降7.55</w:t>
      </w:r>
      <w:r>
        <w:rPr>
          <w:rFonts w:ascii="仿宋_GB2312" w:eastAsia="仿宋_GB2312" w:cs="DengXian-Regular"/>
          <w:sz w:val="32"/>
          <w:szCs w:val="32"/>
        </w:rPr>
        <w:t>%</w:t>
      </w:r>
      <w:r>
        <w:rPr>
          <w:rFonts w:hint="eastAsia" w:ascii="仿宋_GB2312" w:eastAsia="仿宋_GB2312" w:cs="DengXian-Regular"/>
          <w:sz w:val="32"/>
          <w:szCs w:val="32"/>
        </w:rPr>
        <w:t>，主要原因是人员减少。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240" w:lineRule="auto"/>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年度本年收入合计684.11万元，其中：财政拨款收入684.11万元，占100</w:t>
      </w:r>
      <w:r>
        <w:rPr>
          <w:rFonts w:ascii="仿宋_GB2312" w:eastAsia="仿宋_GB2312" w:cs="DengXian-Regular"/>
          <w:sz w:val="32"/>
          <w:szCs w:val="32"/>
        </w:rPr>
        <w:t>%</w:t>
      </w:r>
      <w:r>
        <w:rPr>
          <w:rFonts w:hint="eastAsia" w:ascii="仿宋_GB2312" w:eastAsia="仿宋_GB2312" w:cs="DengXian-Regular"/>
          <w:sz w:val="32"/>
          <w:szCs w:val="32"/>
        </w:rPr>
        <w:t>；事业收入0万元，占0</w:t>
      </w:r>
      <w:r>
        <w:rPr>
          <w:rFonts w:ascii="仿宋_GB2312" w:eastAsia="仿宋_GB2312" w:cs="DengXian-Regular"/>
          <w:sz w:val="32"/>
          <w:szCs w:val="32"/>
        </w:rPr>
        <w:t>%</w:t>
      </w:r>
      <w:r>
        <w:rPr>
          <w:rFonts w:hint="eastAsia" w:ascii="仿宋_GB2312" w:eastAsia="仿宋_GB2312" w:cs="DengXian-Regular"/>
          <w:sz w:val="32"/>
          <w:szCs w:val="32"/>
        </w:rPr>
        <w:t>；经营收入0万元，占0</w:t>
      </w:r>
      <w:r>
        <w:rPr>
          <w:rFonts w:ascii="仿宋_GB2312" w:eastAsia="仿宋_GB2312" w:cs="DengXian-Regular"/>
          <w:sz w:val="32"/>
          <w:szCs w:val="32"/>
        </w:rPr>
        <w:t>%</w:t>
      </w:r>
      <w:r>
        <w:rPr>
          <w:rFonts w:hint="eastAsia" w:ascii="仿宋_GB2312" w:eastAsia="仿宋_GB2312" w:cs="DengXian-Regular"/>
          <w:sz w:val="32"/>
          <w:szCs w:val="32"/>
        </w:rPr>
        <w:t>；其他收入0万元，占0</w:t>
      </w:r>
      <w:r>
        <w:rPr>
          <w:rFonts w:ascii="仿宋_GB2312" w:eastAsia="仿宋_GB2312" w:cs="DengXian-Regular"/>
          <w:sz w:val="32"/>
          <w:szCs w:val="32"/>
        </w:rPr>
        <w:t>%</w:t>
      </w:r>
      <w:r>
        <w:rPr>
          <w:rFonts w:hint="eastAsia" w:ascii="仿宋_GB2312" w:eastAsia="仿宋_GB2312" w:cs="DengXian-Regular"/>
          <w:sz w:val="32"/>
          <w:szCs w:val="32"/>
        </w:rPr>
        <w:t>。如图所示</w:t>
      </w:r>
    </w:p>
    <w:p>
      <w:pPr>
        <w:adjustRightInd w:val="0"/>
        <w:snapToGrid w:val="0"/>
        <w:spacing w:after="0" w:line="240" w:lineRule="auto"/>
        <w:ind w:firstLine="640" w:firstLineChars="200"/>
        <w:rPr>
          <w:rFonts w:ascii="仿宋_GB2312" w:eastAsia="仿宋_GB2312" w:cs="DengXian-Regular"/>
          <w:sz w:val="32"/>
          <w:szCs w:val="32"/>
        </w:rPr>
      </w:pPr>
      <w:r>
        <w:rPr>
          <w:sz w:val="32"/>
        </w:rPr>
        <mc:AlternateContent>
          <mc:Choice Requires="wps">
            <w:drawing>
              <wp:anchor distT="0" distB="0" distL="114300" distR="114300" simplePos="0" relativeHeight="251671552" behindDoc="0" locked="0" layoutInCell="1" allowOverlap="1">
                <wp:simplePos x="0" y="0"/>
                <wp:positionH relativeFrom="column">
                  <wp:posOffset>1565275</wp:posOffset>
                </wp:positionH>
                <wp:positionV relativeFrom="paragraph">
                  <wp:posOffset>2599690</wp:posOffset>
                </wp:positionV>
                <wp:extent cx="2399665" cy="372745"/>
                <wp:effectExtent l="0" t="0" r="635" b="8255"/>
                <wp:wrapNone/>
                <wp:docPr id="5" name="文本框 30"/>
                <wp:cNvGraphicFramePr/>
                <a:graphic xmlns:a="http://schemas.openxmlformats.org/drawingml/2006/main">
                  <a:graphicData uri="http://schemas.microsoft.com/office/word/2010/wordprocessingShape">
                    <wps:wsp>
                      <wps:cNvSpPr txBox="1"/>
                      <wps:spPr>
                        <a:xfrm flipV="1">
                          <a:off x="0" y="0"/>
                          <a:ext cx="2399665" cy="372745"/>
                        </a:xfrm>
                        <a:prstGeom prst="rect">
                          <a:avLst/>
                        </a:prstGeom>
                        <a:solidFill>
                          <a:srgbClr val="FFFFFF"/>
                        </a:solidFill>
                        <a:ln w="6350">
                          <a:noFill/>
                        </a:ln>
                        <a:effectLst/>
                      </wps:spPr>
                      <wps:txbx>
                        <w:txbxContent>
                          <w:p>
                            <w:pPr>
                              <w:adjustRightInd w:val="0"/>
                              <w:snapToGrid w:val="0"/>
                              <w:spacing w:line="560" w:lineRule="exact"/>
                              <w:rPr>
                                <w:rFonts w:ascii="仿宋_GB2312" w:eastAsia="仿宋_GB2312" w:cs="DengXian-Regular"/>
                                <w:sz w:val="28"/>
                                <w:szCs w:val="28"/>
                              </w:rPr>
                            </w:pPr>
                          </w:p>
                          <w:p>
                            <w:pPr>
                              <w:rPr>
                                <w:sz w:val="20"/>
                                <w:szCs w:val="22"/>
                              </w:rPr>
                            </w:pPr>
                          </w:p>
                        </w:txbxContent>
                      </wps:txbx>
                      <wps:bodyPr upright="1"/>
                    </wps:wsp>
                  </a:graphicData>
                </a:graphic>
              </wp:anchor>
            </w:drawing>
          </mc:Choice>
          <mc:Fallback>
            <w:pict>
              <v:shape id="文本框 30" o:spid="_x0000_s1026" o:spt="202" type="#_x0000_t202" style="position:absolute;left:0pt;flip:y;margin-left:123.25pt;margin-top:204.7pt;height:29.35pt;width:188.95pt;z-index:251671552;mso-width-relative:page;mso-height-relative:page;" fillcolor="#FFFFFF" filled="t" stroked="f" coordsize="21600,21600" o:gfxdata="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FgAAAGRycy9QSwECFAAUAAAACACHTuJA7c5z&#10;rdcAAAALAQAADwAAAAAAAAABACAAAAA4AAAAZHJzL2Rvd25yZXYueG1sUEsBAhQAFAAAAAgAh07i&#10;QPaTtD3UAQAAmQMAAA4AAAAAAAAAAQAgAAAAPAEAAGRycy9lMm9Eb2MueG1sUEsFBgAAAAAGAAYA&#10;WQEAAIIFAAAAAA==&#10;">
                <v:fill on="t" focussize="0,0"/>
                <v:stroke on="f" weight="0.5pt"/>
                <v:imagedata o:title=""/>
                <o:lock v:ext="edit" aspectratio="f"/>
                <v:textbox>
                  <w:txbxContent>
                    <w:p>
                      <w:pPr>
                        <w:adjustRightInd w:val="0"/>
                        <w:snapToGrid w:val="0"/>
                        <w:spacing w:line="560" w:lineRule="exact"/>
                        <w:rPr>
                          <w:rFonts w:ascii="仿宋_GB2312" w:eastAsia="仿宋_GB2312" w:cs="DengXian-Regular"/>
                          <w:sz w:val="28"/>
                          <w:szCs w:val="28"/>
                        </w:rPr>
                      </w:pPr>
                    </w:p>
                    <w:p>
                      <w:pPr>
                        <w:rPr>
                          <w:sz w:val="20"/>
                          <w:szCs w:val="22"/>
                        </w:rPr>
                      </w:pPr>
                    </w:p>
                  </w:txbxContent>
                </v:textbox>
              </v:shape>
            </w:pict>
          </mc:Fallback>
        </mc:AlternateContent>
      </w:r>
      <w:r>
        <w:drawing>
          <wp:inline distT="0" distB="0" distL="114300" distR="114300">
            <wp:extent cx="4400550" cy="2552700"/>
            <wp:effectExtent l="47625" t="4445" r="47625" b="109855"/>
            <wp:docPr id="14" name="图片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3"/>
        <w:spacing w:before="0" w:after="0" w:line="580" w:lineRule="exact"/>
        <w:ind w:firstLine="643" w:firstLineChars="200"/>
        <w:rPr>
          <w:rFonts w:ascii="黑体" w:eastAsia="黑体"/>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p>
    <w:p>
      <w:pPr>
        <w:pStyle w:val="3"/>
        <w:spacing w:before="0" w:after="0" w:line="580" w:lineRule="exact"/>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年度本年支出合计689.25万元，其中：基本支出464.52万元，占67.39</w:t>
      </w:r>
      <w:r>
        <w:rPr>
          <w:rFonts w:ascii="仿宋_GB2312" w:eastAsia="仿宋_GB2312" w:cs="DengXian-Regular"/>
          <w:sz w:val="32"/>
          <w:szCs w:val="32"/>
        </w:rPr>
        <w:t>%</w:t>
      </w:r>
      <w:r>
        <w:rPr>
          <w:rFonts w:hint="eastAsia" w:ascii="仿宋_GB2312" w:eastAsia="仿宋_GB2312" w:cs="DengXian-Regular"/>
          <w:sz w:val="32"/>
          <w:szCs w:val="32"/>
        </w:rPr>
        <w:t>；项目支出224.73万元，占32.61</w:t>
      </w:r>
      <w:r>
        <w:rPr>
          <w:rFonts w:ascii="仿宋_GB2312" w:eastAsia="仿宋_GB2312" w:cs="DengXian-Regular"/>
          <w:sz w:val="32"/>
          <w:szCs w:val="32"/>
        </w:rPr>
        <w:t>%</w:t>
      </w:r>
      <w:r>
        <w:rPr>
          <w:rFonts w:hint="eastAsia" w:ascii="仿宋_GB2312" w:eastAsia="仿宋_GB2312" w:cs="DengXian-Regular"/>
          <w:sz w:val="32"/>
          <w:szCs w:val="32"/>
        </w:rPr>
        <w:t>；经营支出0万元，占0</w:t>
      </w:r>
      <w:r>
        <w:rPr>
          <w:rFonts w:ascii="仿宋_GB2312" w:eastAsia="仿宋_GB2312" w:cs="DengXian-Regular"/>
          <w:sz w:val="32"/>
          <w:szCs w:val="32"/>
        </w:rPr>
        <w:t>%</w:t>
      </w:r>
      <w:r>
        <w:rPr>
          <w:rFonts w:hint="eastAsia" w:ascii="仿宋_GB2312" w:eastAsia="仿宋_GB2312" w:cs="DengXian-Regular"/>
          <w:sz w:val="32"/>
          <w:szCs w:val="32"/>
        </w:rPr>
        <w:t>。如图所示：</w:t>
      </w:r>
    </w:p>
    <w:p>
      <w:pPr>
        <w:adjustRightInd w:val="0"/>
        <w:snapToGrid w:val="0"/>
        <w:spacing w:after="0" w:line="580" w:lineRule="exact"/>
        <w:ind w:firstLine="1260" w:firstLineChars="600"/>
      </w:pPr>
      <w:r>
        <w:drawing>
          <wp:anchor distT="0" distB="0" distL="114300" distR="114300" simplePos="0" relativeHeight="251666432" behindDoc="0" locked="0" layoutInCell="1" allowOverlap="1">
            <wp:simplePos x="0" y="0"/>
            <wp:positionH relativeFrom="column">
              <wp:posOffset>512445</wp:posOffset>
            </wp:positionH>
            <wp:positionV relativeFrom="paragraph">
              <wp:posOffset>171450</wp:posOffset>
            </wp:positionV>
            <wp:extent cx="4324350" cy="2628900"/>
            <wp:effectExtent l="0" t="0" r="0" b="0"/>
            <wp:wrapTopAndBottom/>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10"/>
                    <a:stretch>
                      <a:fillRect/>
                    </a:stretch>
                  </pic:blipFill>
                  <pic:spPr>
                    <a:xfrm>
                      <a:off x="0" y="0"/>
                      <a:ext cx="4324350" cy="2628900"/>
                    </a:xfrm>
                    <a:prstGeom prst="rect">
                      <a:avLst/>
                    </a:prstGeom>
                    <a:noFill/>
                    <a:ln w="9525">
                      <a:noFill/>
                    </a:ln>
                  </pic:spPr>
                </pic:pic>
              </a:graphicData>
            </a:graphic>
          </wp:anchor>
        </w:drawing>
      </w:r>
    </w:p>
    <w:p>
      <w:pPr>
        <w:pStyle w:val="3"/>
        <w:spacing w:before="0" w:after="0" w:line="240" w:lineRule="auto"/>
        <w:ind w:firstLine="640" w:firstLineChars="200"/>
        <w:rPr>
          <w:rFonts w:ascii="黑体" w:eastAsia="黑体"/>
          <w:b w:val="0"/>
          <w:bCs w:val="0"/>
        </w:rPr>
      </w:pPr>
      <w:r>
        <w:rPr>
          <w:rFonts w:hint="eastAsia" w:ascii="黑体" w:eastAsia="黑体"/>
          <w:b w:val="0"/>
          <w:bCs w:val="0"/>
        </w:rPr>
        <w:t>四、</w:t>
      </w:r>
      <w:r>
        <w:rPr>
          <w:rFonts w:hint="eastAsia" w:ascii="黑体" w:hAnsi="Cambria" w:eastAsia="黑体" w:cs="黑体"/>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ascii="楷体_GB2312" w:eastAsia="楷体_GB2312" w:cs="DengXian-Bold"/>
          <w:b/>
          <w:bCs/>
          <w:sz w:val="32"/>
          <w:szCs w:val="32"/>
        </w:rPr>
        <w:t xml:space="preserve">2017 </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年度形成的财政拨款收支均为一般公共预算财政拨款，其中一般公共预算财政拨款本年收入684.11万元</w:t>
      </w:r>
      <w:r>
        <w:rPr>
          <w:rFonts w:ascii="仿宋_GB2312" w:eastAsia="仿宋_GB2312" w:cs="DengXian-Regular"/>
          <w:sz w:val="32"/>
          <w:szCs w:val="32"/>
        </w:rPr>
        <w:t>,</w:t>
      </w:r>
      <w:r>
        <w:rPr>
          <w:rFonts w:hint="eastAsia" w:ascii="仿宋_GB2312" w:eastAsia="仿宋_GB2312" w:cs="DengXian-Regular"/>
          <w:sz w:val="32"/>
          <w:szCs w:val="32"/>
        </w:rPr>
        <w:t>比</w:t>
      </w:r>
      <w:r>
        <w:rPr>
          <w:rFonts w:ascii="仿宋_GB2312" w:eastAsia="仿宋_GB2312" w:cs="DengXian-Regular"/>
          <w:sz w:val="32"/>
          <w:szCs w:val="32"/>
        </w:rPr>
        <w:t>2017</w:t>
      </w:r>
      <w:r>
        <w:rPr>
          <w:rFonts w:hint="eastAsia" w:ascii="仿宋_GB2312" w:eastAsia="仿宋_GB2312" w:cs="DengXian-Regular"/>
          <w:sz w:val="32"/>
          <w:szCs w:val="32"/>
        </w:rPr>
        <w:t>年度减少57万元，降低13</w:t>
      </w:r>
      <w:r>
        <w:rPr>
          <w:rFonts w:ascii="仿宋_GB2312" w:eastAsia="仿宋_GB2312" w:cs="DengXian-Regular"/>
          <w:sz w:val="32"/>
          <w:szCs w:val="32"/>
        </w:rPr>
        <w:t>%</w:t>
      </w:r>
      <w:r>
        <w:rPr>
          <w:rFonts w:hint="eastAsia" w:ascii="仿宋_GB2312" w:eastAsia="仿宋_GB2312" w:cs="DengXian-Regular"/>
          <w:sz w:val="32"/>
          <w:szCs w:val="32"/>
        </w:rPr>
        <w:t>，主要是人员减少；本年支出688.21万元，减少49.08万元，降低15</w:t>
      </w:r>
      <w:r>
        <w:rPr>
          <w:rFonts w:ascii="仿宋_GB2312" w:eastAsia="仿宋_GB2312" w:cs="DengXian-Regular"/>
          <w:sz w:val="32"/>
          <w:szCs w:val="32"/>
        </w:rPr>
        <w:t>%</w:t>
      </w:r>
      <w:r>
        <w:rPr>
          <w:rFonts w:hint="eastAsia" w:ascii="仿宋_GB2312" w:eastAsia="仿宋_GB2312" w:cs="DengXian-Regular"/>
          <w:sz w:val="32"/>
          <w:szCs w:val="32"/>
        </w:rPr>
        <w:t>，主要是人员减少。</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5408" behindDoc="0" locked="0" layoutInCell="1" allowOverlap="1">
            <wp:simplePos x="0" y="0"/>
            <wp:positionH relativeFrom="column">
              <wp:posOffset>586740</wp:posOffset>
            </wp:positionH>
            <wp:positionV relativeFrom="paragraph">
              <wp:posOffset>168910</wp:posOffset>
            </wp:positionV>
            <wp:extent cx="4351655" cy="2856865"/>
            <wp:effectExtent l="47625" t="5080" r="58420" b="109855"/>
            <wp:wrapSquare wrapText="bothSides"/>
            <wp:docPr id="13" name="图片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420" w:firstLineChars="200"/>
        <w:rPr>
          <w:rFonts w:ascii="仿宋_GB2312" w:eastAsia="仿宋_GB2312" w:cs="DengXian-Regular"/>
          <w:sz w:val="32"/>
          <w:szCs w:val="32"/>
        </w:rPr>
      </w:pPr>
      <w:r>
        <w:drawing>
          <wp:inline distT="0" distB="0" distL="114300" distR="114300">
            <wp:extent cx="5029835" cy="3434715"/>
            <wp:effectExtent l="47625" t="4445" r="66040" b="104140"/>
            <wp:docPr id="17" name="图片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spacing w:after="0" w:line="240" w:lineRule="auto"/>
        <w:ind w:firstLine="643" w:firstLineChars="200"/>
        <w:rPr>
          <w:rFonts w:ascii="楷体_GB2312" w:eastAsia="楷体_GB2312" w:cs="DengXian-Bold"/>
          <w:b/>
          <w:bCs/>
          <w:sz w:val="32"/>
          <w:szCs w:val="32"/>
        </w:rPr>
      </w:pPr>
    </w:p>
    <w:p>
      <w:pPr>
        <w:spacing w:after="0" w:line="580" w:lineRule="exact"/>
        <w:rPr>
          <w:rFonts w:ascii="楷体_GB2312" w:eastAsia="楷体_GB2312" w:cs="DengXian-Bold"/>
          <w:b/>
          <w:bCs/>
          <w:sz w:val="32"/>
          <w:szCs w:val="32"/>
        </w:rPr>
      </w:pPr>
    </w:p>
    <w:p>
      <w:pPr>
        <w:spacing w:after="0" w:line="580" w:lineRule="exact"/>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highlight w:val="yellow"/>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年度一般公共预算财政拨款收入684.11万元，完成年初预算的91.82</w:t>
      </w:r>
      <w:r>
        <w:rPr>
          <w:rFonts w:ascii="仿宋_GB2312" w:eastAsia="仿宋_GB2312" w:cs="DengXian-Regular"/>
          <w:sz w:val="32"/>
          <w:szCs w:val="32"/>
        </w:rPr>
        <w:t>%,</w:t>
      </w:r>
      <w:r>
        <w:rPr>
          <w:rFonts w:hint="eastAsia" w:ascii="仿宋_GB2312" w:eastAsia="仿宋_GB2312" w:cs="DengXian-Regular"/>
          <w:sz w:val="32"/>
          <w:szCs w:val="32"/>
        </w:rPr>
        <w:t>比年初预算减少60.96万元，决算数小于预算数主要原因是人员调动，人员减少；本年支出688.21万元，完成年初预算的92.51</w:t>
      </w:r>
      <w:r>
        <w:rPr>
          <w:rFonts w:ascii="仿宋_GB2312" w:eastAsia="仿宋_GB2312" w:cs="DengXian-Regular"/>
          <w:sz w:val="32"/>
          <w:szCs w:val="32"/>
        </w:rPr>
        <w:t>%,</w:t>
      </w:r>
      <w:r>
        <w:rPr>
          <w:rFonts w:hint="eastAsia" w:ascii="仿宋_GB2312" w:eastAsia="仿宋_GB2312" w:cs="DengXian-Regular"/>
          <w:sz w:val="32"/>
          <w:szCs w:val="32"/>
        </w:rPr>
        <w:t>比年初预算减少56.86万元，决算数小于预算数主要原因是人员调动，人员减少。</w:t>
      </w:r>
    </w:p>
    <w:p>
      <w:pPr>
        <w:adjustRightInd w:val="0"/>
        <w:snapToGrid w:val="0"/>
        <w:spacing w:after="0" w:line="580" w:lineRule="exact"/>
        <w:ind w:firstLine="640" w:firstLineChars="200"/>
        <w:rPr>
          <w:rFonts w:ascii="仿宋_GB2312" w:eastAsia="仿宋_GB2312" w:cs="DengXian-Regular"/>
          <w:sz w:val="32"/>
          <w:szCs w:val="32"/>
          <w:highlight w:val="yellow"/>
        </w:rPr>
      </w:pP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240" w:lineRule="auto"/>
        <w:ind w:firstLine="420" w:firstLineChars="200"/>
        <w:rPr>
          <w:rFonts w:ascii="仿宋_GB2312" w:eastAsia="仿宋_GB2312" w:cs="DengXian-Regular"/>
          <w:sz w:val="32"/>
          <w:szCs w:val="32"/>
          <w:highlight w:val="yellow"/>
        </w:rPr>
      </w:pPr>
      <w:r>
        <w:drawing>
          <wp:inline distT="0" distB="0" distL="114300" distR="114300">
            <wp:extent cx="4572000" cy="2724785"/>
            <wp:effectExtent l="47625" t="4445" r="47625" b="109220"/>
            <wp:docPr id="18" name="图片 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年度财政拨款支出688.21万元，主要用于以下方面：一般公共服务（类）支出664.45万元，占96.55</w:t>
      </w:r>
      <w:r>
        <w:rPr>
          <w:rFonts w:ascii="仿宋_GB2312" w:eastAsia="仿宋_GB2312" w:cs="DengXian-Regular"/>
          <w:sz w:val="32"/>
          <w:szCs w:val="32"/>
        </w:rPr>
        <w:t>%</w:t>
      </w:r>
      <w:r>
        <w:rPr>
          <w:rFonts w:hint="eastAsia" w:ascii="仿宋_GB2312" w:eastAsia="仿宋_GB2312" w:cs="DengXian-Regular"/>
          <w:sz w:val="32"/>
          <w:szCs w:val="32"/>
        </w:rPr>
        <w:t>；住房保障（类）支出23.76万元，占3.45</w:t>
      </w:r>
      <w:r>
        <w:rPr>
          <w:rFonts w:ascii="仿宋_GB2312" w:eastAsia="仿宋_GB2312" w:cs="DengXian-Regular"/>
          <w:sz w:val="32"/>
          <w:szCs w:val="32"/>
        </w:rPr>
        <w:t>%</w:t>
      </w:r>
      <w:r>
        <w:rPr>
          <w:rFonts w:hint="eastAsia" w:ascii="仿宋_GB2312" w:eastAsia="仿宋_GB2312" w:cs="DengXian-Regular"/>
          <w:sz w:val="32"/>
          <w:szCs w:val="32"/>
        </w:rPr>
        <w:t>。</w:t>
      </w:r>
    </w:p>
    <w:p>
      <w:pPr>
        <w:adjustRightInd w:val="0"/>
        <w:snapToGrid w:val="0"/>
        <w:spacing w:after="0" w:line="580" w:lineRule="exact"/>
        <w:rPr>
          <w:rFonts w:ascii="楷体_GB2312" w:eastAsia="楷体_GB2312" w:cs="DengXian-Bold"/>
          <w:b/>
          <w:bCs/>
          <w:sz w:val="32"/>
          <w:szCs w:val="32"/>
        </w:rPr>
      </w:pPr>
      <w:r>
        <w:drawing>
          <wp:anchor distT="0" distB="0" distL="114300" distR="114300" simplePos="0" relativeHeight="251666432" behindDoc="0" locked="0" layoutInCell="1" allowOverlap="1">
            <wp:simplePos x="0" y="0"/>
            <wp:positionH relativeFrom="column">
              <wp:posOffset>576580</wp:posOffset>
            </wp:positionH>
            <wp:positionV relativeFrom="paragraph">
              <wp:posOffset>351790</wp:posOffset>
            </wp:positionV>
            <wp:extent cx="4572000" cy="2660015"/>
            <wp:effectExtent l="47625" t="4445" r="47625" b="116840"/>
            <wp:wrapTopAndBottom/>
            <wp:docPr id="19" name="图片 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 xml:space="preserve">2018 </w:t>
      </w:r>
      <w:r>
        <w:rPr>
          <w:rFonts w:hint="eastAsia" w:ascii="仿宋_GB2312" w:eastAsia="仿宋_GB2312" w:cs="DengXian-Regular"/>
          <w:sz w:val="32"/>
          <w:szCs w:val="32"/>
        </w:rPr>
        <w:t>年度一般公共预算财政拨款基本支出464.52万元，其中：人员经费451.77万元，主要包括基本工资、津贴补贴、奖金、绩效工资、机关事业单位基本养老保险缴费、其他社会保障缴费、其他工资福利支出、退休费、抚恤金、生活补助；公用经费12.75万元，主要包括手续费、水费、电费、邮电费、专用材料费、劳务费、工会经费、福利费。</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年度“三公”经费支出共计3.8万元，较年初预算无增减变化</w:t>
      </w:r>
      <w:r>
        <w:rPr>
          <w:rFonts w:hint="eastAsia" w:ascii="仿宋_GB2312" w:eastAsia="仿宋_GB2312" w:cs="DengXian-Regular"/>
          <w:b/>
          <w:bCs/>
          <w:sz w:val="32"/>
          <w:szCs w:val="32"/>
        </w:rPr>
        <w:t>，</w:t>
      </w:r>
      <w:r>
        <w:rPr>
          <w:rFonts w:hint="eastAsia" w:ascii="仿宋_GB2312" w:eastAsia="仿宋_GB2312" w:cs="DengXian-Regular"/>
          <w:sz w:val="32"/>
          <w:szCs w:val="32"/>
        </w:rPr>
        <w:t>全年实际支出与年初预算持平</w:t>
      </w:r>
      <w:r>
        <w:rPr>
          <w:rFonts w:hint="eastAsia" w:ascii="仿宋_GB2312" w:eastAsia="仿宋_GB2312" w:cs="DengXian-Regular"/>
          <w:b/>
          <w:bCs/>
          <w:sz w:val="32"/>
          <w:szCs w:val="32"/>
        </w:rPr>
        <w:t>。</w:t>
      </w:r>
      <w:r>
        <w:rPr>
          <w:rFonts w:hint="eastAsia" w:ascii="仿宋_GB2312" w:eastAsia="仿宋_GB2312" w:cs="DengXian-Regular"/>
          <w:sz w:val="32"/>
          <w:szCs w:val="32"/>
        </w:rPr>
        <w:t>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年度因公出国（境）团组0个、共0人。未发生因公出国（境）费用，相比年初预算无增减变化，全年实际支出与年初预算持平。</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（二）公务用车购置及运行维护费支出3万元。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年度公务用车购置及运行维护费较年初预算无增减变化。主要是认真贯彻落实中央</w:t>
      </w:r>
      <w:bookmarkStart w:id="0" w:name="_GoBack"/>
      <w:bookmarkEnd w:id="0"/>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精神和厉行节约要求，从严控制“三公”经费开支，全年实际支出与年初预算持平。</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年度公务用车购置量0辆，发生“公务用车购置”经费支出0万元。</w:t>
      </w:r>
      <w:r>
        <w:rPr>
          <w:rFonts w:hint="eastAsia" w:ascii="仿宋_GB2312" w:eastAsia="仿宋_GB2312" w:cs="DengXian-Regular"/>
          <w:bCs/>
          <w:sz w:val="32"/>
          <w:szCs w:val="32"/>
        </w:rPr>
        <w:t>公务用车购置费</w:t>
      </w:r>
      <w:r>
        <w:rPr>
          <w:rFonts w:hint="eastAsia" w:ascii="仿宋_GB2312" w:eastAsia="仿宋_GB2312" w:cs="DengXian-Regular"/>
          <w:sz w:val="32"/>
          <w:szCs w:val="32"/>
        </w:rPr>
        <w:t>实际支出与年初预算持平，相比年初预算无增减变化。主要是未发生公务用车购置经费支出。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highlight w:val="yellow"/>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年度单位公务用车保有量1辆，</w:t>
      </w:r>
      <w:r>
        <w:rPr>
          <w:rFonts w:hint="eastAsia" w:ascii="仿宋_GB2312" w:eastAsia="仿宋_GB2312" w:cs="DengXian-Regular"/>
          <w:bCs/>
          <w:sz w:val="32"/>
          <w:szCs w:val="32"/>
        </w:rPr>
        <w:t>公务用车运行维护费3万元，</w:t>
      </w:r>
      <w:r>
        <w:rPr>
          <w:rFonts w:hint="eastAsia" w:ascii="仿宋_GB2312" w:eastAsia="仿宋_GB2312" w:cs="DengXian-Regular"/>
          <w:sz w:val="32"/>
          <w:szCs w:val="32"/>
        </w:rPr>
        <w:t>公车运行维护费支出较年初预算无增减变化。主要是认真贯彻落实中央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精神和厉行节约要求，从严控制“三公”经费开支，全年实际支出与年初预算持平。</w:t>
      </w:r>
    </w:p>
    <w:p>
      <w:pPr>
        <w:numPr>
          <w:ilvl w:val="0"/>
          <w:numId w:val="1"/>
        </w:numPr>
        <w:adjustRightInd w:val="0"/>
        <w:snapToGrid w:val="0"/>
        <w:spacing w:after="0" w:line="580" w:lineRule="exact"/>
        <w:ind w:left="420" w:leftChars="200"/>
        <w:rPr>
          <w:rFonts w:ascii="仿宋_GB2312" w:eastAsia="仿宋_GB2312" w:cs="DengXian-Regular"/>
          <w:sz w:val="32"/>
          <w:szCs w:val="32"/>
        </w:rPr>
      </w:pPr>
      <w:r>
        <w:rPr>
          <w:rFonts w:hint="eastAsia" w:ascii="楷体_GB2312" w:eastAsia="楷体_GB2312" w:cs="DengXian-Bold"/>
          <w:b/>
          <w:bCs/>
          <w:sz w:val="32"/>
          <w:szCs w:val="32"/>
        </w:rPr>
        <w:t>公务接待费支出0.3万元。</w:t>
      </w: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年度公务接待共16批次、268人次，</w:t>
      </w:r>
      <w:r>
        <w:rPr>
          <w:rFonts w:hint="eastAsia" w:ascii="楷体_GB2312" w:eastAsia="楷体_GB2312" w:cs="DengXian-Bold"/>
          <w:sz w:val="32"/>
          <w:szCs w:val="32"/>
        </w:rPr>
        <w:t>公务接待费0.3万元</w:t>
      </w:r>
      <w:r>
        <w:rPr>
          <w:rFonts w:hint="eastAsia" w:ascii="仿宋_GB2312" w:eastAsia="仿宋_GB2312" w:cs="DengXian-Regular"/>
          <w:sz w:val="32"/>
          <w:szCs w:val="32"/>
        </w:rPr>
        <w:t>。公务接待费支出较年初预算无增减变化。主要是认真贯彻落实中央</w:t>
      </w:r>
      <w:r>
        <w:rPr>
          <w:rFonts w:hint="default" w:ascii="仿宋_GB2312" w:eastAsia="仿宋_GB2312" w:cs="DengXian-Regular"/>
          <w:sz w:val="32"/>
          <w:szCs w:val="32"/>
          <w:lang w:val="en-US"/>
        </w:rPr>
        <w:t>八项规定</w:t>
      </w:r>
      <w:r>
        <w:rPr>
          <w:rFonts w:hint="eastAsia" w:ascii="仿宋_GB2312" w:eastAsia="仿宋_GB2312" w:cs="DengXian-Regular"/>
          <w:sz w:val="32"/>
          <w:szCs w:val="32"/>
        </w:rPr>
        <w:t>精神和厉行节约要求，从严控制“三公”经费开支，全年实际支出与年初预算持平。</w:t>
      </w:r>
    </w:p>
    <w:p>
      <w:pPr>
        <w:pStyle w:val="3"/>
        <w:spacing w:before="0" w:after="0" w:line="580" w:lineRule="exact"/>
        <w:ind w:firstLine="643" w:firstLineChars="200"/>
        <w:rPr>
          <w:rFonts w:ascii="黑体" w:eastAsia="黑体"/>
        </w:rPr>
      </w:pPr>
      <w:r>
        <w:rPr>
          <w:rFonts w:hint="eastAsia" w:ascii="黑体" w:eastAsia="黑体"/>
          <w:szCs w:val="40"/>
        </w:rPr>
        <w:t>六、</w:t>
      </w:r>
      <w:r>
        <w:rPr>
          <w:rFonts w:hint="eastAsia" w:ascii="黑体" w:eastAsia="黑体"/>
        </w:rPr>
        <w:t>绩效预算情况说明</w:t>
      </w:r>
      <w:r>
        <w:rPr>
          <w:rFonts w:ascii="黑体" w:eastAsia="黑体"/>
        </w:rPr>
        <w:t>(</w:t>
      </w:r>
      <w:r>
        <w:rPr>
          <w:rFonts w:hint="eastAsia" w:ascii="黑体" w:eastAsia="黑体"/>
        </w:rPr>
        <w:t>以下内容必有，其他可以多</w:t>
      </w:r>
      <w:r>
        <w:rPr>
          <w:rFonts w:ascii="黑体" w:eastAsia="黑体"/>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（二）预算项目绩效评价开展情况</w:t>
      </w:r>
    </w:p>
    <w:p>
      <w:pPr>
        <w:adjustRightInd w:val="0"/>
        <w:snapToGrid w:val="0"/>
        <w:spacing w:after="0" w:line="500" w:lineRule="exact"/>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质量管理、其他业务、打假办案、产品质量监督抽查、工业产品、特种设备监察、产品质量检验检测、专用仪器设备购置、计量检验检测等9个项目，涉及资金223.67万元。从评价情况看，评价结果为良好。</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三）预算项目绩效自评选例:根据年初设定的绩效目标，质监局管理和指导全县质量和特种设备安全工作自评结果为良好。项目全年预算数为223.67万元，执行数为223.67万元，完成预算的100%，主要产出和效果是使质监局办案效率有所提升，假冒伪劣产商品和特种设备安全案件数量有所下降。未发现其他问题。</w:t>
      </w:r>
    </w:p>
    <w:p>
      <w:pPr>
        <w:pStyle w:val="3"/>
        <w:spacing w:before="0" w:after="0" w:line="580" w:lineRule="exact"/>
        <w:ind w:firstLine="640" w:firstLineChars="200"/>
        <w:rPr>
          <w:rFonts w:ascii="黑体" w:eastAsia="黑体"/>
          <w:b w:val="0"/>
          <w:bCs w:val="0"/>
        </w:rPr>
      </w:pPr>
      <w:r>
        <w:rPr>
          <w:rFonts w:hint="eastAsia" w:ascii="黑体" w:eastAsia="黑体"/>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年度机关运行经费支出12.75万元，与年初预算相比无增减变化。</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w:t>
      </w:r>
      <w:r>
        <w:rPr>
          <w:rFonts w:ascii="仿宋_GB2312" w:eastAsia="仿宋_GB2312" w:cs="DengXian-Regular"/>
          <w:sz w:val="32"/>
          <w:szCs w:val="32"/>
        </w:rPr>
        <w:t>2018</w:t>
      </w:r>
      <w:r>
        <w:rPr>
          <w:rFonts w:hint="eastAsia" w:ascii="仿宋_GB2312" w:eastAsia="仿宋_GB2312" w:cs="DengXian-Regular"/>
          <w:sz w:val="32"/>
          <w:szCs w:val="32"/>
        </w:rPr>
        <w:t>年度政府采购支出总额29.8万元，从采购类型来看，</w:t>
      </w:r>
      <w:r>
        <w:rPr>
          <w:rFonts w:hint="eastAsia" w:ascii="仿宋_GB2312" w:hAnsi="仿宋_GB2312" w:eastAsia="仿宋_GB2312" w:cs="仿宋_GB2312"/>
          <w:color w:val="000000"/>
          <w:kern w:val="0"/>
          <w:sz w:val="32"/>
          <w:szCs w:val="32"/>
        </w:rPr>
        <w:t>政府采购货物支出29.8万元。其中授予小微企业合同金额29.8万元，占政府采购支出总额的100</w:t>
      </w:r>
      <w:r>
        <w:rPr>
          <w:rFonts w:ascii="仿宋_GB2312" w:hAnsi="仿宋_GB2312" w:eastAsia="仿宋_GB2312" w:cs="仿宋_GB2312"/>
          <w:color w:val="000000"/>
          <w:kern w:val="0"/>
          <w:sz w:val="32"/>
          <w:szCs w:val="32"/>
        </w:rPr>
        <w:t>%</w:t>
      </w:r>
      <w:r>
        <w:rPr>
          <w:rFonts w:hint="eastAsia"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截至</w:t>
      </w:r>
      <w:r>
        <w:rPr>
          <w:rFonts w:ascii="仿宋_GB2312" w:eastAsia="仿宋_GB2312" w:cs="DengXian-Regular"/>
          <w:sz w:val="32"/>
          <w:szCs w:val="32"/>
        </w:rPr>
        <w:t>2018</w:t>
      </w:r>
      <w:r>
        <w:rPr>
          <w:rFonts w:hint="eastAsia" w:ascii="仿宋_GB2312" w:eastAsia="仿宋_GB2312" w:cs="DengXian-Regular"/>
          <w:sz w:val="32"/>
          <w:szCs w:val="32"/>
        </w:rPr>
        <w:t>年</w:t>
      </w:r>
      <w:r>
        <w:rPr>
          <w:rFonts w:ascii="仿宋_GB2312" w:eastAsia="仿宋_GB2312" w:cs="DengXian-Regular"/>
          <w:sz w:val="32"/>
          <w:szCs w:val="32"/>
        </w:rPr>
        <w:t>12</w:t>
      </w:r>
      <w:r>
        <w:rPr>
          <w:rFonts w:hint="eastAsia" w:ascii="仿宋_GB2312" w:eastAsia="仿宋_GB2312" w:cs="DengXian-Regular"/>
          <w:sz w:val="32"/>
          <w:szCs w:val="32"/>
        </w:rPr>
        <w:t>月</w:t>
      </w:r>
      <w:r>
        <w:rPr>
          <w:rFonts w:ascii="仿宋_GB2312" w:eastAsia="仿宋_GB2312" w:cs="DengXian-Regular"/>
          <w:sz w:val="32"/>
          <w:szCs w:val="32"/>
        </w:rPr>
        <w:t>31</w:t>
      </w:r>
      <w:r>
        <w:rPr>
          <w:rFonts w:hint="eastAsia" w:ascii="仿宋_GB2312" w:eastAsia="仿宋_GB2312" w:cs="DengXian-Regular"/>
          <w:sz w:val="32"/>
          <w:szCs w:val="32"/>
        </w:rPr>
        <w:t>日，本部门共有车辆31辆，其中，副部（省）级及以上领导用车0辆，主要领导干部用车0辆，应急保障用车1辆，执法执勤用车0辆，特种专业技术用车12辆、离退休干部用车0辆，其他用车18辆，其他用车主要是业务用车。</w:t>
      </w:r>
    </w:p>
    <w:p>
      <w:pPr>
        <w:adjustRightInd w:val="0"/>
        <w:snapToGrid w:val="0"/>
        <w:spacing w:line="580" w:lineRule="exact"/>
        <w:ind w:firstLine="640" w:firstLineChars="200"/>
        <w:rPr>
          <w:rFonts w:ascii="楷体_GB2312" w:eastAsia="楷体_GB2312" w:cs="DengXian-Bold"/>
          <w:b/>
          <w:bCs/>
          <w:sz w:val="32"/>
          <w:szCs w:val="32"/>
        </w:rPr>
      </w:pPr>
      <w:r>
        <w:rPr>
          <w:rFonts w:hint="eastAsia" w:ascii="仿宋_GB2312"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万元以上通用设备0台（套），比上年增加0套，主要是无增减，单位价值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万元以上专用设备0台（套）比上年增加0套.</w:t>
      </w:r>
    </w:p>
    <w:p>
      <w:pPr>
        <w:adjustRightInd w:val="0"/>
        <w:snapToGrid w:val="0"/>
        <w:spacing w:after="0" w:line="580" w:lineRule="exact"/>
        <w:ind w:firstLine="640" w:firstLineChars="200"/>
        <w:rPr>
          <w:rFonts w:ascii="仿宋_GB2312" w:eastAsia="仿宋_GB2312" w:cs="DengXian-Regular"/>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1</w:t>
      </w:r>
      <w:r>
        <w:rPr>
          <w:rFonts w:hint="eastAsia" w:ascii="仿宋_GB2312" w:eastAsia="仿宋_GB2312" w:cs="DengXian-Regular"/>
          <w:sz w:val="32"/>
          <w:szCs w:val="32"/>
        </w:rPr>
        <w:t>、本部门2018年度国有资本经营财政拨款无收支及结转结余情况，无一般公共预算财政拨款“三公”经费支出，故国有资本经营预算财政拨款支出决算表和一般公共预算财政拨款“三公”经费支出决算表以空列示</w:t>
      </w:r>
    </w:p>
    <w:p>
      <w:pPr>
        <w:adjustRightInd w:val="0"/>
        <w:snapToGrid w:val="0"/>
        <w:spacing w:after="0" w:line="580" w:lineRule="exact"/>
        <w:ind w:firstLine="640" w:firstLineChars="200"/>
        <w:rPr>
          <w:rFonts w:ascii="仿宋_GB2312" w:eastAsia="仿宋_GB2312" w:cs="DengXian-Regular"/>
          <w:sz w:val="32"/>
          <w:szCs w:val="32"/>
        </w:rPr>
      </w:pPr>
      <w:r>
        <w:rPr>
          <w:rFonts w:ascii="仿宋_GB2312" w:eastAsia="仿宋_GB2312" w:cs="DengXian-Regular"/>
          <w:sz w:val="32"/>
          <w:szCs w:val="32"/>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ascii="宋体" w:cs="MS-UIGothic,Bold"/>
          <w:b/>
          <w:bCs/>
          <w:kern w:val="0"/>
          <w:sz w:val="44"/>
          <w:szCs w:val="44"/>
        </w:rPr>
        <w:sectPr>
          <w:pgSz w:w="11906" w:h="16838"/>
          <w:pgMar w:top="2098" w:right="1474" w:bottom="1984" w:left="1588" w:header="851" w:footer="992" w:gutter="0"/>
          <w:cols w:space="0" w:num="1"/>
          <w:docGrid w:type="lines" w:linePitch="312" w:charSpace="0"/>
        </w:sectPr>
      </w:pPr>
    </w:p>
    <w:p>
      <w:pPr>
        <w:rPr>
          <w:rFonts w:ascii="宋体" w:cs="ArialUnicodeMS"/>
          <w:color w:val="000000"/>
          <w:kern w:val="0"/>
        </w:rPr>
        <w:sectPr>
          <w:pgSz w:w="11906" w:h="16838"/>
          <w:pgMar w:top="2098" w:right="1474" w:bottom="1984" w:left="1588" w:header="851" w:footer="992" w:gutter="0"/>
          <w:cols w:space="0" w:num="1"/>
          <w:docGrid w:type="lines" w:linePitch="312" w:charSpace="0"/>
        </w:sectPr>
      </w:pPr>
      <w: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1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1" descr="2"/>
                    <pic:cNvPicPr>
                      <a:picLocks noChangeAspect="1"/>
                    </pic:cNvPicPr>
                  </pic:nvPicPr>
                  <pic:blipFill>
                    <a:blip r:embed="rId8"/>
                    <a:stretch>
                      <a:fillRect/>
                    </a:stretch>
                  </pic:blipFill>
                  <pic:spPr>
                    <a:xfrm>
                      <a:off x="0" y="0"/>
                      <a:ext cx="7550150" cy="10680065"/>
                    </a:xfrm>
                    <a:prstGeom prst="rect">
                      <a:avLst/>
                    </a:prstGeom>
                    <a:noFill/>
                    <a:ln w="9525">
                      <a:noFill/>
                    </a:ln>
                  </pic:spPr>
                </pic:pic>
              </a:graphicData>
            </a:graphic>
          </wp:anchor>
        </w:drawing>
      </w:r>
      <w:r>
        <mc:AlternateContent>
          <mc:Choice Requires="wps">
            <w:drawing>
              <wp:anchor distT="0" distB="0" distL="114300" distR="114300" simplePos="0" relativeHeight="251672576" behindDoc="0" locked="0" layoutInCell="1" allowOverlap="1">
                <wp:simplePos x="0" y="0"/>
                <wp:positionH relativeFrom="column">
                  <wp:posOffset>-999490</wp:posOffset>
                </wp:positionH>
                <wp:positionV relativeFrom="paragraph">
                  <wp:posOffset>2956560</wp:posOffset>
                </wp:positionV>
                <wp:extent cx="7571740" cy="2020570"/>
                <wp:effectExtent l="0" t="0" r="0" b="0"/>
                <wp:wrapNone/>
                <wp:docPr id="6" name="文本框 26"/>
                <wp:cNvGraphicFramePr/>
                <a:graphic xmlns:a="http://schemas.openxmlformats.org/drawingml/2006/main">
                  <a:graphicData uri="http://schemas.microsoft.com/office/word/2010/wordprocessingShape">
                    <wps:wsp>
                      <wps:cNvSpPr txBox="1"/>
                      <wps:spPr>
                        <a:xfrm>
                          <a:off x="0" y="0"/>
                          <a:ext cx="7571740" cy="2020570"/>
                        </a:xfrm>
                        <a:prstGeom prst="rect">
                          <a:avLst/>
                        </a:prstGeom>
                        <a:noFill/>
                        <a:ln w="6350">
                          <a:noFill/>
                        </a:ln>
                        <a:effectLst/>
                      </wps:spPr>
                      <wps:txb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wps:txbx>
                      <wps:bodyPr upright="1"/>
                    </wps:wsp>
                  </a:graphicData>
                </a:graphic>
              </wp:anchor>
            </w:drawing>
          </mc:Choice>
          <mc:Fallback>
            <w:pict>
              <v:shape id="文本框 26" o:spid="_x0000_s1026" o:spt="202" type="#_x0000_t202" style="position:absolute;left:0pt;margin-left:-78.7pt;margin-top:232.8pt;height:159.1pt;width:596.2pt;z-index:251672576;mso-width-relative:page;mso-height-relative:page;" filled="f" stroked="f" coordsize="21600,21600" o:gfxdata="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NlmnozeAAAADQEAAA8AAAAAAAAA&#10;AQAgAAAAOAAAAGRycy9kb3ducmV2LnhtbFBLAQIUABQAAAAIAIdO4kBCm9jevAEAAGcDAAAOAAAA&#10;AAAAAAEAIAAAAEMBAABkcnMvZTJvRG9jLnhtbFBLBQYAAAAABgAGAFkBAABxBQAAAAA=&#10;">
                <v:fill on="f" focussize="0,0"/>
                <v:stroke on="f" weight="0.5pt"/>
                <v:imagedata o:title=""/>
                <o:lock v:ext="edit" aspectratio="f"/>
                <v:textbox>
                  <w:txbxContent>
                    <w:p>
                      <w:pPr>
                        <w:widowControl/>
                        <w:spacing w:line="1200" w:lineRule="exact"/>
                        <w:jc w:val="center"/>
                        <w:rPr>
                          <w:rFonts w:ascii="黑体" w:hAnsi="宋体" w:eastAsia="黑体"/>
                          <w:color w:val="FDEFBE"/>
                          <w:sz w:val="96"/>
                          <w:szCs w:val="96"/>
                        </w:rPr>
                      </w:pPr>
                      <w:r>
                        <w:rPr>
                          <w:rFonts w:hint="eastAsia" w:ascii="黑体" w:hAnsi="宋体" w:eastAsia="黑体"/>
                          <w:color w:val="FDEFBE"/>
                          <w:sz w:val="96"/>
                          <w:szCs w:val="96"/>
                        </w:rPr>
                        <w:t>第四部分</w:t>
                      </w:r>
                    </w:p>
                    <w:p>
                      <w:pPr>
                        <w:widowControl/>
                        <w:spacing w:line="1200" w:lineRule="exact"/>
                        <w:jc w:val="center"/>
                        <w:rPr>
                          <w:color w:val="FDEFBE"/>
                          <w:sz w:val="96"/>
                          <w:szCs w:val="96"/>
                        </w:rPr>
                      </w:pPr>
                      <w:r>
                        <w:rPr>
                          <w:rFonts w:hint="eastAsia" w:ascii="黑体" w:hAnsi="宋体" w:eastAsia="黑体"/>
                          <w:color w:val="FDEFBE"/>
                          <w:sz w:val="96"/>
                          <w:szCs w:val="96"/>
                        </w:rPr>
                        <w:t>名词解释</w:t>
                      </w:r>
                    </w:p>
                  </w:txbxContent>
                </v:textbox>
              </v:shape>
            </w:pict>
          </mc:Fallback>
        </mc:AlternateConten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（一）财政拨款收入：</w:t>
      </w:r>
      <w:r>
        <w:rPr>
          <w:rFonts w:hint="eastAsia" w:ascii="仿宋_GB2312" w:hAnsi="宋体" w:eastAsia="仿宋_GB2312"/>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（二）事业收入：</w:t>
      </w:r>
      <w:r>
        <w:rPr>
          <w:rFonts w:hint="eastAsia" w:ascii="仿宋_GB2312" w:hAnsi="宋体" w:eastAsia="仿宋_GB2312"/>
          <w:color w:val="000000"/>
          <w:kern w:val="0"/>
          <w:sz w:val="32"/>
          <w:szCs w:val="32"/>
        </w:rPr>
        <w:t>指事业单位开展专业业务活动及辅助活动所取得的收入。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（三）其他收入：</w:t>
      </w:r>
      <w:r>
        <w:rPr>
          <w:rFonts w:hint="eastAsia" w:ascii="仿宋_GB2312" w:hAnsi="宋体" w:eastAsia="仿宋_GB2312"/>
          <w:color w:val="000000"/>
          <w:kern w:val="0"/>
          <w:sz w:val="32"/>
          <w:szCs w:val="32"/>
        </w:rPr>
        <w:t>指除上述“财政拨款收入”“事业收入”“经营收入”等以外的收入。</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（四）用事业基金弥补收支差额：</w:t>
      </w:r>
      <w:r>
        <w:rPr>
          <w:rFonts w:hint="eastAsia" w:ascii="仿宋_GB2312" w:hAnsi="宋体" w:eastAsia="仿宋_GB2312"/>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（五）年初结转和结余：</w:t>
      </w:r>
      <w:r>
        <w:rPr>
          <w:rFonts w:hint="eastAsia" w:ascii="仿宋_GB2312" w:hAnsi="宋体" w:eastAsia="仿宋_GB2312"/>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（六）结余分配：</w:t>
      </w:r>
      <w:r>
        <w:rPr>
          <w:rFonts w:hint="eastAsia" w:ascii="仿宋_GB2312" w:hAnsi="宋体" w:eastAsia="仿宋_GB2312"/>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（七）年末结转和结余：</w:t>
      </w:r>
      <w:r>
        <w:rPr>
          <w:rFonts w:hint="eastAsia" w:ascii="仿宋_GB2312" w:hAnsi="宋体" w:eastAsia="仿宋_GB2312"/>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（八）基本支出：</w:t>
      </w:r>
      <w:r>
        <w:rPr>
          <w:rFonts w:hint="eastAsia" w:ascii="仿宋_GB2312" w:hAnsi="宋体" w:eastAsia="仿宋_GB2312"/>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（九）项目支出：</w:t>
      </w:r>
      <w:r>
        <w:rPr>
          <w:rFonts w:hint="eastAsia" w:ascii="仿宋_GB2312" w:hAnsi="宋体" w:eastAsia="仿宋_GB2312"/>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（十）资本性支出（基本建设）：</w:t>
      </w:r>
      <w:r>
        <w:rPr>
          <w:rFonts w:hint="eastAsia" w:ascii="仿宋_GB2312" w:hAnsi="宋体" w:eastAsia="仿宋_GB2312"/>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（十一）资本性支出：</w:t>
      </w:r>
      <w:r>
        <w:rPr>
          <w:rFonts w:hint="eastAsia" w:ascii="仿宋_GB2312" w:hAnsi="宋体" w:eastAsia="仿宋_GB2312"/>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（十二）“三公”经费：</w:t>
      </w:r>
      <w:r>
        <w:rPr>
          <w:rFonts w:hint="eastAsia" w:ascii="仿宋_GB2312" w:hAnsi="宋体" w:eastAsia="仿宋_GB2312"/>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（十三）其他交通费用：</w:t>
      </w:r>
      <w:r>
        <w:rPr>
          <w:rFonts w:hint="eastAsia" w:ascii="仿宋_GB2312" w:hAnsi="宋体" w:eastAsia="仿宋_GB2312"/>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（十四）公务用车购置：</w:t>
      </w:r>
      <w:r>
        <w:rPr>
          <w:rFonts w:hint="eastAsia" w:ascii="仿宋_GB2312" w:hAnsi="宋体" w:eastAsia="仿宋_GB2312"/>
          <w:color w:val="000000"/>
          <w:kern w:val="0"/>
          <w:sz w:val="32"/>
          <w:szCs w:val="32"/>
        </w:rPr>
        <w:t>填列单位公务用车购置支出（含车辆购置税、牌照费）。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（十五）其他交通工具购置：</w:t>
      </w:r>
      <w:r>
        <w:rPr>
          <w:rFonts w:hint="eastAsia" w:ascii="仿宋_GB2312" w:hAnsi="宋体" w:eastAsia="仿宋_GB2312"/>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hAnsi="宋体" w:eastAsia="仿宋_GB2312"/>
          <w:color w:val="000000"/>
          <w:kern w:val="0"/>
          <w:sz w:val="32"/>
          <w:szCs w:val="32"/>
        </w:rPr>
      </w:pPr>
      <w:r>
        <w:rPr>
          <w:rFonts w:hint="eastAsia" w:ascii="仿宋_GB2312" w:hAnsi="宋体" w:eastAsia="仿宋_GB2312"/>
          <w:b/>
          <w:bCs/>
          <w:color w:val="000000"/>
          <w:kern w:val="0"/>
          <w:sz w:val="32"/>
          <w:szCs w:val="32"/>
        </w:rPr>
        <w:t>（十六）机关运行经费：</w:t>
      </w:r>
      <w:r>
        <w:rPr>
          <w:rFonts w:hint="eastAsia" w:ascii="仿宋_GB2312" w:hAnsi="宋体" w:eastAsia="仿宋_GB2312"/>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hAnsi="Cambria" w:eastAsia="仿宋_GB2312" w:cs="ArialUnicodeMS"/>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hAnsi="宋体" w:eastAsia="仿宋_GB2312"/>
          <w:b/>
          <w:bCs/>
          <w:color w:val="000000"/>
          <w:kern w:val="0"/>
          <w:sz w:val="32"/>
          <w:szCs w:val="32"/>
        </w:rPr>
        <w:t>（十七）经费形式</w:t>
      </w:r>
      <w:r>
        <w:rPr>
          <w:rFonts w:ascii="仿宋_GB2312" w:hAnsi="宋体" w:eastAsia="仿宋_GB2312"/>
          <w:b/>
          <w:bCs/>
          <w:color w:val="000000"/>
          <w:kern w:val="0"/>
          <w:sz w:val="32"/>
          <w:szCs w:val="32"/>
        </w:rPr>
        <w:t>:</w:t>
      </w:r>
      <w:r>
        <w:rPr>
          <w:rFonts w:hint="eastAsia" w:ascii="仿宋_GB2312" w:hAnsi="宋体" w:eastAsia="仿宋_GB2312"/>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widowControl/>
        <w:spacing w:after="0" w:line="560" w:lineRule="exact"/>
        <w:ind w:firstLine="420" w:firstLineChars="200"/>
        <w:rPr>
          <w:rFonts w:ascii="仿宋_GB2312" w:hAnsi="Cambria" w:eastAsia="仿宋_GB2312" w:cs="ArialUnicodeMS"/>
          <w:kern w:val="0"/>
          <w:sz w:val="32"/>
          <w:szCs w:val="32"/>
        </w:rPr>
      </w:pPr>
      <w: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2"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1" descr="3"/>
                    <pic:cNvPicPr>
                      <a:picLocks noChangeAspect="1"/>
                    </pic:cNvPicPr>
                  </pic:nvPicPr>
                  <pic:blipFill>
                    <a:blip r:embed="rId15"/>
                    <a:stretch>
                      <a:fillRect/>
                    </a:stretch>
                  </pic:blipFill>
                  <pic:spPr>
                    <a:xfrm>
                      <a:off x="0" y="0"/>
                      <a:ext cx="7590155" cy="10735945"/>
                    </a:xfrm>
                    <a:prstGeom prst="rect">
                      <a:avLst/>
                    </a:prstGeom>
                    <a:noFill/>
                    <a:ln w="9525">
                      <a:noFill/>
                    </a:ln>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Cambria">
    <w:altName w:val="FreeSerif"/>
    <w:panose1 w:val="02040503050406030204"/>
    <w:charset w:val="00"/>
    <w:family w:val="roman"/>
    <w:pitch w:val="default"/>
    <w:sig w:usb0="00000000" w:usb1="00000000" w:usb2="00000000" w:usb3="00000000" w:csb0="0000019F" w:csb1="00000000"/>
  </w:font>
  <w:font w:name="FreeSerif">
    <w:panose1 w:val="02020603050405020304"/>
    <w:charset w:val="00"/>
    <w:family w:val="auto"/>
    <w:pitch w:val="default"/>
    <w:sig w:usb0="E59FAFFF" w:usb1="C200FDFF" w:usb2="43501B29" w:usb3="04000043" w:csb0="600101FF" w:csb1="FFFF0000"/>
  </w:font>
  <w:font w:name="方正黑体_GBK">
    <w:panose1 w:val="02000000000000000000"/>
    <w:charset w:val="86"/>
    <w:family w:val="auto"/>
    <w:pitch w:val="default"/>
    <w:sig w:usb0="00000001" w:usb1="08000000" w:usb2="00000000" w:usb3="00000000" w:csb0="00040000" w:csb1="00000000"/>
  </w:font>
  <w:font w:name="楷体">
    <w:altName w:val="方正楷体_GBK"/>
    <w:panose1 w:val="02010609060101010101"/>
    <w:charset w:val="86"/>
    <w:family w:val="modern"/>
    <w:pitch w:val="default"/>
    <w:sig w:usb0="00000000" w:usb1="00000000" w:usb2="00000016" w:usb3="00000000" w:csb0="00040001" w:csb1="00000000"/>
  </w:font>
  <w:font w:name="方正楷体_GBK">
    <w:panose1 w:val="02000000000000000000"/>
    <w:charset w:val="86"/>
    <w:family w:val="auto"/>
    <w:pitch w:val="default"/>
    <w:sig w:usb0="00000001" w:usb1="08000000" w:usb2="00000000" w:usb3="00000000" w:csb0="00040000" w:csb1="00000000"/>
  </w:font>
  <w:font w:name="楷体_GB2312">
    <w:altName w:val="方正楷体_GBK"/>
    <w:panose1 w:val="02010609030101010101"/>
    <w:charset w:val="86"/>
    <w:family w:val="modern"/>
    <w:pitch w:val="default"/>
    <w:sig w:usb0="00000000" w:usb1="00000000" w:usb2="0000001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modern"/>
    <w:pitch w:val="default"/>
    <w:sig w:usb0="00000000" w:usb1="00000000" w:usb2="00000016" w:usb3="00000000" w:csb0="00040001" w:csb1="00000000"/>
  </w:font>
  <w:font w:name="MS Gothic">
    <w:altName w:val="方正书宋_GBK"/>
    <w:panose1 w:val="020B0609070205080204"/>
    <w:charset w:val="80"/>
    <w:family w:val="modern"/>
    <w:pitch w:val="default"/>
    <w:sig w:usb0="00000000" w:usb1="00000000" w:usb2="00000012" w:usb3="00000000" w:csb0="0002009F" w:csb1="00000000"/>
  </w:font>
  <w:font w:name="ArialUnicodeMS">
    <w:altName w:val="DejaVu Sans"/>
    <w:panose1 w:val="00000000000000000000"/>
    <w:charset w:val="81"/>
    <w:family w:val="auto"/>
    <w:pitch w:val="default"/>
    <w:sig w:usb0="00000000" w:usb1="00000000" w:usb2="00000010" w:usb3="00000000" w:csb0="00080001" w:csb1="00000000"/>
  </w:font>
  <w:font w:name="MS-UIGothic,Bold">
    <w:altName w:val="方正书宋_GBK"/>
    <w:panose1 w:val="00000000000000000000"/>
    <w:charset w:val="81"/>
    <w:family w:val="auto"/>
    <w:pitch w:val="default"/>
    <w:sig w:usb0="00000000" w:usb1="00000000" w:usb2="00000010" w:usb3="00000000" w:csb0="00080000" w:csb1="00000000"/>
  </w:font>
  <w:font w:name="Arial">
    <w:altName w:val="DejaVu Sans"/>
    <w:panose1 w:val="020B0604020202020204"/>
    <w:charset w:val="00"/>
    <w:family w:val="swiss"/>
    <w:pitch w:val="default"/>
    <w:sig w:usb0="00000000" w:usb1="00000000" w:usb2="00000009" w:usb3="00000000" w:csb0="000001FF" w:csb1="00000000"/>
  </w:font>
  <w:font w:name="DengXian-Regular">
    <w:altName w:val="华文中宋"/>
    <w:panose1 w:val="00000000000000000000"/>
    <w:charset w:val="86"/>
    <w:family w:val="auto"/>
    <w:pitch w:val="default"/>
    <w:sig w:usb0="00000000" w:usb1="00000000" w:usb2="00000010" w:usb3="00000000" w:csb0="00040001" w:csb1="00000000"/>
  </w:font>
  <w:font w:name="华文中宋">
    <w:panose1 w:val="02010600040101010101"/>
    <w:charset w:val="86"/>
    <w:family w:val="auto"/>
    <w:pitch w:val="default"/>
    <w:sig w:usb0="00000287" w:usb1="080F0000" w:usb2="00000000" w:usb3="00000000" w:csb0="0004009F" w:csb1="DFD70000"/>
  </w:font>
  <w:font w:name="DengXian-Bold">
    <w:altName w:val="华文中宋"/>
    <w:panose1 w:val="00000000000000000000"/>
    <w:charset w:val="86"/>
    <w:family w:val="auto"/>
    <w:pitch w:val="default"/>
    <w:sig w:usb0="00000000" w:usb1="00000000" w:usb2="00000010" w:usb3="00000000" w:csb0="00040001" w:csb1="00000000"/>
  </w:font>
  <w:font w:name="TimesNewRomanPSMT">
    <w:altName w:val="DejaVu Sans"/>
    <w:panose1 w:val="00000000000000000000"/>
    <w:charset w:val="00"/>
    <w:family w:val="swiss"/>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Bdr>
        <w:bottom w:val="none" w:color="auto" w:sz="0" w:space="0"/>
      </w:pBdr>
      <w:jc w:val="both"/>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noLineBreaksAfter w:lang="zh-CN" w:val="$([{£¥·‘“〈《「『【〔〖〝﹙﹛﹝＄（．［｛￡￥"/>
  <w:noLineBreaksBefore w:lang="zh-CN" w:val="!%),.:;&gt;?]}¢¨°·ˇˉ―‖’”…‰′″›℃∶、。〃〉》」』】〕〗〞︶︺︾﹀﹄﹚﹜﹞！＂％＇），．：；？］｀｜｝～￠"/>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1413"/>
    <w:rsid w:val="00024E7F"/>
    <w:rsid w:val="000475A0"/>
    <w:rsid w:val="0006417E"/>
    <w:rsid w:val="000838C3"/>
    <w:rsid w:val="000B2446"/>
    <w:rsid w:val="000D7C65"/>
    <w:rsid w:val="000E2F81"/>
    <w:rsid w:val="00117946"/>
    <w:rsid w:val="00117E2C"/>
    <w:rsid w:val="00146C47"/>
    <w:rsid w:val="00152FB8"/>
    <w:rsid w:val="00176658"/>
    <w:rsid w:val="0018239E"/>
    <w:rsid w:val="001B3410"/>
    <w:rsid w:val="001C030D"/>
    <w:rsid w:val="001C4A84"/>
    <w:rsid w:val="001E5902"/>
    <w:rsid w:val="001F0368"/>
    <w:rsid w:val="00213E7D"/>
    <w:rsid w:val="00221B5E"/>
    <w:rsid w:val="00224E91"/>
    <w:rsid w:val="00233705"/>
    <w:rsid w:val="00275CA2"/>
    <w:rsid w:val="002A65A5"/>
    <w:rsid w:val="002C04C4"/>
    <w:rsid w:val="002D08B0"/>
    <w:rsid w:val="002D1AE3"/>
    <w:rsid w:val="002F2ECE"/>
    <w:rsid w:val="00341C8F"/>
    <w:rsid w:val="0035463A"/>
    <w:rsid w:val="00391D9D"/>
    <w:rsid w:val="00391E1D"/>
    <w:rsid w:val="0039356A"/>
    <w:rsid w:val="003B6C51"/>
    <w:rsid w:val="003C1413"/>
    <w:rsid w:val="003C549F"/>
    <w:rsid w:val="003D5A16"/>
    <w:rsid w:val="003E7DB3"/>
    <w:rsid w:val="003F7EC9"/>
    <w:rsid w:val="00404559"/>
    <w:rsid w:val="00407EE6"/>
    <w:rsid w:val="00431175"/>
    <w:rsid w:val="004B6E37"/>
    <w:rsid w:val="004C32BA"/>
    <w:rsid w:val="00502871"/>
    <w:rsid w:val="00575922"/>
    <w:rsid w:val="00581C28"/>
    <w:rsid w:val="005A6C90"/>
    <w:rsid w:val="005E3FB0"/>
    <w:rsid w:val="005F4B66"/>
    <w:rsid w:val="005F5208"/>
    <w:rsid w:val="00633D6B"/>
    <w:rsid w:val="00641318"/>
    <w:rsid w:val="0064405D"/>
    <w:rsid w:val="00685302"/>
    <w:rsid w:val="00695557"/>
    <w:rsid w:val="006D4EA7"/>
    <w:rsid w:val="006D5E7B"/>
    <w:rsid w:val="0070012A"/>
    <w:rsid w:val="00703171"/>
    <w:rsid w:val="007051EC"/>
    <w:rsid w:val="0070664B"/>
    <w:rsid w:val="007071B8"/>
    <w:rsid w:val="007414DE"/>
    <w:rsid w:val="0074209C"/>
    <w:rsid w:val="007905A9"/>
    <w:rsid w:val="007E341C"/>
    <w:rsid w:val="007E5500"/>
    <w:rsid w:val="007F055B"/>
    <w:rsid w:val="0080644C"/>
    <w:rsid w:val="00806A03"/>
    <w:rsid w:val="00811C2F"/>
    <w:rsid w:val="00833D46"/>
    <w:rsid w:val="00840A97"/>
    <w:rsid w:val="008C0149"/>
    <w:rsid w:val="008C689C"/>
    <w:rsid w:val="008D5DED"/>
    <w:rsid w:val="008E25CA"/>
    <w:rsid w:val="008F34FC"/>
    <w:rsid w:val="00935058"/>
    <w:rsid w:val="00944CD7"/>
    <w:rsid w:val="009831B2"/>
    <w:rsid w:val="009A1ABE"/>
    <w:rsid w:val="009E21A4"/>
    <w:rsid w:val="009F22C6"/>
    <w:rsid w:val="00A07E50"/>
    <w:rsid w:val="00A15397"/>
    <w:rsid w:val="00A15DB4"/>
    <w:rsid w:val="00A35CE0"/>
    <w:rsid w:val="00A4462E"/>
    <w:rsid w:val="00A44AA4"/>
    <w:rsid w:val="00A61623"/>
    <w:rsid w:val="00A84687"/>
    <w:rsid w:val="00AB0A0E"/>
    <w:rsid w:val="00AD3B6E"/>
    <w:rsid w:val="00B1751F"/>
    <w:rsid w:val="00B56722"/>
    <w:rsid w:val="00B63DB8"/>
    <w:rsid w:val="00B74D39"/>
    <w:rsid w:val="00B91DA4"/>
    <w:rsid w:val="00BC3CB7"/>
    <w:rsid w:val="00C12630"/>
    <w:rsid w:val="00C34562"/>
    <w:rsid w:val="00C3774E"/>
    <w:rsid w:val="00C44DCD"/>
    <w:rsid w:val="00C57456"/>
    <w:rsid w:val="00C65387"/>
    <w:rsid w:val="00C87FAB"/>
    <w:rsid w:val="00C91FF7"/>
    <w:rsid w:val="00C94E53"/>
    <w:rsid w:val="00D0048E"/>
    <w:rsid w:val="00D23E7A"/>
    <w:rsid w:val="00D61063"/>
    <w:rsid w:val="00DA6F4D"/>
    <w:rsid w:val="00DB35AF"/>
    <w:rsid w:val="00DD545E"/>
    <w:rsid w:val="00DD72D7"/>
    <w:rsid w:val="00DF5B88"/>
    <w:rsid w:val="00E0589E"/>
    <w:rsid w:val="00E241FA"/>
    <w:rsid w:val="00E2595E"/>
    <w:rsid w:val="00E35374"/>
    <w:rsid w:val="00E50C19"/>
    <w:rsid w:val="00E64655"/>
    <w:rsid w:val="00E73081"/>
    <w:rsid w:val="00E856C9"/>
    <w:rsid w:val="00E8744D"/>
    <w:rsid w:val="00EB6A8B"/>
    <w:rsid w:val="00EF372C"/>
    <w:rsid w:val="00EF38C6"/>
    <w:rsid w:val="00F048D0"/>
    <w:rsid w:val="00F679C7"/>
    <w:rsid w:val="00F7711A"/>
    <w:rsid w:val="00FA0D58"/>
    <w:rsid w:val="00FA5415"/>
    <w:rsid w:val="00FA56F4"/>
    <w:rsid w:val="00FB4EDA"/>
    <w:rsid w:val="00FD3BD5"/>
    <w:rsid w:val="00FE0C6D"/>
    <w:rsid w:val="00FE3DC8"/>
    <w:rsid w:val="01332B60"/>
    <w:rsid w:val="013D6724"/>
    <w:rsid w:val="015C6A9F"/>
    <w:rsid w:val="020B64DE"/>
    <w:rsid w:val="02732D8F"/>
    <w:rsid w:val="02E858B9"/>
    <w:rsid w:val="0342585C"/>
    <w:rsid w:val="0350386E"/>
    <w:rsid w:val="04073F84"/>
    <w:rsid w:val="069871F8"/>
    <w:rsid w:val="0924180C"/>
    <w:rsid w:val="09FE649C"/>
    <w:rsid w:val="0A476C85"/>
    <w:rsid w:val="0B60750A"/>
    <w:rsid w:val="0B6400F3"/>
    <w:rsid w:val="0D1E22DC"/>
    <w:rsid w:val="0DF06A4C"/>
    <w:rsid w:val="0F967098"/>
    <w:rsid w:val="0FEE3172"/>
    <w:rsid w:val="10686488"/>
    <w:rsid w:val="10DF728A"/>
    <w:rsid w:val="10F553F8"/>
    <w:rsid w:val="11A458F4"/>
    <w:rsid w:val="1264200E"/>
    <w:rsid w:val="141C5B77"/>
    <w:rsid w:val="181A2095"/>
    <w:rsid w:val="18D8339D"/>
    <w:rsid w:val="1A21388F"/>
    <w:rsid w:val="1A38231D"/>
    <w:rsid w:val="1A570D2F"/>
    <w:rsid w:val="1D2E02FA"/>
    <w:rsid w:val="22C913F0"/>
    <w:rsid w:val="24DB58DB"/>
    <w:rsid w:val="25C631D9"/>
    <w:rsid w:val="26D969EC"/>
    <w:rsid w:val="28FB0B8D"/>
    <w:rsid w:val="29F04371"/>
    <w:rsid w:val="2A9870FC"/>
    <w:rsid w:val="2AA07E12"/>
    <w:rsid w:val="2AE73E3E"/>
    <w:rsid w:val="2C0F50EC"/>
    <w:rsid w:val="2C763244"/>
    <w:rsid w:val="2C7F2013"/>
    <w:rsid w:val="2D2B7942"/>
    <w:rsid w:val="2D347778"/>
    <w:rsid w:val="2D46481D"/>
    <w:rsid w:val="2E674D22"/>
    <w:rsid w:val="2E733B28"/>
    <w:rsid w:val="308A76E1"/>
    <w:rsid w:val="30A32E98"/>
    <w:rsid w:val="30B370E4"/>
    <w:rsid w:val="31852B5A"/>
    <w:rsid w:val="32D01238"/>
    <w:rsid w:val="3468526F"/>
    <w:rsid w:val="349E1CDA"/>
    <w:rsid w:val="34F04C61"/>
    <w:rsid w:val="35C0565D"/>
    <w:rsid w:val="37DB5C2D"/>
    <w:rsid w:val="38D66818"/>
    <w:rsid w:val="3B5A60FC"/>
    <w:rsid w:val="3B97737B"/>
    <w:rsid w:val="3CDE22C7"/>
    <w:rsid w:val="3D9702AE"/>
    <w:rsid w:val="3DF55FED"/>
    <w:rsid w:val="3DFC59A8"/>
    <w:rsid w:val="3E194062"/>
    <w:rsid w:val="3ECF245E"/>
    <w:rsid w:val="3ECF2657"/>
    <w:rsid w:val="3FB96314"/>
    <w:rsid w:val="3FC348B7"/>
    <w:rsid w:val="3FE64753"/>
    <w:rsid w:val="404B5E3A"/>
    <w:rsid w:val="41CA0D1B"/>
    <w:rsid w:val="421E4338"/>
    <w:rsid w:val="427036BE"/>
    <w:rsid w:val="43862C38"/>
    <w:rsid w:val="448B3F74"/>
    <w:rsid w:val="44BC4241"/>
    <w:rsid w:val="45366ED8"/>
    <w:rsid w:val="47B73F08"/>
    <w:rsid w:val="498E726C"/>
    <w:rsid w:val="49E24115"/>
    <w:rsid w:val="4AF217C1"/>
    <w:rsid w:val="4B2F061A"/>
    <w:rsid w:val="4B640503"/>
    <w:rsid w:val="4F7E6C52"/>
    <w:rsid w:val="4FED72AE"/>
    <w:rsid w:val="5057099B"/>
    <w:rsid w:val="51186566"/>
    <w:rsid w:val="51B42D55"/>
    <w:rsid w:val="51E222A1"/>
    <w:rsid w:val="521176D8"/>
    <w:rsid w:val="522713BE"/>
    <w:rsid w:val="53A44FAF"/>
    <w:rsid w:val="53D77C18"/>
    <w:rsid w:val="548E46B0"/>
    <w:rsid w:val="54A435B9"/>
    <w:rsid w:val="54A950AD"/>
    <w:rsid w:val="563C4B5C"/>
    <w:rsid w:val="5714519F"/>
    <w:rsid w:val="58DE4CD8"/>
    <w:rsid w:val="594329EC"/>
    <w:rsid w:val="5A29184C"/>
    <w:rsid w:val="5A537424"/>
    <w:rsid w:val="5AB23ADB"/>
    <w:rsid w:val="5B5D2FA8"/>
    <w:rsid w:val="5BEE1540"/>
    <w:rsid w:val="5D3C19F3"/>
    <w:rsid w:val="5DAF3D6D"/>
    <w:rsid w:val="5DE61A5D"/>
    <w:rsid w:val="5F7D77A8"/>
    <w:rsid w:val="62863CD3"/>
    <w:rsid w:val="62D35317"/>
    <w:rsid w:val="63480B2E"/>
    <w:rsid w:val="63C04243"/>
    <w:rsid w:val="63D54DCB"/>
    <w:rsid w:val="64480C32"/>
    <w:rsid w:val="644B24A3"/>
    <w:rsid w:val="6493699C"/>
    <w:rsid w:val="649C01C7"/>
    <w:rsid w:val="67D354A0"/>
    <w:rsid w:val="68B45D23"/>
    <w:rsid w:val="699A3F60"/>
    <w:rsid w:val="6BD219B5"/>
    <w:rsid w:val="6C1B25E7"/>
    <w:rsid w:val="6DAC4335"/>
    <w:rsid w:val="6DD049B8"/>
    <w:rsid w:val="6E387281"/>
    <w:rsid w:val="6F061134"/>
    <w:rsid w:val="6FBE10DB"/>
    <w:rsid w:val="70030877"/>
    <w:rsid w:val="71774298"/>
    <w:rsid w:val="718A0A09"/>
    <w:rsid w:val="71F60C32"/>
    <w:rsid w:val="723F3A25"/>
    <w:rsid w:val="72902E62"/>
    <w:rsid w:val="72BA570B"/>
    <w:rsid w:val="73524237"/>
    <w:rsid w:val="73C61104"/>
    <w:rsid w:val="74075D56"/>
    <w:rsid w:val="74800151"/>
    <w:rsid w:val="75D94E05"/>
    <w:rsid w:val="75F57977"/>
    <w:rsid w:val="76B179C5"/>
    <w:rsid w:val="776452EA"/>
    <w:rsid w:val="78B30D12"/>
    <w:rsid w:val="799A03BA"/>
    <w:rsid w:val="79B117AA"/>
    <w:rsid w:val="7A3F4E3B"/>
    <w:rsid w:val="7ADD4E6B"/>
    <w:rsid w:val="7AEB2506"/>
    <w:rsid w:val="7B6E5745"/>
    <w:rsid w:val="7C667CD1"/>
    <w:rsid w:val="7DC663B9"/>
    <w:rsid w:val="7E8018E2"/>
    <w:rsid w:val="7E9E71D3"/>
    <w:rsid w:val="7FD21032"/>
    <w:rsid w:val="FFDF22B9"/>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99" w:semiHidden="0" w:name="Subtitle"/>
    <w:lsdException w:uiPriority="99" w:name="Salutation"/>
    <w:lsdException w:qFormat="1" w:unhideWhenUsed="0"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5"/>
    <w:qFormat/>
    <w:uiPriority w:val="99"/>
    <w:pPr>
      <w:keepNext/>
      <w:keepLines/>
      <w:spacing w:before="340" w:after="330" w:line="578" w:lineRule="auto"/>
      <w:outlineLvl w:val="0"/>
    </w:pPr>
    <w:rPr>
      <w:b/>
      <w:bCs/>
      <w:kern w:val="44"/>
      <w:sz w:val="44"/>
      <w:szCs w:val="44"/>
    </w:rPr>
  </w:style>
  <w:style w:type="paragraph" w:styleId="3">
    <w:name w:val="heading 2"/>
    <w:basedOn w:val="1"/>
    <w:next w:val="1"/>
    <w:link w:val="16"/>
    <w:qFormat/>
    <w:uiPriority w:val="99"/>
    <w:pPr>
      <w:keepNext/>
      <w:keepLines/>
      <w:spacing w:before="260" w:after="260" w:line="416" w:lineRule="auto"/>
      <w:outlineLvl w:val="1"/>
    </w:pPr>
    <w:rPr>
      <w:rFonts w:ascii="Calibri" w:hAnsi="Calibri"/>
      <w:b/>
      <w:bCs/>
      <w:sz w:val="32"/>
      <w:szCs w:val="32"/>
    </w:rPr>
  </w:style>
  <w:style w:type="paragraph" w:styleId="4">
    <w:name w:val="heading 3"/>
    <w:basedOn w:val="1"/>
    <w:next w:val="1"/>
    <w:link w:val="17"/>
    <w:qFormat/>
    <w:uiPriority w:val="99"/>
    <w:pPr>
      <w:keepNext/>
      <w:keepLines/>
      <w:spacing w:before="260" w:after="260" w:line="416" w:lineRule="auto"/>
      <w:outlineLvl w:val="2"/>
    </w:pPr>
    <w:rPr>
      <w:b/>
      <w:bCs/>
      <w:sz w:val="32"/>
      <w:szCs w:val="32"/>
    </w:rPr>
  </w:style>
  <w:style w:type="paragraph" w:styleId="5">
    <w:name w:val="heading 4"/>
    <w:basedOn w:val="1"/>
    <w:next w:val="1"/>
    <w:link w:val="18"/>
    <w:qFormat/>
    <w:uiPriority w:val="99"/>
    <w:pPr>
      <w:keepNext/>
      <w:keepLines/>
      <w:spacing w:before="280" w:after="290" w:line="376" w:lineRule="auto"/>
      <w:outlineLvl w:val="3"/>
    </w:pPr>
    <w:rPr>
      <w:rFonts w:ascii="Calibri" w:hAnsi="Calibr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19"/>
    <w:semiHidden/>
    <w:qFormat/>
    <w:uiPriority w:val="99"/>
    <w:pPr>
      <w:ind w:left="100" w:leftChars="2500"/>
    </w:pPr>
  </w:style>
  <w:style w:type="paragraph" w:styleId="7">
    <w:name w:val="Balloon Text"/>
    <w:basedOn w:val="1"/>
    <w:link w:val="20"/>
    <w:semiHidden/>
    <w:qFormat/>
    <w:uiPriority w:val="99"/>
    <w:rPr>
      <w:sz w:val="18"/>
      <w:szCs w:val="18"/>
    </w:rPr>
  </w:style>
  <w:style w:type="paragraph" w:styleId="8">
    <w:name w:val="footer"/>
    <w:basedOn w:val="1"/>
    <w:link w:val="21"/>
    <w:qFormat/>
    <w:uiPriority w:val="99"/>
    <w:pPr>
      <w:tabs>
        <w:tab w:val="center" w:pos="4153"/>
        <w:tab w:val="right" w:pos="8306"/>
      </w:tabs>
      <w:snapToGrid w:val="0"/>
      <w:jc w:val="left"/>
    </w:pPr>
    <w:rPr>
      <w:rFonts w:ascii="Cambria" w:hAnsi="Cambria" w:eastAsia="黑体"/>
      <w:sz w:val="18"/>
      <w:szCs w:val="18"/>
    </w:rPr>
  </w:style>
  <w:style w:type="paragraph" w:styleId="9">
    <w:name w:val="header"/>
    <w:basedOn w:val="1"/>
    <w:link w:val="22"/>
    <w:qFormat/>
    <w:uiPriority w:val="99"/>
    <w:pPr>
      <w:pBdr>
        <w:bottom w:val="single" w:color="auto" w:sz="6" w:space="1"/>
      </w:pBdr>
      <w:tabs>
        <w:tab w:val="center" w:pos="4153"/>
        <w:tab w:val="right" w:pos="8306"/>
      </w:tabs>
      <w:snapToGrid w:val="0"/>
      <w:jc w:val="center"/>
    </w:pPr>
    <w:rPr>
      <w:rFonts w:ascii="Cambria" w:hAnsi="Cambria" w:eastAsia="黑体"/>
      <w:sz w:val="18"/>
      <w:szCs w:val="18"/>
    </w:rPr>
  </w:style>
  <w:style w:type="paragraph" w:styleId="10">
    <w:name w:val="Subtitle"/>
    <w:basedOn w:val="1"/>
    <w:next w:val="1"/>
    <w:link w:val="23"/>
    <w:qFormat/>
    <w:uiPriority w:val="99"/>
    <w:pPr>
      <w:widowControl/>
      <w:spacing w:after="200" w:line="276" w:lineRule="auto"/>
      <w:jc w:val="left"/>
    </w:pPr>
    <w:rPr>
      <w:rFonts w:ascii="Calibri" w:hAnsi="Calibri"/>
      <w:i/>
      <w:iCs/>
      <w:color w:val="F0A22E"/>
      <w:spacing w:val="15"/>
      <w:kern w:val="0"/>
      <w:sz w:val="24"/>
    </w:rPr>
  </w:style>
  <w:style w:type="paragraph" w:styleId="11">
    <w:name w:val="Title"/>
    <w:basedOn w:val="1"/>
    <w:next w:val="1"/>
    <w:link w:val="24"/>
    <w:qFormat/>
    <w:uiPriority w:val="99"/>
    <w:pPr>
      <w:widowControl/>
      <w:pBdr>
        <w:bottom w:val="single" w:color="F0A22E" w:sz="8" w:space="4"/>
      </w:pBdr>
      <w:spacing w:after="300"/>
      <w:contextualSpacing/>
      <w:jc w:val="left"/>
    </w:pPr>
    <w:rPr>
      <w:rFonts w:ascii="Calibri" w:hAnsi="Calibri"/>
      <w:color w:val="3A2C24"/>
      <w:spacing w:val="5"/>
      <w:kern w:val="28"/>
      <w:sz w:val="52"/>
      <w:szCs w:val="52"/>
    </w:rPr>
  </w:style>
  <w:style w:type="table" w:styleId="13">
    <w:name w:val="Table Grid"/>
    <w:basedOn w:val="12"/>
    <w:qFormat/>
    <w:uiPriority w:val="99"/>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5">
    <w:name w:val="标题 1 Char"/>
    <w:basedOn w:val="14"/>
    <w:link w:val="2"/>
    <w:qFormat/>
    <w:locked/>
    <w:uiPriority w:val="99"/>
    <w:rPr>
      <w:rFonts w:ascii="Times New Roman" w:hAnsi="Times New Roman" w:eastAsia="宋体" w:cs="Times New Roman"/>
      <w:b/>
      <w:bCs/>
      <w:kern w:val="44"/>
      <w:sz w:val="44"/>
      <w:szCs w:val="44"/>
    </w:rPr>
  </w:style>
  <w:style w:type="character" w:customStyle="1" w:styleId="16">
    <w:name w:val="标题 2 Char"/>
    <w:basedOn w:val="14"/>
    <w:link w:val="3"/>
    <w:qFormat/>
    <w:locked/>
    <w:uiPriority w:val="99"/>
    <w:rPr>
      <w:rFonts w:ascii="Calibri" w:hAnsi="Calibri" w:eastAsia="宋体" w:cs="Times New Roman"/>
      <w:b/>
      <w:bCs/>
      <w:sz w:val="32"/>
      <w:szCs w:val="32"/>
    </w:rPr>
  </w:style>
  <w:style w:type="character" w:customStyle="1" w:styleId="17">
    <w:name w:val="标题 3 Char"/>
    <w:basedOn w:val="14"/>
    <w:link w:val="4"/>
    <w:qFormat/>
    <w:locked/>
    <w:uiPriority w:val="99"/>
    <w:rPr>
      <w:rFonts w:ascii="Times New Roman" w:hAnsi="Times New Roman" w:eastAsia="宋体" w:cs="Times New Roman"/>
      <w:b/>
      <w:bCs/>
      <w:sz w:val="32"/>
      <w:szCs w:val="32"/>
    </w:rPr>
  </w:style>
  <w:style w:type="character" w:customStyle="1" w:styleId="18">
    <w:name w:val="标题 4 Char"/>
    <w:basedOn w:val="14"/>
    <w:link w:val="5"/>
    <w:qFormat/>
    <w:locked/>
    <w:uiPriority w:val="99"/>
    <w:rPr>
      <w:rFonts w:ascii="Calibri" w:hAnsi="Calibri" w:eastAsia="宋体" w:cs="Times New Roman"/>
      <w:b/>
      <w:bCs/>
      <w:sz w:val="28"/>
      <w:szCs w:val="28"/>
    </w:rPr>
  </w:style>
  <w:style w:type="character" w:customStyle="1" w:styleId="19">
    <w:name w:val="日期 Char"/>
    <w:basedOn w:val="14"/>
    <w:link w:val="6"/>
    <w:semiHidden/>
    <w:qFormat/>
    <w:locked/>
    <w:uiPriority w:val="99"/>
    <w:rPr>
      <w:rFonts w:ascii="Times New Roman" w:hAnsi="Times New Roman" w:eastAsia="宋体" w:cs="Times New Roman"/>
      <w:sz w:val="24"/>
      <w:szCs w:val="24"/>
    </w:rPr>
  </w:style>
  <w:style w:type="character" w:customStyle="1" w:styleId="20">
    <w:name w:val="批注框文本 Char"/>
    <w:basedOn w:val="14"/>
    <w:link w:val="7"/>
    <w:semiHidden/>
    <w:qFormat/>
    <w:locked/>
    <w:uiPriority w:val="99"/>
    <w:rPr>
      <w:rFonts w:ascii="Times New Roman" w:hAnsi="Times New Roman" w:eastAsia="宋体" w:cs="Times New Roman"/>
      <w:sz w:val="18"/>
      <w:szCs w:val="18"/>
    </w:rPr>
  </w:style>
  <w:style w:type="character" w:customStyle="1" w:styleId="21">
    <w:name w:val="页脚 Char"/>
    <w:basedOn w:val="14"/>
    <w:link w:val="8"/>
    <w:qFormat/>
    <w:locked/>
    <w:uiPriority w:val="99"/>
    <w:rPr>
      <w:rFonts w:cs="Times New Roman"/>
      <w:sz w:val="18"/>
      <w:szCs w:val="18"/>
    </w:rPr>
  </w:style>
  <w:style w:type="character" w:customStyle="1" w:styleId="22">
    <w:name w:val="页眉 Char"/>
    <w:basedOn w:val="14"/>
    <w:link w:val="9"/>
    <w:qFormat/>
    <w:locked/>
    <w:uiPriority w:val="99"/>
    <w:rPr>
      <w:rFonts w:cs="Times New Roman"/>
      <w:sz w:val="18"/>
      <w:szCs w:val="18"/>
    </w:rPr>
  </w:style>
  <w:style w:type="character" w:customStyle="1" w:styleId="23">
    <w:name w:val="副标题 Char"/>
    <w:basedOn w:val="14"/>
    <w:link w:val="10"/>
    <w:qFormat/>
    <w:locked/>
    <w:uiPriority w:val="99"/>
    <w:rPr>
      <w:rFonts w:ascii="Calibri" w:hAnsi="Calibri" w:eastAsia="宋体" w:cs="Times New Roman"/>
      <w:i/>
      <w:iCs/>
      <w:color w:val="F0A22E"/>
      <w:spacing w:val="15"/>
      <w:kern w:val="0"/>
      <w:sz w:val="24"/>
      <w:szCs w:val="24"/>
    </w:rPr>
  </w:style>
  <w:style w:type="character" w:customStyle="1" w:styleId="24">
    <w:name w:val="标题 Char"/>
    <w:basedOn w:val="14"/>
    <w:link w:val="11"/>
    <w:qFormat/>
    <w:locked/>
    <w:uiPriority w:val="99"/>
    <w:rPr>
      <w:rFonts w:ascii="Calibri" w:hAnsi="Calibri" w:eastAsia="宋体" w:cs="Times New Roman"/>
      <w:color w:val="3A2C24"/>
      <w:spacing w:val="5"/>
      <w:kern w:val="28"/>
      <w:sz w:val="52"/>
      <w:szCs w:val="52"/>
    </w:rPr>
  </w:style>
  <w:style w:type="paragraph" w:customStyle="1" w:styleId="25">
    <w:name w:val="无间隔1"/>
    <w:link w:val="26"/>
    <w:qFormat/>
    <w:uiPriority w:val="99"/>
    <w:pPr>
      <w:spacing w:after="160" w:line="480" w:lineRule="auto"/>
    </w:pPr>
    <w:rPr>
      <w:rFonts w:ascii="Cambria" w:hAnsi="Cambria" w:eastAsia="黑体" w:cs="Times New Roman"/>
      <w:sz w:val="22"/>
      <w:szCs w:val="22"/>
      <w:lang w:val="en-US" w:eastAsia="zh-CN" w:bidi="ar-SA"/>
    </w:rPr>
  </w:style>
  <w:style w:type="character" w:customStyle="1" w:styleId="26">
    <w:name w:val="无间隔 Char"/>
    <w:basedOn w:val="14"/>
    <w:link w:val="25"/>
    <w:qFormat/>
    <w:locked/>
    <w:uiPriority w:val="99"/>
    <w:rPr>
      <w:rFonts w:ascii="Cambria" w:hAnsi="Cambria" w:eastAsia="黑体" w:cs="Times New Roman"/>
      <w:sz w:val="22"/>
      <w:szCs w:val="22"/>
      <w:lang w:val="en-US" w:eastAsia="zh-CN" w:bidi="ar-SA"/>
    </w:rPr>
  </w:style>
  <w:style w:type="character" w:customStyle="1" w:styleId="27">
    <w:name w:val="Style1"/>
    <w:basedOn w:val="14"/>
    <w:qFormat/>
    <w:uiPriority w:val="99"/>
    <w:rPr>
      <w:rFonts w:ascii="Cambria" w:hAnsi="黑体" w:eastAsia="黑体" w:cs="Times New Roman"/>
      <w:sz w:val="22"/>
      <w:szCs w:val="22"/>
      <w:lang w:eastAsia="zh-CN"/>
    </w:rPr>
  </w:style>
  <w:style w:type="character" w:customStyle="1" w:styleId="28">
    <w:name w:val="Style2"/>
    <w:basedOn w:val="14"/>
    <w:qFormat/>
    <w:uiPriority w:val="99"/>
    <w:rPr>
      <w:rFonts w:ascii="Cambria" w:hAnsi="黑体" w:eastAsia="黑体" w:cs="Times New Roman"/>
      <w:sz w:val="22"/>
      <w:szCs w:val="22"/>
      <w:lang w:eastAsia="zh-CN"/>
    </w:rPr>
  </w:style>
  <w:style w:type="character" w:customStyle="1" w:styleId="29">
    <w:name w:val="Style3"/>
    <w:basedOn w:val="14"/>
    <w:qFormat/>
    <w:uiPriority w:val="99"/>
    <w:rPr>
      <w:rFonts w:ascii="Cambria" w:hAnsi="黑体" w:eastAsia="黑体" w:cs="Times New Roman"/>
      <w:sz w:val="22"/>
      <w:szCs w:val="22"/>
      <w:lang w:eastAsia="zh-CN"/>
    </w:rPr>
  </w:style>
  <w:style w:type="character" w:customStyle="1" w:styleId="30">
    <w:name w:val="Style4"/>
    <w:basedOn w:val="14"/>
    <w:qFormat/>
    <w:uiPriority w:val="99"/>
    <w:rPr>
      <w:rFonts w:ascii="Cambria" w:hAnsi="黑体" w:eastAsia="黑体" w:cs="Times New Roman"/>
      <w:sz w:val="22"/>
      <w:szCs w:val="22"/>
      <w:lang w:eastAsia="zh-CN"/>
    </w:rPr>
  </w:style>
  <w:style w:type="character" w:customStyle="1" w:styleId="31">
    <w:name w:val="Style5"/>
    <w:basedOn w:val="14"/>
    <w:qFormat/>
    <w:uiPriority w:val="99"/>
    <w:rPr>
      <w:rFonts w:ascii="Cambria" w:hAnsi="黑体" w:eastAsia="黑体" w:cs="Times New Roman"/>
      <w:sz w:val="22"/>
      <w:szCs w:val="22"/>
      <w:lang w:eastAsia="zh-CN"/>
    </w:rPr>
  </w:style>
  <w:style w:type="paragraph" w:customStyle="1" w:styleId="32">
    <w:name w:val="列出段落1"/>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1.xml"/><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4.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chart" Target="charts/chart3.xml"/><Relationship Id="rId11" Type="http://schemas.openxmlformats.org/officeDocument/2006/relationships/chart" Target="charts/chart2.xml"/><Relationship Id="rId10" Type="http://schemas.openxmlformats.org/officeDocument/2006/relationships/image" Target="media/image3.png"/><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Documents%20and%20Settings\Administrator\&#26700;&#38754;\2019&#21508;&#31181;&#36164;&#26009;\&#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dministrator\&#26700;&#38754;\2019&#21508;&#31181;&#36164;&#26009;\&#37096;&#38376;&#20915;&#31639;&#20844;&#24320;&#21046;&#22270;&#27169;&#26495;&#65288;&#20462;&#25913;&#29256;&#65289;(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dministrator\&#26700;&#38754;\2019&#21508;&#31181;&#36164;&#26009;\&#37096;&#38376;&#20915;&#31639;&#20844;&#24320;&#21046;&#22270;&#27169;&#26495;&#65288;&#20462;&#25913;&#29256;&#65289;(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dministrator\&#26700;&#38754;\&#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8"/>
        </c:manualLayout>
      </c:layout>
      <c:pieChart>
        <c:varyColors val="1"/>
        <c:ser>
          <c:idx val="0"/>
          <c:order val="0"/>
          <c:explosion val="0"/>
          <c:dPt>
            <c:idx val="0"/>
            <c:bubble3D val="0"/>
          </c:dPt>
          <c:dPt>
            <c:idx val="1"/>
            <c:bubble3D val="0"/>
          </c:dPt>
          <c:dPt>
            <c:idx val="2"/>
            <c:bubble3D val="0"/>
          </c:dPt>
          <c:dPt>
            <c:idx val="3"/>
            <c:bubble3D val="0"/>
          </c:dPt>
          <c:dLbls>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'[部门决算公开制图模板（修改版）(1).xlsx]收入情况说明'!$C$9:$C$12</c:f>
              <c:strCache>
                <c:ptCount val="4"/>
                <c:pt idx="0">
                  <c:v>财政拨款收入</c:v>
                </c:pt>
                <c:pt idx="1">
                  <c:v>事业收入</c:v>
                </c:pt>
                <c:pt idx="2">
                  <c:v>经营收入</c:v>
                </c:pt>
                <c:pt idx="3">
                  <c:v>其他收入</c:v>
                </c:pt>
              </c:strCache>
            </c:strRef>
          </c:cat>
          <c:val>
            <c:numRef>
              <c:f>'[部门决算公开制图模板（修改版）(1).xlsx]收入情况说明'!$D$9:$D$12</c:f>
              <c:numCache>
                <c:formatCode>General</c:formatCode>
                <c:ptCount val="4"/>
                <c:pt idx="0">
                  <c:v>684.11</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684.11</c:v>
                </c:pt>
                <c:pt idx="1">
                  <c:v>688.21</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741.11</c:v>
                </c:pt>
                <c:pt idx="1">
                  <c:v>737.29</c:v>
                </c:pt>
              </c:numCache>
            </c:numRef>
          </c:val>
        </c:ser>
        <c:dLbls>
          <c:showLegendKey val="0"/>
          <c:showVal val="1"/>
          <c:showCatName val="0"/>
          <c:showSerName val="0"/>
          <c:showPercent val="0"/>
          <c:showBubbleSize val="0"/>
        </c:dLbls>
        <c:gapWidth val="75"/>
        <c:axId val="236054400"/>
        <c:axId val="236055936"/>
      </c:barChart>
      <c:catAx>
        <c:axId val="23605440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36055936"/>
        <c:crosses val="autoZero"/>
        <c:auto val="1"/>
        <c:lblAlgn val="ctr"/>
        <c:lblOffset val="100"/>
        <c:noMultiLvlLbl val="0"/>
      </c:catAx>
      <c:valAx>
        <c:axId val="23605593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36054400"/>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19"/>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'[部门决算公开制图模板（修改版）(1).xlsx]收支与决算对比'!$A$5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'[部门决算公开制图模板（修改版）(1).xlsx]收支与决算对比'!$B$5:$C$5</c:f>
              <c:numCache>
                <c:formatCode>General</c:formatCode>
                <c:ptCount val="2"/>
                <c:pt idx="0">
                  <c:v>684.11</c:v>
                </c:pt>
                <c:pt idx="1">
                  <c:v>688.21</c:v>
                </c:pt>
              </c:numCache>
            </c:numRef>
          </c:val>
        </c:ser>
        <c:ser>
          <c:idx val="1"/>
          <c:order val="1"/>
          <c:tx>
            <c:strRef>
              <c:f>'[部门决算公开制图模板（修改版）(1).xlsx]收支与决算对比'!$A$6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'[部门决算公开制图模板（修改版）(1).xlsx]收支与决算对比'!$B$4:$C$4</c:f>
              <c:strCache>
                <c:ptCount val="2"/>
                <c:pt idx="0">
                  <c:v>财政拨款收入</c:v>
                </c:pt>
                <c:pt idx="1">
                  <c:v>财政拨款支出</c:v>
                </c:pt>
              </c:strCache>
            </c:strRef>
          </c:cat>
          <c:val>
            <c:numRef>
              <c:f>'[部门决算公开制图模板（修改版）(1).xlsx]收支与决算对比'!$B$6:$C$6</c:f>
              <c:numCache>
                <c:formatCode>General</c:formatCode>
                <c:ptCount val="2"/>
                <c:pt idx="0">
                  <c:v>741.11</c:v>
                </c:pt>
                <c:pt idx="1">
                  <c:v>737.29</c:v>
                </c:pt>
              </c:numCache>
            </c:numRef>
          </c:val>
        </c:ser>
        <c:dLbls>
          <c:showLegendKey val="0"/>
          <c:showVal val="1"/>
          <c:showCatName val="0"/>
          <c:showSerName val="0"/>
          <c:showPercent val="0"/>
          <c:showBubbleSize val="0"/>
        </c:dLbls>
        <c:gapWidth val="75"/>
        <c:axId val="242921472"/>
        <c:axId val="243538560"/>
      </c:barChart>
      <c:catAx>
        <c:axId val="242921472"/>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43538560"/>
        <c:crosses val="autoZero"/>
        <c:auto val="1"/>
        <c:lblAlgn val="ctr"/>
        <c:lblOffset val="100"/>
        <c:noMultiLvlLbl val="0"/>
      </c:catAx>
      <c:valAx>
        <c:axId val="243538560"/>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42921472"/>
        <c:crosses val="autoZero"/>
        <c:crossBetween val="between"/>
      </c:valAx>
    </c:plotArea>
    <c:legend>
      <c:legendPos val="b"/>
      <c:layout>
        <c:manualLayout>
          <c:xMode val="edge"/>
          <c:yMode val="edge"/>
          <c:x val="0.426340551181102"/>
          <c:y val="0.756835299740887"/>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rgbClr val="000000"/>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1"/>
        </c:manualLayout>
      </c:layout>
      <c:overlay val="0"/>
    </c:title>
    <c:autoTitleDeleted val="0"/>
    <c:plotArea>
      <c:layout>
        <c:manualLayout>
          <c:layoutTarget val="inner"/>
          <c:xMode val="edge"/>
          <c:yMode val="edge"/>
          <c:x val="0.100155074365704"/>
          <c:y val="0.0231156048675734"/>
          <c:w val="0.869289370078741"/>
          <c:h val="0.768818002863279"/>
        </c:manualLayout>
      </c:layout>
      <c:barChart>
        <c:barDir val="col"/>
        <c:grouping val="clustered"/>
        <c:varyColors val="0"/>
        <c:ser>
          <c:idx val="0"/>
          <c:order val="0"/>
          <c:tx>
            <c:strRef>
              <c:f>'[部门决算公开制图模板（修改版）(1).xlsx]收支与预算对比'!$A$5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'[部门决算公开制图模板（修改版）(1).xlsx]收支与预算对比'!$B$5:$C$5</c:f>
              <c:numCache>
                <c:formatCode>General</c:formatCode>
                <c:ptCount val="2"/>
                <c:pt idx="0">
                  <c:v>745.07</c:v>
                </c:pt>
                <c:pt idx="1">
                  <c:v>745.07</c:v>
                </c:pt>
              </c:numCache>
            </c:numRef>
          </c:val>
        </c:ser>
        <c:ser>
          <c:idx val="1"/>
          <c:order val="1"/>
          <c:tx>
            <c:strRef>
              <c:f>'[部门决算公开制图模板（修改版）(1).xlsx]收支与预算对比'!$A$6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'[部门决算公开制图模板（修改版）(1).xlsx]收支与预算对比'!$B$4:$C$4</c:f>
              <c:strCache>
                <c:ptCount val="2"/>
                <c:pt idx="0">
                  <c:v>财政拨款收入</c:v>
                </c:pt>
                <c:pt idx="1">
                  <c:v>财政拨款支出</c:v>
                </c:pt>
              </c:strCache>
            </c:strRef>
          </c:cat>
          <c:val>
            <c:numRef>
              <c:f>'[部门决算公开制图模板（修改版）(1).xlsx]收支与预算对比'!$B$6:$C$6</c:f>
              <c:numCache>
                <c:formatCode>General</c:formatCode>
                <c:ptCount val="2"/>
                <c:pt idx="0">
                  <c:v>684.11</c:v>
                </c:pt>
                <c:pt idx="1">
                  <c:v>688.21</c:v>
                </c:pt>
              </c:numCache>
            </c:numRef>
          </c:val>
        </c:ser>
        <c:dLbls>
          <c:showLegendKey val="0"/>
          <c:showVal val="1"/>
          <c:showCatName val="0"/>
          <c:showSerName val="0"/>
          <c:showPercent val="0"/>
          <c:showBubbleSize val="0"/>
        </c:dLbls>
        <c:gapWidth val="75"/>
        <c:axId val="244304128"/>
        <c:axId val="248037376"/>
      </c:barChart>
      <c:catAx>
        <c:axId val="24430412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48037376"/>
        <c:crosses val="autoZero"/>
        <c:auto val="1"/>
        <c:lblAlgn val="ctr"/>
        <c:lblOffset val="100"/>
        <c:noMultiLvlLbl val="0"/>
      </c:catAx>
      <c:valAx>
        <c:axId val="2480373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crossAx val="244304128"/>
        <c:crosses val="autoZero"/>
        <c:crossBetween val="between"/>
      </c:valAx>
    </c:plotArea>
    <c:legend>
      <c:legendPos val="b"/>
      <c:layout>
        <c:manualLayout>
          <c:xMode val="edge"/>
          <c:yMode val="edge"/>
          <c:x val="0.346718285214349"/>
          <c:y val="0.848750340633651"/>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rgbClr val="000000"/>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rgbClr val="000000"/>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35555555555556"/>
          <c:y val="0.899259966579136"/>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layout>
                <c:manualLayout>
                  <c:x val="0.0116666666666667"/>
                  <c:y val="-0.147290522797804"/>
                </c:manualLayout>
              </c:layout>
              <c:dLblPos val="bestFit"/>
              <c:showLegendKey val="0"/>
              <c:showVal val="0"/>
              <c:showCatName val="1"/>
              <c:showSerName val="0"/>
              <c:showPercent val="1"/>
              <c:showBubbleSize val="0"/>
              <c:extLst>
                <c:ext xmlns:c15="http://schemas.microsoft.com/office/drawing/2012/chart" uri="{CE6537A1-D6FC-4f65-9D91-7224C49458BB}">
                  <c15:layout/>
                </c:ext>
              </c:extLst>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rgbClr val="000000"/>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0">
                  <c:v>664.44</c:v>
                </c:pt>
                <c:pt idx="5">
                  <c:v>23.76</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rgbClr val="FFFFFF"/>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31</Pages>
  <Words>1663</Words>
  <Characters>9482</Characters>
  <Lines>79</Lines>
  <Paragraphs>22</Paragraphs>
  <TotalTime>8</TotalTime>
  <ScaleCrop>false</ScaleCrop>
  <LinksUpToDate>false</LinksUpToDate>
  <CharactersWithSpaces>11123</CharactersWithSpaces>
  <Application>WPS Office_11.8.2.12012_F1E327BC-269C-435d-A152-05C5408002CA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2019-08-28T16:40:00Z</dcterms:created>
  <dc:creator>User</dc:creator>
  <cp:lastModifiedBy>caizhengju</cp:lastModifiedBy>
  <cp:lastPrinted>2019-08-02T09:01:00Z</cp:lastPrinted>
  <dcterms:modified xsi:type="dcterms:W3CDTF">2024-01-03T13:58:28Z</dcterms:modified>
  <dc:subject>石家庄市xxx部门</dc:subject>
  <dc:title>2017年度部门决算</dc:title>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2052-11.8.2.12012</vt:lpwstr>
  </property>
  <property fmtid="{D5CDD505-2E9C-101B-9397-08002B2CF9AE}" pid="3" name="ICV">
    <vt:lpwstr>DC22F5C9D555C37284F794659FAF7471</vt:lpwstr>
  </property>
</Properties>
</file>