
<file path=[Content_Types].xml><?xml version="1.0" encoding="utf-8"?>
<Types xmlns="http://schemas.openxmlformats.org/package/2006/content-types">
  <Default Extension="xml" ContentType="application/xml"/>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jc w:val="center"/>
        <w:rPr>
          <w:rFonts w:ascii="黑体" w:hAnsi="黑体" w:eastAsia="黑体"/>
          <w:b/>
          <w:sz w:val="72"/>
          <w:szCs w:val="72"/>
        </w:rPr>
      </w:pPr>
      <w:bookmarkStart w:id="0" w:name="_GoBack"/>
      <w:bookmarkEnd w:id="0"/>
      <w:r>
        <w:rPr>
          <w:rFonts w:ascii="黑体" w:hAnsi="宋体" w:eastAsia="黑体"/>
          <w:color w:val="002060"/>
          <w:sz w:val="72"/>
          <w:szCs w:val="72"/>
        </w:rPr>
        <w:drawing>
          <wp:anchor distT="0" distB="0" distL="114300" distR="114300" simplePos="0" relativeHeight="251660288" behindDoc="1" locked="0" layoutInCell="1" allowOverlap="1">
            <wp:simplePos x="0" y="0"/>
            <wp:positionH relativeFrom="column">
              <wp:posOffset>-998855</wp:posOffset>
            </wp:positionH>
            <wp:positionV relativeFrom="paragraph">
              <wp:posOffset>-1353820</wp:posOffset>
            </wp:positionV>
            <wp:extent cx="7576820" cy="10796905"/>
            <wp:effectExtent l="0" t="0" r="5080" b="4445"/>
            <wp:wrapNone/>
            <wp:docPr id="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7"/>
                    <pic:cNvPicPr>
                      <a:picLocks noChangeAspect="1"/>
                    </pic:cNvPicPr>
                  </pic:nvPicPr>
                  <pic:blipFill>
                    <a:blip r:embed="rId6"/>
                    <a:stretch>
                      <a:fillRect/>
                    </a:stretch>
                  </pic:blipFill>
                  <pic:spPr>
                    <a:xfrm>
                      <a:off x="0" y="0"/>
                      <a:ext cx="7576820" cy="10796905"/>
                    </a:xfrm>
                    <a:prstGeom prst="rect">
                      <a:avLst/>
                    </a:prstGeom>
                    <a:noFill/>
                    <a:ln>
                      <a:noFill/>
                    </a:ln>
                  </pic:spPr>
                </pic:pic>
              </a:graphicData>
            </a:graphic>
          </wp:anchor>
        </w:drawing>
      </w:r>
    </w:p>
    <w:p>
      <w:pPr>
        <w:widowControl/>
        <w:spacing w:line="240" w:lineRule="auto"/>
        <w:jc w:val="center"/>
        <w:rPr>
          <w:rFonts w:ascii="黑体" w:hAnsi="宋体" w:eastAsia="黑体"/>
          <w:color w:val="002060"/>
          <w:sz w:val="72"/>
          <w:szCs w:val="72"/>
        </w:rPr>
      </w:pPr>
      <w:r>
        <w:rPr>
          <w:sz w:val="72"/>
        </w:rPr>
        <mc:AlternateContent>
          <mc:Choice Requires="wps">
            <w:drawing>
              <wp:anchor distT="0" distB="0" distL="114300" distR="114300" simplePos="0" relativeHeight="251659264" behindDoc="0" locked="0" layoutInCell="1" allowOverlap="1">
                <wp:simplePos x="0" y="0"/>
                <wp:positionH relativeFrom="column">
                  <wp:posOffset>-1053465</wp:posOffset>
                </wp:positionH>
                <wp:positionV relativeFrom="paragraph">
                  <wp:posOffset>549275</wp:posOffset>
                </wp:positionV>
                <wp:extent cx="7571740" cy="2111375"/>
                <wp:effectExtent l="0" t="0" r="0" b="0"/>
                <wp:wrapNone/>
                <wp:docPr id="1" name="文本框 2"/>
                <wp:cNvGraphicFramePr/>
                <a:graphic xmlns:a="http://schemas.openxmlformats.org/drawingml/2006/main">
                  <a:graphicData uri="http://schemas.microsoft.com/office/word/2010/wordprocessingShape">
                    <wps:wsp>
                      <wps:cNvSpPr txBox="1"/>
                      <wps:spPr>
                        <a:xfrm>
                          <a:off x="0" y="0"/>
                          <a:ext cx="7571740" cy="2111375"/>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无极县人民政府办公室</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wps:txbx>
                      <wps:bodyPr upright="1"/>
                    </wps:wsp>
                  </a:graphicData>
                </a:graphic>
              </wp:anchor>
            </w:drawing>
          </mc:Choice>
          <mc:Fallback>
            <w:pict>
              <v:shape id="文本框 2" o:spid="_x0000_s1026" o:spt="202" type="#_x0000_t202" style="position:absolute;left:0pt;margin-left:-82.95pt;margin-top:43.25pt;height:166.25pt;width:596.2pt;z-index:251659264;mso-width-relative:page;mso-height-relative:page;" filled="f" stroked="f" coordsize="21600,21600" o:gfxdata="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BYAAABkcnMv&#10;UEsBAhQAFAAAAAgAh07iQLPDL23YAAAADAEAAA8AAAAAAAAAAQAgAAAAOAAAAGRycy9kb3ducmV2&#10;LnhtbFBLAQIUABQAAAAIAIdO4kAgpIwyrQEAAE8DAAAOAAAAAAAAAAEAIAAAAD0BAABkcnMvZTJv&#10;RG9jLnhtbFBLBQYAAAAABgAGAFkBAABc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无极县人民政府办公室</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shape>
            </w:pict>
          </mc:Fallback>
        </mc:AlternateContent>
      </w:r>
    </w:p>
    <w:p>
      <w:pPr>
        <w:widowControl/>
        <w:spacing w:line="240" w:lineRule="auto"/>
        <w:jc w:val="center"/>
        <w:rPr>
          <w:rFonts w:ascii="黑体" w:hAnsi="黑体" w:eastAsia="黑体"/>
          <w:b/>
          <w:sz w:val="72"/>
          <w:szCs w:val="72"/>
        </w:rPr>
      </w:pPr>
    </w:p>
    <w:p>
      <w:pPr>
        <w:widowControl/>
        <w:spacing w:line="240" w:lineRule="auto"/>
        <w:jc w:val="center"/>
        <w:rPr>
          <w:rFonts w:ascii="黑体" w:hAnsi="黑体" w:eastAsia="黑体"/>
          <w:b/>
          <w:sz w:val="72"/>
          <w:szCs w:val="72"/>
        </w:rPr>
      </w:pPr>
    </w:p>
    <w:p>
      <w:pPr>
        <w:widowControl/>
        <w:spacing w:line="240" w:lineRule="auto"/>
        <w:jc w:val="center"/>
        <w:rPr>
          <w:rFonts w:ascii="黑体" w:hAnsi="黑体" w:eastAsia="黑体"/>
          <w:b/>
          <w:sz w:val="72"/>
          <w:szCs w:val="72"/>
        </w:rPr>
      </w:pPr>
    </w:p>
    <w:p>
      <w:pPr>
        <w:widowControl/>
        <w:spacing w:line="240" w:lineRule="auto"/>
        <w:jc w:val="center"/>
        <w:rPr>
          <w:rFonts w:ascii="黑体" w:hAnsi="黑体" w:eastAsia="黑体"/>
          <w:b/>
          <w:sz w:val="72"/>
          <w:szCs w:val="72"/>
        </w:rPr>
      </w:pPr>
    </w:p>
    <w:p>
      <w:pPr>
        <w:widowControl/>
        <w:spacing w:line="240" w:lineRule="auto"/>
        <w:jc w:val="center"/>
        <w:rPr>
          <w:rFonts w:ascii="黑体" w:hAnsi="黑体" w:eastAsia="黑体"/>
          <w:b/>
          <w:sz w:val="72"/>
          <w:szCs w:val="72"/>
        </w:rPr>
      </w:pPr>
    </w:p>
    <w:p>
      <w:pPr>
        <w:widowControl/>
        <w:spacing w:line="240" w:lineRule="auto"/>
        <w:jc w:val="center"/>
        <w:rPr>
          <w:rFonts w:ascii="黑体" w:hAnsi="黑体" w:eastAsia="黑体"/>
          <w:b/>
          <w:sz w:val="72"/>
          <w:szCs w:val="72"/>
        </w:rPr>
      </w:pPr>
    </w:p>
    <w:p>
      <w:pPr>
        <w:widowControl/>
        <w:spacing w:line="240" w:lineRule="auto"/>
        <w:jc w:val="center"/>
        <w:rPr>
          <w:rFonts w:ascii="黑体" w:hAnsi="黑体" w:eastAsia="黑体"/>
          <w:b/>
          <w:sz w:val="72"/>
          <w:szCs w:val="72"/>
        </w:rPr>
      </w:pPr>
    </w:p>
    <w:p>
      <w:pPr>
        <w:widowControl/>
        <w:spacing w:line="240" w:lineRule="auto"/>
        <w:jc w:val="center"/>
        <w:rPr>
          <w:rFonts w:ascii="黑体" w:hAnsi="黑体" w:eastAsia="黑体"/>
          <w:b/>
          <w:sz w:val="72"/>
          <w:szCs w:val="72"/>
        </w:rPr>
      </w:pPr>
    </w:p>
    <w:p>
      <w:pPr>
        <w:widowControl/>
        <w:spacing w:line="240" w:lineRule="auto"/>
        <w:jc w:val="center"/>
        <w:rPr>
          <w:rFonts w:ascii="楷体" w:hAnsi="楷体" w:eastAsia="楷体" w:cs="楷体"/>
          <w:b/>
          <w:sz w:val="40"/>
          <w:szCs w:val="40"/>
        </w:rPr>
      </w:pPr>
    </w:p>
    <w:p>
      <w:pPr>
        <w:widowControl/>
        <w:spacing w:line="240" w:lineRule="auto"/>
        <w:jc w:val="cente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240" w:lineRule="auto"/>
        <w:jc w:val="center"/>
        <w:rPr>
          <w:rFonts w:ascii="黑体" w:eastAsia="黑体"/>
          <w:sz w:val="48"/>
          <w:szCs w:val="48"/>
        </w:rPr>
      </w:pPr>
      <w:r>
        <w:rPr>
          <w:rFonts w:hint="eastAsia" w:ascii="黑体" w:eastAsia="黑体"/>
          <w:sz w:val="48"/>
          <w:szCs w:val="48"/>
        </w:rPr>
        <w:t>目    录</w:t>
      </w:r>
    </w:p>
    <w:p>
      <w:pPr>
        <w:widowControl/>
        <w:spacing w:line="240" w:lineRule="auto"/>
        <w:ind w:firstLine="640" w:firstLineChars="200"/>
        <w:rPr>
          <w:rFonts w:eastAsia="黑体"/>
          <w:sz w:val="32"/>
          <w:szCs w:val="32"/>
        </w:rPr>
      </w:pPr>
    </w:p>
    <w:p>
      <w:pPr>
        <w:widowControl/>
        <w:spacing w:line="240" w:lineRule="auto"/>
        <w:ind w:firstLine="640" w:firstLineChars="200"/>
        <w:rPr>
          <w:rFonts w:eastAsia="仿宋_GB2312"/>
          <w:sz w:val="24"/>
          <w:szCs w:val="32"/>
        </w:rPr>
      </w:pPr>
      <w:r>
        <w:rPr>
          <w:rFonts w:eastAsia="黑体"/>
          <w:sz w:val="32"/>
          <w:szCs w:val="32"/>
        </w:rPr>
        <w:t>第一部分部门概况</w:t>
      </w:r>
    </w:p>
    <w:p>
      <w:pPr>
        <w:widowControl/>
        <w:spacing w:line="240" w:lineRule="auto"/>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240" w:lineRule="auto"/>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240" w:lineRule="auto"/>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240" w:lineRule="auto"/>
        <w:ind w:left="640" w:firstLine="640" w:firstLineChars="200"/>
        <w:rPr>
          <w:rFonts w:eastAsia="仿宋_GB2312"/>
          <w:sz w:val="32"/>
          <w:szCs w:val="32"/>
        </w:rPr>
      </w:pPr>
      <w:r>
        <w:rPr>
          <w:rFonts w:eastAsia="仿宋_GB2312"/>
          <w:sz w:val="32"/>
          <w:szCs w:val="32"/>
        </w:rPr>
        <w:t>一、收入支出决算总表</w:t>
      </w:r>
    </w:p>
    <w:p>
      <w:pPr>
        <w:widowControl/>
        <w:spacing w:line="240" w:lineRule="auto"/>
        <w:ind w:left="640" w:firstLine="640" w:firstLineChars="200"/>
        <w:rPr>
          <w:rFonts w:eastAsia="仿宋_GB2312"/>
          <w:sz w:val="32"/>
          <w:szCs w:val="32"/>
        </w:rPr>
      </w:pPr>
      <w:r>
        <w:rPr>
          <w:rFonts w:eastAsia="仿宋_GB2312"/>
          <w:sz w:val="32"/>
          <w:szCs w:val="32"/>
        </w:rPr>
        <w:t>二、收入决算表</w:t>
      </w:r>
    </w:p>
    <w:p>
      <w:pPr>
        <w:widowControl/>
        <w:spacing w:line="240" w:lineRule="auto"/>
        <w:ind w:left="640" w:firstLine="640" w:firstLineChars="200"/>
        <w:rPr>
          <w:rFonts w:eastAsia="仿宋_GB2312"/>
          <w:sz w:val="32"/>
          <w:szCs w:val="32"/>
        </w:rPr>
      </w:pPr>
      <w:r>
        <w:rPr>
          <w:rFonts w:eastAsia="仿宋_GB2312"/>
          <w:sz w:val="32"/>
          <w:szCs w:val="32"/>
        </w:rPr>
        <w:t>三、支出决算表</w:t>
      </w:r>
    </w:p>
    <w:p>
      <w:pPr>
        <w:widowControl/>
        <w:spacing w:line="240" w:lineRule="auto"/>
        <w:ind w:left="640" w:firstLine="640" w:firstLineChars="200"/>
        <w:rPr>
          <w:rFonts w:eastAsia="仿宋_GB2312"/>
          <w:sz w:val="32"/>
          <w:szCs w:val="32"/>
        </w:rPr>
      </w:pPr>
      <w:r>
        <w:rPr>
          <w:rFonts w:eastAsia="仿宋_GB2312"/>
          <w:sz w:val="32"/>
          <w:szCs w:val="32"/>
        </w:rPr>
        <w:t>四、财政拨款收入支出决算总表</w:t>
      </w:r>
    </w:p>
    <w:p>
      <w:pPr>
        <w:widowControl/>
        <w:spacing w:line="240" w:lineRule="auto"/>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240" w:lineRule="auto"/>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240" w:lineRule="auto"/>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240" w:lineRule="auto"/>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240" w:lineRule="auto"/>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240" w:lineRule="auto"/>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240" w:lineRule="auto"/>
        <w:ind w:firstLine="640" w:firstLineChars="200"/>
        <w:rPr>
          <w:rFonts w:eastAsia="黑体"/>
          <w:sz w:val="32"/>
          <w:szCs w:val="32"/>
        </w:rPr>
      </w:pPr>
    </w:p>
    <w:p>
      <w:pPr>
        <w:widowControl/>
        <w:spacing w:line="240" w:lineRule="auto"/>
        <w:ind w:firstLine="640" w:firstLineChars="200"/>
        <w:rPr>
          <w:rFonts w:eastAsia="黑体"/>
          <w:sz w:val="32"/>
          <w:szCs w:val="32"/>
        </w:rPr>
      </w:pPr>
      <w:r>
        <w:rPr>
          <w:rFonts w:eastAsia="黑体"/>
          <w:sz w:val="32"/>
          <w:szCs w:val="32"/>
        </w:rPr>
        <w:t xml:space="preserve">第三部分 </w:t>
      </w:r>
      <w:r>
        <w:rPr>
          <w:rFonts w:hint="eastAsia" w:eastAsia="黑体"/>
          <w:sz w:val="32"/>
          <w:szCs w:val="32"/>
        </w:rPr>
        <w:t>政府办</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240" w:lineRule="auto"/>
        <w:ind w:left="640" w:firstLine="640" w:firstLineChars="200"/>
        <w:rPr>
          <w:rFonts w:eastAsia="仿宋_GB2312"/>
          <w:sz w:val="32"/>
          <w:szCs w:val="32"/>
        </w:rPr>
      </w:pPr>
      <w:r>
        <w:rPr>
          <w:rFonts w:eastAsia="仿宋_GB2312"/>
          <w:sz w:val="32"/>
          <w:szCs w:val="32"/>
        </w:rPr>
        <w:t>一、收入支出决算总体情况说明</w:t>
      </w:r>
    </w:p>
    <w:p>
      <w:pPr>
        <w:widowControl/>
        <w:spacing w:line="240" w:lineRule="auto"/>
        <w:ind w:left="640" w:firstLine="640" w:firstLineChars="200"/>
        <w:rPr>
          <w:rFonts w:eastAsia="仿宋_GB2312"/>
          <w:sz w:val="32"/>
          <w:szCs w:val="32"/>
        </w:rPr>
      </w:pPr>
      <w:r>
        <w:rPr>
          <w:rFonts w:eastAsia="仿宋_GB2312"/>
          <w:sz w:val="32"/>
          <w:szCs w:val="32"/>
        </w:rPr>
        <w:t>二、收入决算情况说明</w:t>
      </w:r>
    </w:p>
    <w:p>
      <w:pPr>
        <w:widowControl/>
        <w:spacing w:line="240" w:lineRule="auto"/>
        <w:ind w:left="640" w:firstLine="640" w:firstLineChars="200"/>
        <w:rPr>
          <w:rFonts w:eastAsia="仿宋_GB2312"/>
          <w:sz w:val="32"/>
          <w:szCs w:val="32"/>
        </w:rPr>
      </w:pPr>
      <w:r>
        <w:rPr>
          <w:rFonts w:eastAsia="仿宋_GB2312"/>
          <w:sz w:val="32"/>
          <w:szCs w:val="32"/>
        </w:rPr>
        <w:t>三、支出决算情况说明</w:t>
      </w:r>
    </w:p>
    <w:p>
      <w:pPr>
        <w:widowControl/>
        <w:spacing w:line="240" w:lineRule="auto"/>
        <w:ind w:left="640" w:firstLine="640" w:firstLineChars="200"/>
        <w:rPr>
          <w:rFonts w:eastAsia="仿宋_GB2312"/>
          <w:sz w:val="32"/>
          <w:szCs w:val="32"/>
        </w:rPr>
      </w:pPr>
      <w:r>
        <w:rPr>
          <w:rFonts w:eastAsia="仿宋_GB2312"/>
          <w:sz w:val="32"/>
          <w:szCs w:val="32"/>
        </w:rPr>
        <w:t>四、财政拨款收入支出决算情况说明</w:t>
      </w:r>
    </w:p>
    <w:p>
      <w:pPr>
        <w:widowControl/>
        <w:spacing w:line="240" w:lineRule="auto"/>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240" w:lineRule="auto"/>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240" w:lineRule="auto"/>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240" w:lineRule="auto"/>
        <w:ind w:firstLine="640" w:firstLineChars="200"/>
        <w:rPr>
          <w:rFonts w:eastAsia="黑体"/>
          <w:sz w:val="32"/>
          <w:szCs w:val="32"/>
        </w:rPr>
      </w:pPr>
      <w:r>
        <w:rPr>
          <w:rFonts w:eastAsia="黑体"/>
          <w:sz w:val="32"/>
          <w:szCs w:val="32"/>
        </w:rPr>
        <w:t>第四部分名词解释</w:t>
      </w:r>
    </w:p>
    <w:p>
      <w:pPr>
        <w:widowControl/>
        <w:spacing w:line="240" w:lineRule="auto"/>
        <w:ind w:firstLine="640" w:firstLineChars="200"/>
        <w:rPr>
          <w:rFonts w:eastAsia="黑体"/>
          <w:sz w:val="32"/>
          <w:szCs w:val="32"/>
        </w:rPr>
      </w:pPr>
    </w:p>
    <w:p>
      <w:pPr>
        <w:widowControl/>
        <w:spacing w:line="240" w:lineRule="auto"/>
        <w:ind w:firstLine="640" w:firstLineChars="200"/>
        <w:rPr>
          <w:rFonts w:eastAsia="黑体"/>
          <w:sz w:val="32"/>
          <w:szCs w:val="32"/>
        </w:rPr>
      </w:pPr>
    </w:p>
    <w:p>
      <w:pPr>
        <w:widowControl/>
        <w:spacing w:line="240" w:lineRule="auto"/>
        <w:ind w:firstLine="640" w:firstLineChars="200"/>
        <w:rPr>
          <w:rFonts w:eastAsia="黑体"/>
          <w:sz w:val="32"/>
          <w:szCs w:val="32"/>
        </w:rPr>
      </w:pPr>
    </w:p>
    <w:p>
      <w:pPr>
        <w:widowControl/>
        <w:spacing w:line="240" w:lineRule="auto"/>
        <w:ind w:firstLine="640" w:firstLineChars="200"/>
        <w:rPr>
          <w:rFonts w:eastAsia="黑体"/>
          <w:sz w:val="32"/>
          <w:szCs w:val="32"/>
        </w:rPr>
      </w:pPr>
    </w:p>
    <w:p>
      <w:pPr>
        <w:spacing w:line="240" w:lineRule="auto"/>
      </w:pPr>
      <w:r>
        <w:br w:type="page"/>
      </w:r>
    </w:p>
    <w:p>
      <w:pPr>
        <w:spacing w:line="240" w:lineRule="auto"/>
      </w:pPr>
      <w:r>
        <w:rPr>
          <w:rFonts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-1023620</wp:posOffset>
            </wp:positionH>
            <wp:positionV relativeFrom="paragraph">
              <wp:posOffset>-1350645</wp:posOffset>
            </wp:positionV>
            <wp:extent cx="7585710" cy="10727055"/>
            <wp:effectExtent l="0" t="0" r="15240" b="17145"/>
            <wp:wrapNone/>
            <wp:docPr id="7"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2"/>
                    <pic:cNvPicPr>
                      <a:picLocks noChangeAspect="1"/>
                    </pic:cNvPicPr>
                  </pic:nvPicPr>
                  <pic:blipFill>
                    <a:blip r:embed="rId7"/>
                    <a:stretch>
                      <a:fillRect/>
                    </a:stretch>
                  </pic:blipFill>
                  <pic:spPr>
                    <a:xfrm>
                      <a:off x="0" y="0"/>
                      <a:ext cx="7585710" cy="10727055"/>
                    </a:xfrm>
                    <a:prstGeom prst="rect">
                      <a:avLst/>
                    </a:prstGeom>
                    <a:noFill/>
                    <a:ln>
                      <a:noFill/>
                    </a:ln>
                  </pic:spPr>
                </pic:pic>
              </a:graphicData>
            </a:graphic>
          </wp:anchor>
        </w:drawing>
      </w:r>
      <w:r>
        <w:rPr>
          <w:sz w:val="72"/>
        </w:rPr>
        <mc:AlternateContent>
          <mc:Choice Requires="wps">
            <w:drawing>
              <wp:anchor distT="0" distB="0" distL="114300" distR="114300" simplePos="0" relativeHeight="251659264" behindDoc="0" locked="0" layoutInCell="1" allowOverlap="1">
                <wp:simplePos x="0" y="0"/>
                <wp:positionH relativeFrom="column">
                  <wp:posOffset>-1233805</wp:posOffset>
                </wp:positionH>
                <wp:positionV relativeFrom="paragraph">
                  <wp:posOffset>3290570</wp:posOffset>
                </wp:positionV>
                <wp:extent cx="7793355" cy="1037590"/>
                <wp:effectExtent l="0" t="0" r="0" b="0"/>
                <wp:wrapNone/>
                <wp:docPr id="2" name="文本框 11"/>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a:noFill/>
                        </a:ln>
                      </wps:spPr>
                      <wps:txbx>
                        <w:txbxContent>
                          <w:p>
                            <w:pPr>
                              <w:widowControl/>
                              <w:jc w:val="center"/>
                              <w:rPr>
                                <w:color w:val="FDEFBE"/>
                                <w:sz w:val="96"/>
                                <w:szCs w:val="96"/>
                              </w:rPr>
                            </w:pPr>
                            <w:r>
                              <w:rPr>
                                <w:rFonts w:hint="eastAsia" w:ascii="黑体" w:hAnsi="宋体" w:eastAsia="黑体"/>
                                <w:color w:val="FDEFBE"/>
                                <w:sz w:val="96"/>
                                <w:szCs w:val="96"/>
                              </w:rPr>
                              <w:t>第一部分  部门概况</w:t>
                            </w:r>
                          </w:p>
                        </w:txbxContent>
                      </wps:txbx>
                      <wps:bodyPr upright="1"/>
                    </wps:wsp>
                  </a:graphicData>
                </a:graphic>
              </wp:anchor>
            </w:drawing>
          </mc:Choice>
          <mc:Fallback>
            <w:pict>
              <v:shape id="文本框 11" o:spid="_x0000_s1026" o:spt="202" type="#_x0000_t202" style="position:absolute;left:0pt;margin-left:-97.15pt;margin-top:259.1pt;height:81.7pt;width:613.65pt;z-index:251659264;mso-width-relative:page;mso-height-relative:page;" filled="f" stroked="f" coordsize="21600,21600" o:gfxdata="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FgAA&#10;AGRycy9QSwECFAAUAAAACACHTuJAOqRkbdoAAAANAQAADwAAAAAAAAABACAAAAA4AAAAZHJzL2Rv&#10;d25yZXYueG1sUEsBAhQAFAAAAAgAh07iQJqIQDCwAQAAUAMAAA4AAAAAAAAAAQAgAAAAPwEAAGRy&#10;cy9lMm9Eb2MueG1sUEsFBgAAAAAGAAYAWQEAAGEFAAAAAA==&#10;">
                <v:fill on="f" focussize="0,0"/>
                <v:stroke on="f"/>
                <v:imagedata o:title=""/>
                <o:lock v:ext="edit" aspectratio="f"/>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shape>
            </w:pict>
          </mc:Fallback>
        </mc:AlternateContent>
      </w: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spacing w:line="240" w:lineRule="auto"/>
      </w:pPr>
    </w:p>
    <w:p>
      <w:pPr>
        <w:pStyle w:val="2"/>
        <w:spacing w:before="0" w:after="0" w:line="240" w:lineRule="auto"/>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autoSpaceDE w:val="0"/>
        <w:autoSpaceDN w:val="0"/>
        <w:adjustRightInd w:val="0"/>
        <w:spacing w:after="0" w:line="560" w:lineRule="exact"/>
        <w:ind w:firstLine="640" w:firstLineChars="200"/>
        <w:jc w:val="left"/>
        <w:rPr>
          <w:rFonts w:ascii="仿宋" w:hAnsi="仿宋" w:eastAsia="仿宋" w:cs="ArialUnicodeMS"/>
          <w:kern w:val="0"/>
          <w:sz w:val="32"/>
          <w:szCs w:val="32"/>
        </w:rPr>
      </w:pPr>
      <w:r>
        <w:rPr>
          <w:rFonts w:hint="eastAsia" w:ascii="仿宋" w:hAnsi="仿宋" w:eastAsia="仿宋" w:cs="ArialUnicodeMS"/>
          <w:kern w:val="0"/>
          <w:sz w:val="32"/>
          <w:szCs w:val="32"/>
        </w:rPr>
        <w:t>1、党委工作职责：（1）保证党的路线、方针、政策的坚决贯彻执行。（2）保证监督职能。（3）教育和管理职能。（4）服从和服务于经济建设的职能。（5）负责抓好本单位党建工作、群团工作、精神文明建设工作、新闻宣传工作。（6）完成县委、县政府交给的其他工作任务。</w:t>
      </w:r>
    </w:p>
    <w:p>
      <w:pPr>
        <w:autoSpaceDE w:val="0"/>
        <w:autoSpaceDN w:val="0"/>
        <w:adjustRightInd w:val="0"/>
        <w:spacing w:after="0" w:line="560" w:lineRule="exact"/>
        <w:ind w:firstLine="640" w:firstLineChars="200"/>
        <w:jc w:val="left"/>
        <w:rPr>
          <w:rFonts w:ascii="仿宋" w:hAnsi="仿宋" w:eastAsia="仿宋" w:cs="ArialUnicodeMS"/>
          <w:kern w:val="0"/>
          <w:sz w:val="32"/>
          <w:szCs w:val="32"/>
        </w:rPr>
      </w:pPr>
      <w:r>
        <w:rPr>
          <w:rFonts w:hint="eastAsia" w:ascii="仿宋" w:hAnsi="仿宋" w:eastAsia="仿宋" w:cs="ArialUnicodeMS"/>
          <w:kern w:val="0"/>
          <w:sz w:val="32"/>
          <w:szCs w:val="32"/>
        </w:rPr>
        <w:t>2、政府职能：（1）制定和组织实施经济、科技和社会发展计划，制定资源开发技术改造和产业结构调整方案，组织指导好各业生产，搞好商品流通，协调好本乡与外地区的经济交流与合作，抓好招商引资，人才引进项目开发，不断培育市场体系，组织经济运行，促进经济发展。（2）制定并组织实施村乡建设规划，部署重点工程建设，地方道路建设及公共设施，水利设施的管理，负责土地、林木、水等自然资源和生态环境的保护，做好护林防火工作。（3）负责本行政区域内的民政、计划生育、文化教育、卫生、体育等社会公益事业的综合性工作，维护一切经济单位和个人的正当经济权益，取缔非法经济活动，调解和处理民事纠纷，打击刑事犯罪维护社会稳定。（4）按计划组织本级财政收入和地方税的征收，完成国家财政计划，不断培植税源，管好财政资金，增强财政实力。（5）抓好精神文明建设，丰富群众文化生活，提倡移风易俗，反对封建迷信，破除陈规陋习，树立社会主义新风尚。（6）完成上级政府交办的其它事项。</w:t>
      </w:r>
    </w:p>
    <w:p>
      <w:pPr>
        <w:pStyle w:val="2"/>
        <w:spacing w:before="0" w:after="0" w:line="240" w:lineRule="auto"/>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240" w:lineRule="auto"/>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 1个，具体情况如下：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085"/>
        <w:gridCol w:w="18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240" w:lineRule="auto"/>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4085" w:type="dxa"/>
            <w:vAlign w:val="center"/>
          </w:tcPr>
          <w:p>
            <w:pPr>
              <w:spacing w:after="0" w:line="240" w:lineRule="auto"/>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1845" w:type="dxa"/>
            <w:vAlign w:val="center"/>
          </w:tcPr>
          <w:p>
            <w:pPr>
              <w:spacing w:after="0" w:line="240" w:lineRule="auto"/>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240" w:lineRule="auto"/>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240" w:lineRule="auto"/>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4085" w:type="dxa"/>
          </w:tcPr>
          <w:p>
            <w:pPr>
              <w:spacing w:after="0" w:line="240" w:lineRule="auto"/>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无极县人民政府办公室(本级)</w:t>
            </w:r>
          </w:p>
        </w:tc>
        <w:tc>
          <w:tcPr>
            <w:tcW w:w="1845" w:type="dxa"/>
          </w:tcPr>
          <w:p>
            <w:pPr>
              <w:spacing w:after="0" w:line="240" w:lineRule="auto"/>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240" w:lineRule="auto"/>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240" w:lineRule="auto"/>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2</w:t>
            </w:r>
          </w:p>
        </w:tc>
        <w:tc>
          <w:tcPr>
            <w:tcW w:w="4085" w:type="dxa"/>
          </w:tcPr>
          <w:p>
            <w:pPr>
              <w:spacing w:after="0" w:line="240" w:lineRule="auto"/>
              <w:rPr>
                <w:rFonts w:ascii="仿宋_GB2312" w:hAnsi="Cambria" w:eastAsia="仿宋_GB2312" w:cs="ArialUnicodeMS"/>
                <w:kern w:val="0"/>
                <w:sz w:val="28"/>
                <w:szCs w:val="28"/>
              </w:rPr>
            </w:pPr>
          </w:p>
        </w:tc>
        <w:tc>
          <w:tcPr>
            <w:tcW w:w="1845" w:type="dxa"/>
          </w:tcPr>
          <w:p>
            <w:pPr>
              <w:spacing w:after="0" w:line="240" w:lineRule="auto"/>
              <w:jc w:val="center"/>
              <w:rPr>
                <w:rFonts w:ascii="仿宋_GB2312" w:hAnsi="Cambria" w:eastAsia="仿宋_GB2312" w:cs="ArialUnicodeMS"/>
                <w:kern w:val="0"/>
                <w:sz w:val="28"/>
                <w:szCs w:val="28"/>
              </w:rPr>
            </w:pPr>
          </w:p>
        </w:tc>
        <w:tc>
          <w:tcPr>
            <w:tcW w:w="2665" w:type="dxa"/>
          </w:tcPr>
          <w:p>
            <w:pPr>
              <w:spacing w:after="0" w:line="240" w:lineRule="auto"/>
              <w:jc w:val="center"/>
              <w:rPr>
                <w:rFonts w:ascii="仿宋_GB2312" w:hAnsi="Cambria"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240" w:lineRule="auto"/>
              <w:ind w:firstLine="560" w:firstLineChars="200"/>
              <w:jc w:val="left"/>
              <w:rPr>
                <w:rFonts w:ascii="仿宋_GB2312" w:hAnsi="Cambria" w:eastAsia="仿宋_GB2312" w:cs="ArialUnicodeMS"/>
                <w:kern w:val="0"/>
                <w:sz w:val="28"/>
                <w:szCs w:val="28"/>
              </w:rPr>
            </w:pPr>
          </w:p>
        </w:tc>
      </w:tr>
    </w:tbl>
    <w:p>
      <w:pPr>
        <w:spacing w:after="0" w:line="240" w:lineRule="auto"/>
        <w:rPr>
          <w:rFonts w:ascii="仿宋_GB2312" w:hAnsi="Cambria" w:eastAsia="仿宋_GB2312" w:cs="ArialUnicodeMS"/>
          <w:kern w:val="0"/>
          <w:sz w:val="32"/>
          <w:szCs w:val="32"/>
        </w:rPr>
      </w:pPr>
    </w:p>
    <w:p>
      <w:pPr>
        <w:widowControl/>
        <w:spacing w:line="240" w:lineRule="auto"/>
        <w:jc w:val="center"/>
        <w:rPr>
          <w:rFonts w:ascii="黑体" w:hAnsi="Cambria" w:eastAsia="黑体" w:cs="MS-UIGothic,Bold"/>
          <w:bCs/>
          <w:kern w:val="0"/>
          <w:sz w:val="52"/>
          <w:szCs w:val="52"/>
        </w:rPr>
      </w:pPr>
    </w:p>
    <w:p>
      <w:pPr>
        <w:widowControl/>
        <w:spacing w:line="240" w:lineRule="auto"/>
        <w:jc w:val="center"/>
        <w:rPr>
          <w:rFonts w:ascii="黑体" w:hAnsi="Cambria" w:eastAsia="黑体" w:cs="MS-UIGothic,Bold"/>
          <w:bCs/>
          <w:kern w:val="0"/>
          <w:sz w:val="52"/>
          <w:szCs w:val="52"/>
        </w:rPr>
      </w:pPr>
    </w:p>
    <w:p>
      <w:pPr>
        <w:widowControl/>
        <w:spacing w:line="240" w:lineRule="auto"/>
        <w:jc w:val="center"/>
        <w:sectPr>
          <w:pgSz w:w="11906" w:h="16838"/>
          <w:pgMar w:top="2098" w:right="1474" w:bottom="1984" w:left="1588" w:header="851" w:footer="992" w:gutter="0"/>
          <w:cols w:space="720" w:num="1"/>
          <w:docGrid w:type="lines" w:linePitch="312" w:charSpace="0"/>
        </w:sectPr>
      </w:pPr>
    </w:p>
    <w:p>
      <w:pPr>
        <w:widowControl/>
        <w:spacing w:line="240" w:lineRule="auto"/>
        <w:jc w:val="center"/>
        <w:rPr>
          <w:rFonts w:ascii="黑体" w:hAnsi="Cambria" w:eastAsia="黑体" w:cs="MS-UIGothic,Bold"/>
          <w:bCs/>
          <w:kern w:val="0"/>
          <w:sz w:val="52"/>
          <w:szCs w:val="52"/>
        </w:rPr>
      </w:pPr>
      <w:r>
        <w:rPr>
          <w:rFonts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-1022350</wp:posOffset>
            </wp:positionH>
            <wp:positionV relativeFrom="paragraph">
              <wp:posOffset>-1325880</wp:posOffset>
            </wp:positionV>
            <wp:extent cx="7571105" cy="10680065"/>
            <wp:effectExtent l="0" t="0" r="10795" b="6985"/>
            <wp:wrapNone/>
            <wp:docPr id="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pic:cNvPicPr>
                      <a:picLocks noChangeAspect="1"/>
                    </pic:cNvPicPr>
                  </pic:nvPicPr>
                  <pic:blipFill>
                    <a:blip r:embed="rId7"/>
                    <a:stretch>
                      <a:fillRect/>
                    </a:stretch>
                  </pic:blipFill>
                  <pic:spPr>
                    <a:xfrm>
                      <a:off x="0" y="0"/>
                      <a:ext cx="7571105" cy="10680065"/>
                    </a:xfrm>
                    <a:prstGeom prst="rect">
                      <a:avLst/>
                    </a:prstGeom>
                    <a:noFill/>
                    <a:ln>
                      <a:noFill/>
                    </a:ln>
                  </pic:spPr>
                </pic:pic>
              </a:graphicData>
            </a:graphic>
          </wp:anchor>
        </w:drawing>
      </w:r>
    </w:p>
    <w:p>
      <w:pPr>
        <w:widowControl/>
        <w:spacing w:line="240" w:lineRule="auto"/>
        <w:jc w:val="center"/>
        <w:rPr>
          <w:rFonts w:ascii="黑体" w:hAnsi="Cambria" w:eastAsia="黑体" w:cs="MS-UIGothic,Bold"/>
          <w:bCs/>
          <w:kern w:val="0"/>
          <w:sz w:val="52"/>
          <w:szCs w:val="52"/>
        </w:rPr>
      </w:pPr>
    </w:p>
    <w:p>
      <w:pPr>
        <w:spacing w:line="240" w:lineRule="auto"/>
        <w:rPr>
          <w:rFonts w:ascii="宋体" w:hAnsi="宋体" w:cs="ArialUnicodeMS"/>
          <w:color w:val="000000"/>
          <w:kern w:val="0"/>
        </w:rPr>
      </w:pPr>
    </w:p>
    <w:p>
      <w:pPr>
        <w:spacing w:line="240" w:lineRule="auto"/>
        <w:sectPr>
          <w:pgSz w:w="11906" w:h="16838"/>
          <w:pgMar w:top="2098" w:right="1474" w:bottom="1984" w:left="1588" w:header="851" w:footer="992" w:gutter="0"/>
          <w:cols w:space="720" w:num="1"/>
          <w:docGrid w:type="lines" w:linePitch="312" w:charSpace="0"/>
        </w:sectPr>
      </w:pPr>
      <w:r>
        <w:rPr>
          <w:sz w:val="72"/>
        </w:rPr>
        <mc:AlternateContent>
          <mc:Choice Requires="wps">
            <w:drawing>
              <wp:anchor distT="0" distB="0" distL="114300" distR="114300" simplePos="0" relativeHeight="251659264" behindDoc="0" locked="0" layoutInCell="1" allowOverlap="1">
                <wp:simplePos x="0" y="0"/>
                <wp:positionH relativeFrom="column">
                  <wp:posOffset>-940435</wp:posOffset>
                </wp:positionH>
                <wp:positionV relativeFrom="paragraph">
                  <wp:posOffset>1527810</wp:posOffset>
                </wp:positionV>
                <wp:extent cx="7571740" cy="2020570"/>
                <wp:effectExtent l="0" t="0" r="0" b="0"/>
                <wp:wrapNone/>
                <wp:docPr id="3" name="文本框 4"/>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wps:txbx>
                      <wps:bodyPr upright="1"/>
                    </wps:wsp>
                  </a:graphicData>
                </a:graphic>
              </wp:anchor>
            </w:drawing>
          </mc:Choice>
          <mc:Fallback>
            <w:pict>
              <v:shape id="文本框 4" o:spid="_x0000_s1026" o:spt="202" type="#_x0000_t202" style="position:absolute;left:0pt;margin-left:-74.05pt;margin-top:120.3pt;height:159.1pt;width:596.2pt;z-index:251659264;mso-width-relative:page;mso-height-relative:page;" filled="f" stroked="f" coordsize="21600,21600" o:gfxdata="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BYAAABk&#10;cnMvUEsBAhQAFAAAAAgAh07iQIxoSnHZAAAADQEAAA8AAAAAAAAAAQAgAAAAOAAAAGRycy9kb3du&#10;cmV2LnhtbFBLAQIUABQAAAAIAIdO4kB5/Q+xrwEAAE8DAAAOAAAAAAAAAAEAIAAAAD4BAABkcnMv&#10;ZTJvRG9jLnhtbFBLBQYAAAAABgAGAFkBAABf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shape>
            </w:pict>
          </mc:Fallback>
        </mc:AlternateConten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部门：无极县人民政府办公室</w:t>
            </w:r>
          </w:p>
        </w:tc>
        <w:tc>
          <w:tcPr>
            <w:tcW w:w="567" w:type="dxa"/>
            <w:tcBorders>
              <w:top w:val="nil"/>
              <w:left w:val="nil"/>
              <w:bottom w:val="nil"/>
              <w:right w:val="nil"/>
            </w:tcBorders>
            <w:tcMar>
              <w:top w:w="15" w:type="dxa"/>
              <w:left w:w="15" w:type="dxa"/>
              <w:right w:w="15" w:type="dxa"/>
            </w:tcMar>
            <w:vAlign w:val="center"/>
          </w:tcPr>
          <w:p>
            <w:pPr>
              <w:widowControl/>
              <w:spacing w:after="0" w:line="240" w:lineRule="auto"/>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auto"/>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auto"/>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auto"/>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721.37</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701.38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21.28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91.62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721.37</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814.28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92.91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814.28</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0"/>
                <w:szCs w:val="20"/>
              </w:rPr>
            </w:pPr>
            <w:r>
              <w:rPr>
                <w:rFonts w:hint="eastAsia" w:ascii="宋体" w:hAnsi="宋体" w:cs="宋体"/>
                <w:color w:val="000000"/>
                <w:sz w:val="20"/>
                <w:szCs w:val="20"/>
              </w:rPr>
              <w:t>814.28</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240" w:lineRule="auto"/>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335"/>
        <w:gridCol w:w="179"/>
        <w:gridCol w:w="520"/>
        <w:gridCol w:w="1354"/>
        <w:gridCol w:w="497"/>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spacing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35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4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部门：无极县人民政府办公室</w:t>
            </w:r>
          </w:p>
        </w:tc>
        <w:tc>
          <w:tcPr>
            <w:tcW w:w="2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88"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84"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54"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84"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8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84"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8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84"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sz w:val="18"/>
                <w:szCs w:val="18"/>
              </w:rPr>
            </w:pPr>
            <w:r>
              <w:rPr>
                <w:rFonts w:hint="eastAsia" w:ascii="宋体" w:hAnsi="宋体" w:cs="宋体"/>
                <w:b/>
                <w:sz w:val="18"/>
                <w:szCs w:val="18"/>
              </w:rPr>
              <w:t>721.37</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sz w:val="18"/>
                <w:szCs w:val="18"/>
              </w:rPr>
            </w:pPr>
            <w:r>
              <w:rPr>
                <w:rFonts w:hint="eastAsia" w:ascii="宋体" w:hAnsi="宋体" w:cs="宋体"/>
                <w:b/>
                <w:sz w:val="18"/>
                <w:szCs w:val="18"/>
              </w:rPr>
              <w:t>721.37</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一般公共服务支出</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659.62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659.62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政府办公厅（室）及相关机构事务</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659.62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659.62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2010301</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行政运行</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552.98</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552.98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2010302</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一般行政管理事务</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19.74</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19.74</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2010303</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机关服务</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32.26</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32.26</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2010305</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专项业务活动</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26.54</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26.54</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2010399</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28.10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28.10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社会保障和就业支出</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17.73</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17.73</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20805</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行政事业单位离退休</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17.73</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17.73</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2080505</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17.73</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17.73</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节能环保支出</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21101</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环境保护管理事务</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2110104</w:t>
            </w:r>
          </w:p>
        </w:tc>
        <w:tc>
          <w:tcPr>
            <w:tcW w:w="135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环境保护宣传</w:t>
            </w:r>
          </w:p>
        </w:tc>
        <w:tc>
          <w:tcPr>
            <w:tcW w:w="8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240" w:lineRule="auto"/>
        <w:jc w:val="left"/>
        <w:sectPr>
          <w:pgSz w:w="11906" w:h="16838"/>
          <w:pgMar w:top="2098" w:right="1474" w:bottom="1984" w:left="1588" w:header="851" w:footer="992" w:gutter="0"/>
          <w:cols w:space="720" w:num="1"/>
          <w:docGrid w:type="lines" w:linePitch="312" w:charSpace="0"/>
        </w:sectPr>
      </w:pPr>
    </w:p>
    <w:tbl>
      <w:tblPr>
        <w:tblStyle w:val="10"/>
        <w:tblW w:w="9000" w:type="dxa"/>
        <w:tblInd w:w="15" w:type="dxa"/>
        <w:tblLayout w:type="fixed"/>
        <w:tblCellMar>
          <w:top w:w="0" w:type="dxa"/>
          <w:left w:w="0" w:type="dxa"/>
          <w:bottom w:w="0" w:type="dxa"/>
          <w:right w:w="0" w:type="dxa"/>
        </w:tblCellMar>
      </w:tblPr>
      <w:tblGrid>
        <w:gridCol w:w="290"/>
        <w:gridCol w:w="289"/>
        <w:gridCol w:w="429"/>
        <w:gridCol w:w="374"/>
        <w:gridCol w:w="1117"/>
        <w:gridCol w:w="493"/>
        <w:gridCol w:w="154"/>
        <w:gridCol w:w="838"/>
        <w:gridCol w:w="280"/>
        <w:gridCol w:w="571"/>
        <w:gridCol w:w="549"/>
        <w:gridCol w:w="585"/>
        <w:gridCol w:w="53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7"/>
            <w:tcBorders>
              <w:top w:val="nil"/>
              <w:left w:val="nil"/>
              <w:bottom w:val="nil"/>
              <w:right w:val="nil"/>
            </w:tcBorders>
            <w:tcMar>
              <w:top w:w="15" w:type="dxa"/>
              <w:left w:w="15" w:type="dxa"/>
              <w:right w:w="15" w:type="dxa"/>
            </w:tcMar>
            <w:vAlign w:val="center"/>
          </w:tcPr>
          <w:p>
            <w:pPr>
              <w:widowControl/>
              <w:spacing w:after="0" w:line="240" w:lineRule="auto"/>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803"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647"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部门：无极县人民政府办公室</w:t>
            </w: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992"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92"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851"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3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86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61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92"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851"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13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86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99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99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r>
              <w:rPr>
                <w:rFonts w:hint="eastAsia" w:ascii="宋体" w:hAnsi="宋体" w:cs="宋体"/>
                <w:b/>
                <w:color w:val="000000"/>
                <w:szCs w:val="21"/>
              </w:rPr>
              <w:t>814.28</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r>
              <w:rPr>
                <w:rFonts w:hint="eastAsia" w:ascii="宋体" w:hAnsi="宋体" w:cs="宋体"/>
                <w:b/>
                <w:color w:val="000000"/>
                <w:szCs w:val="21"/>
              </w:rPr>
              <w:t>663.61</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r>
              <w:rPr>
                <w:rFonts w:hint="eastAsia" w:ascii="宋体" w:hAnsi="宋体" w:cs="宋体"/>
                <w:b/>
                <w:color w:val="000000"/>
                <w:szCs w:val="21"/>
              </w:rPr>
              <w:t>150.67</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4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一般公共服务支出</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701.38</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594.73</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106.65</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政府办公厅（室）及相关机构事务</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701.38</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594.73</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106.65</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2010301</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行政运行</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590.23</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590.23</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2010302</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一般行政管理事务</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19.74</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19.74</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2010303</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机关服务</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32.26</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32.26</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2010305</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专项业务活动</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26.54</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26.54</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2010399</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32.60</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4.5</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28.10</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社会保障和就业支出</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20805</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行政事业单位离退休</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2080505</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节能环保支出</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91.62</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21101</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环境保护管理事务</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2110104</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环境保护宣传</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21103</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污染防治</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0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21103011</w:t>
            </w:r>
          </w:p>
        </w:tc>
        <w:tc>
          <w:tcPr>
            <w:tcW w:w="198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大气</w:t>
            </w:r>
          </w:p>
        </w:tc>
        <w:tc>
          <w:tcPr>
            <w:tcW w:w="99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85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113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86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240" w:lineRule="auto"/>
        <w:ind w:firstLine="420" w:firstLineChars="200"/>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部门：无极县人民政府办公室</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721.37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701.38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701.38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0.00</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21.28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21.28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91.62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91.62</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721.37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814.28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814.28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92.91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92.91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0.00</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814.28</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814.28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r>
              <w:rPr>
                <w:rFonts w:hint="eastAsia" w:ascii="宋体" w:hAnsi="宋体" w:cs="宋体"/>
                <w:color w:val="000000"/>
                <w:sz w:val="18"/>
                <w:szCs w:val="18"/>
              </w:rPr>
              <w:t>814.28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240" w:lineRule="auto"/>
        <w:jc w:val="left"/>
        <w:sectPr>
          <w:pgSz w:w="11906" w:h="16838"/>
          <w:pgMar w:top="2098" w:right="1474" w:bottom="1984" w:left="1588" w:header="851" w:footer="992" w:gutter="0"/>
          <w:cols w:space="720" w:num="1"/>
          <w:docGrid w:type="lines" w:linePitch="312" w:charSpace="0"/>
        </w:sectPr>
      </w:pPr>
    </w:p>
    <w:tbl>
      <w:tblPr>
        <w:tblStyle w:val="10"/>
        <w:tblW w:w="8845" w:type="dxa"/>
        <w:tblInd w:w="15" w:type="dxa"/>
        <w:tblLayout w:type="fixed"/>
        <w:tblCellMar>
          <w:top w:w="0" w:type="dxa"/>
          <w:left w:w="0" w:type="dxa"/>
          <w:bottom w:w="0" w:type="dxa"/>
          <w:right w:w="0" w:type="dxa"/>
        </w:tblCellMar>
      </w:tblPr>
      <w:tblGrid>
        <w:gridCol w:w="302"/>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45"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0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32"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无极县人民政府办公室</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087"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78"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7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7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087"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087"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r>
              <w:rPr>
                <w:rFonts w:hint="eastAsia" w:ascii="宋体" w:hAnsi="宋体" w:cs="宋体"/>
                <w:b/>
                <w:color w:val="000000"/>
                <w:szCs w:val="21"/>
              </w:rPr>
              <w:t>814.28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r>
              <w:rPr>
                <w:rFonts w:hint="eastAsia" w:ascii="宋体" w:hAnsi="宋体" w:cs="宋体"/>
                <w:b/>
                <w:color w:val="000000"/>
                <w:szCs w:val="21"/>
              </w:rPr>
              <w:t>663.61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b/>
                <w:color w:val="000000"/>
                <w:szCs w:val="21"/>
              </w:rPr>
            </w:pPr>
            <w:r>
              <w:rPr>
                <w:rFonts w:hint="eastAsia" w:ascii="宋体" w:hAnsi="宋体" w:cs="宋体"/>
                <w:b/>
                <w:color w:val="000000"/>
                <w:szCs w:val="21"/>
              </w:rPr>
              <w:t>150.67</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701.38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594.73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148.11</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701.38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594.73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148.11</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590.23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590.23</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0</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19.74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19.74</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2010303</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机关服务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32.26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32.26</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专项业务活动</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26.54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26.54</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2010399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32.60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28.10</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21.28</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91.62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环境保护管理事务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2110104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环境保护宣传</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44.02</w:t>
            </w: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21103</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7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21103011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r>
              <w:rPr>
                <w:rFonts w:hint="eastAsia" w:ascii="宋体" w:hAnsi="宋体" w:cs="宋体"/>
                <w:color w:val="000000"/>
                <w:szCs w:val="21"/>
              </w:rPr>
              <w:t>47.60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Cs w:val="21"/>
              </w:rPr>
            </w:pPr>
          </w:p>
        </w:tc>
      </w:tr>
    </w:tbl>
    <w:p>
      <w:pPr>
        <w:widowControl/>
        <w:spacing w:after="0" w:line="240" w:lineRule="auto"/>
        <w:jc w:val="left"/>
        <w:sectPr>
          <w:pgSz w:w="11906" w:h="16838"/>
          <w:pgMar w:top="2098" w:right="1474" w:bottom="1984" w:left="1588" w:header="851" w:footer="992" w:gutter="0"/>
          <w:cols w:space="720" w:num="1"/>
          <w:docGrid w:type="lines" w:linePitch="312" w:charSpace="0"/>
        </w:sectPr>
      </w:pPr>
      <w:r>
        <w:rPr>
          <w:rFonts w:hint="eastAsia" w:ascii="宋体" w:hAnsi="宋体" w:cs="宋体"/>
          <w:color w:val="000000"/>
          <w:kern w:val="0"/>
          <w:szCs w:val="21"/>
        </w:rPr>
        <w:t xml:space="preserve">注：本表反映部门本年度一般公共预算财政拨款收入及支出情况。     </w:t>
      </w:r>
    </w:p>
    <w:tbl>
      <w:tblPr>
        <w:tblStyle w:val="10"/>
        <w:tblW w:w="9150" w:type="dxa"/>
        <w:jc w:val="center"/>
        <w:tblLayout w:type="fixed"/>
        <w:tblCellMar>
          <w:top w:w="0" w:type="dxa"/>
          <w:left w:w="0" w:type="dxa"/>
          <w:bottom w:w="0" w:type="dxa"/>
          <w:right w:w="0" w:type="dxa"/>
        </w:tblCellMar>
      </w:tblPr>
      <w:tblGrid>
        <w:gridCol w:w="558"/>
        <w:gridCol w:w="1597"/>
        <w:gridCol w:w="81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5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1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0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无极县人民政府办公室</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6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1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1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462.65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194.42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234.82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29.82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103.10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19.46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101.02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1.29</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1.29</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21.28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9.32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20.13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5.25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11.95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5.25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0.72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5.78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39.89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22.39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19.43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467.9</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195.71</w:t>
            </w:r>
          </w:p>
        </w:tc>
      </w:tr>
      <w:tr>
        <w:tblPrEx>
          <w:tblCellMar>
            <w:top w:w="0" w:type="dxa"/>
            <w:left w:w="0" w:type="dxa"/>
            <w:bottom w:w="0" w:type="dxa"/>
            <w:right w:w="0" w:type="dxa"/>
          </w:tblCellMar>
        </w:tblPrEx>
        <w:trPr>
          <w:trHeight w:val="277" w:hRule="atLeast"/>
          <w:jc w:val="center"/>
        </w:trPr>
        <w:tc>
          <w:tcPr>
            <w:tcW w:w="915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240" w:lineRule="auto"/>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部门：无极县人民政府办公室</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42</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40.61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39.89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39.89</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0.72</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240" w:lineRule="auto"/>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无极县人民政府办公室</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 本部门本年度无相关收入（或支出、收支及结转结余等）情况，按要求空表列示。</w:t>
            </w:r>
          </w:p>
        </w:tc>
      </w:tr>
    </w:tbl>
    <w:p>
      <w:pPr>
        <w:widowControl/>
        <w:spacing w:after="0" w:line="240" w:lineRule="auto"/>
        <w:jc w:val="left"/>
        <w:sectPr>
          <w:pgSz w:w="11906" w:h="16838"/>
          <w:pgMar w:top="2098" w:right="1474" w:bottom="1984" w:left="1588" w:header="851" w:footer="992" w:gutter="0"/>
          <w:cols w:space="720" w:num="1"/>
          <w:docGrid w:type="lines" w:linePitch="312" w:charSpace="0"/>
        </w:sectPr>
      </w:pPr>
    </w:p>
    <w:tbl>
      <w:tblPr>
        <w:tblStyle w:val="10"/>
        <w:tblW w:w="8800" w:type="dxa"/>
        <w:tblInd w:w="15"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无极县人民政府办公室</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本部门本年度无相关收入（或支出、收支及结转结余等）情况，按要求空表列示。</w:t>
            </w:r>
          </w:p>
        </w:tc>
      </w:tr>
    </w:tbl>
    <w:p>
      <w:pPr>
        <w:widowControl/>
        <w:spacing w:after="0" w:line="240" w:lineRule="auto"/>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无极县人民政府办公室</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   本部门本年度无相关收入（或支出、收支及结转结余等）情况，按要求空表列示。</w:t>
            </w:r>
          </w:p>
        </w:tc>
      </w:tr>
    </w:tbl>
    <w:p>
      <w:pPr>
        <w:widowControl/>
        <w:spacing w:after="0" w:line="240" w:lineRule="auto"/>
        <w:jc w:val="left"/>
        <w:rPr>
          <w:rFonts w:ascii="仿宋_GB2312" w:hAnsi="宋体" w:eastAsia="仿宋_GB2312"/>
          <w:b/>
          <w:sz w:val="28"/>
          <w:szCs w:val="28"/>
          <w:highlight w:val="yellow"/>
        </w:rPr>
      </w:pPr>
    </w:p>
    <w:p>
      <w:pPr>
        <w:spacing w:line="240" w:lineRule="auto"/>
      </w:pPr>
    </w:p>
    <w:p>
      <w:pPr>
        <w:spacing w:line="240" w:lineRule="auto"/>
      </w:pPr>
    </w:p>
    <w:p>
      <w:pPr>
        <w:spacing w:line="240" w:lineRule="auto"/>
      </w:pPr>
    </w:p>
    <w:p>
      <w:pPr>
        <w:spacing w:line="240" w:lineRule="auto"/>
      </w:pPr>
    </w:p>
    <w:p>
      <w:pPr>
        <w:tabs>
          <w:tab w:val="left" w:pos="1086"/>
        </w:tabs>
        <w:spacing w:line="240" w:lineRule="auto"/>
        <w:jc w:val="left"/>
        <w:sectPr>
          <w:pgSz w:w="11906" w:h="16838"/>
          <w:pgMar w:top="2098" w:right="1474" w:bottom="1984" w:left="1588" w:header="851" w:footer="992" w:gutter="0"/>
          <w:cols w:space="720" w:num="1"/>
          <w:docGrid w:type="lines" w:linePitch="312" w:charSpace="0"/>
        </w:sectPr>
      </w:pPr>
      <w:r>
        <w:rPr>
          <w:rFonts w:hint="eastAsia"/>
        </w:rPr>
        <w:tab/>
      </w:r>
    </w:p>
    <w:p>
      <w:pPr>
        <w:spacing w:line="240" w:lineRule="auto"/>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-1007745</wp:posOffset>
            </wp:positionH>
            <wp:positionV relativeFrom="paragraph">
              <wp:posOffset>-1336675</wp:posOffset>
            </wp:positionV>
            <wp:extent cx="7550150" cy="10680065"/>
            <wp:effectExtent l="0" t="0" r="12700" b="6985"/>
            <wp:wrapNone/>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59264" behindDoc="0" locked="0" layoutInCell="1" allowOverlap="1">
                <wp:simplePos x="0" y="0"/>
                <wp:positionH relativeFrom="column">
                  <wp:posOffset>-997585</wp:posOffset>
                </wp:positionH>
                <wp:positionV relativeFrom="paragraph">
                  <wp:posOffset>2956560</wp:posOffset>
                </wp:positionV>
                <wp:extent cx="7571740" cy="2020570"/>
                <wp:effectExtent l="0" t="0" r="0" b="0"/>
                <wp:wrapNone/>
                <wp:docPr id="4" name="文本框 6"/>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wps:txbx>
                      <wps:bodyPr upright="1"/>
                    </wps:wsp>
                  </a:graphicData>
                </a:graphic>
              </wp:anchor>
            </w:drawing>
          </mc:Choice>
          <mc:Fallback>
            <w:pict>
              <v:shape id="文本框 6" o:spid="_x0000_s1026" o:spt="202" type="#_x0000_t202" style="position:absolute;left:0pt;margin-left:-78.55pt;margin-top:232.8pt;height:159.1pt;width:596.2pt;z-index:251659264;mso-width-relative:page;mso-height-relative:page;" filled="f" stroked="f" coordsize="21600,21600" o:gfxdata="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BYAAABk&#10;cnMvUEsBAhQAFAAAAAgAh07iQBtl6S3aAAAADQEAAA8AAAAAAAAAAQAgAAAAOAAAAGRycy9kb3du&#10;cmV2LnhtbFBLAQIUABQAAAAIAIdO4kDY30urrgEAAE8DAAAOAAAAAAAAAAEAIAAAAD8BAABkcnMv&#10;ZTJvRG9jLnhtbFBLBQYAAAAABgAGAFkBAABf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mc:Fallback>
        </mc:AlternateContent>
      </w:r>
    </w:p>
    <w:p>
      <w:pPr>
        <w:pStyle w:val="3"/>
        <w:spacing w:before="0" w:after="0" w:line="240" w:lineRule="auto"/>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rPr>
        <w:t>支出</w:t>
      </w:r>
      <w:r>
        <w:rPr>
          <w:rFonts w:hint="eastAsia" w:ascii="黑体" w:eastAsia="黑体"/>
          <w:b w:val="0"/>
          <w:bCs w:val="0"/>
        </w:rPr>
        <w:t>决算总体情况说明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本部门2018年度收支总计（含结转和结余）814.28万元。与2017年度决算相比，收支各增加12.13万元，增长1.49%，主要原因是项目支出增加。</w:t>
      </w:r>
    </w:p>
    <w:p>
      <w:pPr>
        <w:pStyle w:val="3"/>
        <w:spacing w:before="0" w:after="0" w:line="240" w:lineRule="auto"/>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本部门2018年度本年收入合计721.37万元，其中：财政拨款收入721.37万元，占100%。如图所示：</w:t>
      </w: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920" w:firstLineChars="600"/>
        <w:rPr>
          <w:rFonts w:ascii="仿宋_GB2312" w:eastAsia="仿宋_GB2312" w:cs="DengXian-Regular"/>
          <w:sz w:val="32"/>
          <w:szCs w:val="32"/>
        </w:rPr>
      </w:pPr>
      <w:r>
        <w:rPr>
          <w:rFonts w:ascii="仿宋_GB2312" w:eastAsia="仿宋_GB2312" w:cs="DengXian-Regular"/>
          <w:sz w:val="32"/>
          <w:szCs w:val="32"/>
        </w:rPr>
        <w:drawing>
          <wp:inline distT="0" distB="0" distL="114300" distR="114300">
            <wp:extent cx="3306445" cy="1797050"/>
            <wp:effectExtent l="0" t="0" r="8255" b="12700"/>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8"/>
                    <a:stretch>
                      <a:fillRect/>
                    </a:stretch>
                  </pic:blipFill>
                  <pic:spPr>
                    <a:xfrm>
                      <a:off x="0" y="0"/>
                      <a:ext cx="3306445" cy="1797050"/>
                    </a:xfrm>
                    <a:prstGeom prst="rect">
                      <a:avLst/>
                    </a:prstGeom>
                    <a:noFill/>
                    <a:ln>
                      <a:noFill/>
                    </a:ln>
                  </pic:spPr>
                </pic:pic>
              </a:graphicData>
            </a:graphic>
          </wp:inline>
        </w:drawing>
      </w:r>
    </w:p>
    <w:p>
      <w:pPr>
        <w:pStyle w:val="3"/>
        <w:spacing w:before="0" w:after="0" w:line="240" w:lineRule="auto"/>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本部门2018年度本年支出合计814.28万元，其中：基本支出663.61万元，占81.5%；项目支出150.67万元，占18.5%。如图所示：</w:t>
      </w:r>
    </w:p>
    <w:p>
      <w:pPr>
        <w:adjustRightInd w:val="0"/>
        <w:snapToGrid w:val="0"/>
        <w:spacing w:after="0" w:line="240" w:lineRule="auto"/>
        <w:ind w:firstLine="1920" w:firstLineChars="600"/>
        <w:rPr>
          <w:rFonts w:ascii="仿宋_GB2312" w:eastAsia="仿宋_GB2312" w:cs="DengXian-Regular"/>
          <w:sz w:val="32"/>
          <w:szCs w:val="32"/>
        </w:rPr>
      </w:pPr>
      <w:r>
        <w:rPr>
          <w:rFonts w:ascii="仿宋_GB2312" w:eastAsia="仿宋_GB2312" w:cs="DengXian-Regular"/>
          <w:sz w:val="32"/>
          <w:szCs w:val="32"/>
        </w:rPr>
        <w:drawing>
          <wp:inline distT="0" distB="0" distL="114300" distR="114300">
            <wp:extent cx="3976370" cy="2190115"/>
            <wp:effectExtent l="0" t="0" r="5080" b="635"/>
            <wp:docPr id="1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
                    <pic:cNvPicPr>
                      <a:picLocks noChangeAspect="1"/>
                    </pic:cNvPicPr>
                  </pic:nvPicPr>
                  <pic:blipFill>
                    <a:blip r:embed="rId9"/>
                    <a:stretch>
                      <a:fillRect/>
                    </a:stretch>
                  </pic:blipFill>
                  <pic:spPr>
                    <a:xfrm>
                      <a:off x="0" y="0"/>
                      <a:ext cx="3976370" cy="2190115"/>
                    </a:xfrm>
                    <a:prstGeom prst="rect">
                      <a:avLst/>
                    </a:prstGeom>
                    <a:noFill/>
                    <a:ln>
                      <a:noFill/>
                    </a:ln>
                  </pic:spPr>
                </pic:pic>
              </a:graphicData>
            </a:graphic>
          </wp:inline>
        </w:drawing>
      </w:r>
    </w:p>
    <w:p>
      <w:pPr>
        <w:pStyle w:val="3"/>
        <w:spacing w:before="0" w:after="0" w:line="240" w:lineRule="auto"/>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rPr>
        <w:t>财政</w:t>
      </w:r>
      <w:r>
        <w:rPr>
          <w:rFonts w:hint="eastAsia" w:ascii="黑体" w:eastAsia="黑体"/>
          <w:b w:val="0"/>
          <w:bCs w:val="0"/>
        </w:rPr>
        <w:t>拨款收入支出决算情况说明</w:t>
      </w:r>
    </w:p>
    <w:p>
      <w:pPr>
        <w:spacing w:after="0" w:line="240" w:lineRule="auto"/>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721.37万元,比2017年度减少56.87万元，降低7.88%，主要是上年留有结余和人员经费减少；本年支出814.28万元，增加12.13万元，增长1.49%，主要是环境保护宣传项目支出增加。</w:t>
      </w:r>
    </w:p>
    <w:p>
      <w:pPr>
        <w:adjustRightInd w:val="0"/>
        <w:snapToGrid w:val="0"/>
        <w:spacing w:after="0" w:line="240" w:lineRule="auto"/>
        <w:ind w:firstLine="640" w:firstLineChars="200"/>
        <w:rPr>
          <w:rFonts w:ascii="仿宋_GB2312" w:eastAsia="仿宋_GB2312" w:cs="DengXian-Regular"/>
          <w:sz w:val="32"/>
          <w:szCs w:val="32"/>
        </w:rPr>
      </w:pPr>
      <w:r>
        <w:rPr>
          <w:rFonts w:ascii="仿宋_GB2312" w:eastAsia="仿宋_GB2312" w:cs="DengXian-Regular"/>
          <w:sz w:val="32"/>
          <w:szCs w:val="32"/>
        </w:rPr>
        <w:drawing>
          <wp:inline distT="0" distB="0" distL="114300" distR="114300">
            <wp:extent cx="3912870" cy="2424430"/>
            <wp:effectExtent l="0" t="0" r="11430" b="13970"/>
            <wp:docPr id="1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
                    <pic:cNvPicPr>
                      <a:picLocks noChangeAspect="1"/>
                    </pic:cNvPicPr>
                  </pic:nvPicPr>
                  <pic:blipFill>
                    <a:blip r:embed="rId10"/>
                    <a:stretch>
                      <a:fillRect/>
                    </a:stretch>
                  </pic:blipFill>
                  <pic:spPr>
                    <a:xfrm>
                      <a:off x="0" y="0"/>
                      <a:ext cx="3912870" cy="2424430"/>
                    </a:xfrm>
                    <a:prstGeom prst="rect">
                      <a:avLst/>
                    </a:prstGeom>
                    <a:noFill/>
                    <a:ln>
                      <a:noFill/>
                    </a:ln>
                  </pic:spPr>
                </pic:pic>
              </a:graphicData>
            </a:graphic>
          </wp:inline>
        </w:drawing>
      </w:r>
    </w:p>
    <w:p>
      <w:pPr>
        <w:spacing w:after="0" w:line="240" w:lineRule="auto"/>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721.37万元，完成年初预算的3%,比年初预算减少46.62万元，决算数小于预算数主要原因是人员经费减少；本年支出814.28万元，完成年初预算的125.79%,比年初预算增加166.96万元，决算数大于预算数主要原因是</w:t>
      </w:r>
      <w:r>
        <w:rPr>
          <w:rFonts w:hint="eastAsia" w:ascii="仿宋" w:hAnsi="仿宋" w:eastAsia="仿宋" w:cs="DengXian-Regular"/>
          <w:sz w:val="32"/>
          <w:szCs w:val="32"/>
        </w:rPr>
        <w:t>节能环保项目支出增加</w:t>
      </w:r>
      <w:r>
        <w:rPr>
          <w:rFonts w:hint="eastAsia" w:ascii="仿宋_GB2312" w:eastAsia="仿宋_GB2312" w:cs="DengXian-Regular"/>
          <w:sz w:val="32"/>
          <w:szCs w:val="32"/>
        </w:rPr>
        <w:t>。</w:t>
      </w:r>
    </w:p>
    <w:p>
      <w:pPr>
        <w:adjustRightInd w:val="0"/>
        <w:snapToGrid w:val="0"/>
        <w:spacing w:after="0" w:line="240" w:lineRule="auto"/>
        <w:ind w:firstLine="420" w:firstLineChars="200"/>
        <w:rPr>
          <w:rFonts w:ascii="仿宋_GB2312" w:eastAsia="仿宋_GB2312" w:cs="DengXian-Regular"/>
          <w:sz w:val="32"/>
          <w:szCs w:val="32"/>
          <w:highlight w:val="yellow"/>
        </w:rPr>
      </w:pPr>
      <w:r>
        <w:drawing>
          <wp:inline distT="0" distB="0" distL="114300" distR="114300">
            <wp:extent cx="4667885" cy="3604260"/>
            <wp:effectExtent l="0" t="0" r="18415" b="15240"/>
            <wp:docPr id="1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
                    <pic:cNvPicPr>
                      <a:picLocks noChangeAspect="1"/>
                    </pic:cNvPicPr>
                  </pic:nvPicPr>
                  <pic:blipFill>
                    <a:blip r:embed="rId11"/>
                    <a:stretch>
                      <a:fillRect/>
                    </a:stretch>
                  </pic:blipFill>
                  <pic:spPr>
                    <a:xfrm>
                      <a:off x="0" y="0"/>
                      <a:ext cx="4667885" cy="3604260"/>
                    </a:xfrm>
                    <a:prstGeom prst="rect">
                      <a:avLst/>
                    </a:prstGeom>
                    <a:noFill/>
                    <a:ln>
                      <a:noFill/>
                    </a:ln>
                  </pic:spPr>
                </pic:pic>
              </a:graphicData>
            </a:graphic>
          </wp:inline>
        </w:drawing>
      </w:r>
    </w:p>
    <w:p>
      <w:pPr>
        <w:numPr>
          <w:ilvl w:val="0"/>
          <w:numId w:val="1"/>
        </w:numPr>
        <w:adjustRightInd w:val="0"/>
        <w:snapToGrid w:val="0"/>
        <w:spacing w:after="0" w:line="240" w:lineRule="auto"/>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年度财政拨款支出814.28万元，主要用于以下方面：一般公共服务（类）支出701.38万元，占86.13%；社会保障和就业（类）支出 21.28万元，占2.61%；节能环保（类）支出91.62万元，占 11.25%。</w:t>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r>
        <w:rPr>
          <w:rFonts w:ascii="楷体_GB2312" w:eastAsia="楷体_GB2312" w:cs="DengXian-Bold"/>
          <w:b/>
          <w:bCs/>
          <w:sz w:val="32"/>
          <w:szCs w:val="32"/>
        </w:rPr>
        <w:drawing>
          <wp:inline distT="0" distB="0" distL="114300" distR="114300">
            <wp:extent cx="4582795" cy="3061970"/>
            <wp:effectExtent l="0" t="0" r="8255" b="5080"/>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12"/>
                    <a:stretch>
                      <a:fillRect/>
                    </a:stretch>
                  </pic:blipFill>
                  <pic:spPr>
                    <a:xfrm>
                      <a:off x="0" y="0"/>
                      <a:ext cx="4582795" cy="3061970"/>
                    </a:xfrm>
                    <a:prstGeom prst="rect">
                      <a:avLst/>
                    </a:prstGeom>
                    <a:noFill/>
                    <a:ln>
                      <a:noFill/>
                    </a:ln>
                  </pic:spPr>
                </pic:pic>
              </a:graphicData>
            </a:graphic>
          </wp:inline>
        </w:drawing>
      </w:r>
    </w:p>
    <w:p>
      <w:pPr>
        <w:adjustRightInd w:val="0"/>
        <w:snapToGrid w:val="0"/>
        <w:spacing w:after="0" w:line="240" w:lineRule="auto"/>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年度一般公共预算财政拨款基本支出663.61万元，其中：人员经费 467.9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195.71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240" w:lineRule="auto"/>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“三公”经费支出共计40.61万元，</w:t>
      </w:r>
      <w:r>
        <w:rPr>
          <w:rFonts w:hint="eastAsia" w:ascii="仿宋_GB2312" w:eastAsia="仿宋_GB2312" w:cs="DengXian-Regular"/>
          <w:b/>
          <w:bCs/>
          <w:sz w:val="32"/>
          <w:szCs w:val="32"/>
        </w:rPr>
        <w:t>较年初预算减少1.3万元，降低3.31%，</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240" w:lineRule="auto"/>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本部门2018年度因公出国（境）团组0个、共0人，与年初预算持平，无增减变化。</w:t>
      </w:r>
    </w:p>
    <w:p>
      <w:pPr>
        <w:adjustRightInd w:val="0"/>
        <w:snapToGrid w:val="0"/>
        <w:spacing w:after="0" w:line="240" w:lineRule="auto"/>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eastAsia="楷体_GB2312" w:cs="宋体"/>
          <w:b/>
          <w:bCs/>
          <w:sz w:val="32"/>
          <w:szCs w:val="32"/>
        </w:rPr>
        <w:t>39.89</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本部门2018年度公务用车购置及运行维护费较年初预算减少0.11万元，降低0.27%,主要是公务用车运行费。</w:t>
      </w:r>
      <w:r>
        <w:rPr>
          <w:rFonts w:hint="eastAsia" w:ascii="仿宋_GB2312" w:eastAsia="仿宋_GB2312" w:cs="DengXian-Bold"/>
          <w:b/>
          <w:bCs/>
          <w:sz w:val="32"/>
          <w:szCs w:val="32"/>
        </w:rPr>
        <w:t>其中：</w:t>
      </w:r>
    </w:p>
    <w:p>
      <w:pPr>
        <w:adjustRightInd w:val="0"/>
        <w:snapToGrid w:val="0"/>
        <w:spacing w:after="0" w:line="240" w:lineRule="auto"/>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本部门2018年度未发生“公务用车购置”经费支出，</w:t>
      </w:r>
      <w:r>
        <w:rPr>
          <w:rFonts w:hint="eastAsia" w:ascii="仿宋" w:hAnsi="仿宋" w:eastAsia="仿宋" w:cs="宋体"/>
          <w:sz w:val="32"/>
          <w:szCs w:val="32"/>
        </w:rPr>
        <w:t>与年初预算持平。</w:t>
      </w:r>
      <w:r>
        <w:rPr>
          <w:rFonts w:hint="eastAsia" w:ascii="仿宋_GB2312" w:eastAsia="仿宋_GB2312" w:cs="DengXian-Regular"/>
          <w:sz w:val="32"/>
          <w:szCs w:val="32"/>
        </w:rPr>
        <w:t>。</w:t>
      </w:r>
    </w:p>
    <w:p>
      <w:pPr>
        <w:adjustRightInd w:val="0"/>
        <w:snapToGrid w:val="0"/>
        <w:spacing w:after="0" w:line="240" w:lineRule="auto"/>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本部门2018年度单位公务用车保有量9辆。公车运行维护费39.89万元，支出较年初预算减少0.11万元，降低0.27%,主要是认真贯彻落实中央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240" w:lineRule="auto"/>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eastAsia="楷体_GB2312" w:cs="宋体"/>
          <w:b/>
          <w:bCs/>
          <w:sz w:val="32"/>
          <w:szCs w:val="32"/>
        </w:rPr>
        <w:t>0.72</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本部门2018年度公务接待共1批次、160人次。公务接待费支出较年初预算减少1.28万元，降低64%,主要是本单位严格执行公务接待政策对于不符合解释事宜本单位不予接待。</w:t>
      </w:r>
    </w:p>
    <w:p>
      <w:pPr>
        <w:pStyle w:val="3"/>
        <w:spacing w:before="0" w:after="0" w:line="240" w:lineRule="auto"/>
        <w:ind w:firstLine="643" w:firstLineChars="200"/>
        <w:rPr>
          <w:rFonts w:ascii="黑体" w:eastAsia="黑体"/>
        </w:rPr>
      </w:pPr>
      <w:r>
        <w:rPr>
          <w:rFonts w:hint="eastAsia" w:ascii="黑体" w:eastAsia="黑体"/>
          <w:szCs w:val="40"/>
        </w:rPr>
        <w:t>六、</w:t>
      </w:r>
      <w:r>
        <w:rPr>
          <w:rFonts w:hint="eastAsia" w:ascii="黑体" w:eastAsia="黑体"/>
        </w:rPr>
        <w:t>绩效预算情况说明</w:t>
      </w:r>
    </w:p>
    <w:p>
      <w:pPr>
        <w:adjustRightInd w:val="0"/>
        <w:snapToGrid w:val="0"/>
        <w:spacing w:after="0" w:line="240" w:lineRule="auto"/>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000000"/>
          <w:sz w:val="32"/>
          <w:szCs w:val="32"/>
        </w:rPr>
        <w:t>良好。</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shd w:val="pct10" w:color="auto" w:fill="FFFFFF"/>
        </w:rPr>
        <w:t>。</w:t>
      </w:r>
      <w:r>
        <w:rPr>
          <w:rFonts w:hint="eastAsia" w:ascii="仿宋_GB2312" w:eastAsia="仿宋_GB2312" w:cs="DengXian-Regular"/>
          <w:sz w:val="32"/>
          <w:szCs w:val="32"/>
        </w:rPr>
        <w:t>根据预算绩效管理要求，本单位组织对2017年度一般公共预算项目，出全面开展绩效自评，涉及一般公共服务支出、节能环保、等2个项目，涉及资金150.67万元。从评价情况看，评价结果为优秀的项目有1个，良好的项目有1个。</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w:t>
      </w:r>
      <w:r>
        <w:rPr>
          <w:rFonts w:hint="eastAsia" w:ascii="仿宋" w:hAnsi="仿宋" w:eastAsia="仿宋" w:cs="DengXian-Regular"/>
          <w:sz w:val="32"/>
          <w:szCs w:val="32"/>
        </w:rPr>
        <w:t>位环境保护宣传项目</w:t>
      </w:r>
      <w:r>
        <w:rPr>
          <w:rFonts w:hint="eastAsia" w:ascii="仿宋_GB2312" w:eastAsia="仿宋_GB2312" w:cs="DengXian-Regular"/>
          <w:sz w:val="32"/>
          <w:szCs w:val="32"/>
        </w:rPr>
        <w:t>绩效自评：根据年初设定的绩效目标，环境保护宣传项目绩效自评结果为优秀。项目全年预算数为44.02万元，执行数为44.02万元，完成预算的</w:t>
      </w:r>
      <w:r>
        <w:rPr>
          <w:rFonts w:hint="eastAsia" w:ascii="宋体" w:hAnsi="宋体" w:eastAsia="仿宋_GB2312" w:cs="宋体"/>
          <w:sz w:val="32"/>
          <w:szCs w:val="32"/>
        </w:rPr>
        <w:t>100</w:t>
      </w:r>
      <w:r>
        <w:rPr>
          <w:rFonts w:hint="eastAsia" w:ascii="仿宋_GB2312" w:eastAsia="仿宋_GB2312" w:cs="DengXian-Regular"/>
          <w:sz w:val="32"/>
          <w:szCs w:val="32"/>
        </w:rPr>
        <w:t>%。主要产出和效果是</w:t>
      </w:r>
      <w:r>
        <w:rPr>
          <w:rFonts w:hint="eastAsia" w:ascii="仿宋_GB2312" w:hAnsi="仿宋_GB2312" w:eastAsia="仿宋_GB2312" w:cs="仿宋_GB2312"/>
          <w:sz w:val="32"/>
          <w:szCs w:val="32"/>
        </w:rPr>
        <w:t>组织完成还清保护宣传任务，提高环境保护力度，改善环境现状。未发现其他问题。</w:t>
      </w:r>
    </w:p>
    <w:p>
      <w:pPr>
        <w:adjustRightInd w:val="0"/>
        <w:snapToGrid w:val="0"/>
        <w:spacing w:after="0" w:line="240" w:lineRule="auto"/>
        <w:rPr>
          <w:rFonts w:ascii="仿宋_GB2312" w:eastAsia="仿宋_GB2312" w:cs="DengXian-Regular"/>
          <w:sz w:val="32"/>
          <w:szCs w:val="32"/>
        </w:rPr>
      </w:pPr>
    </w:p>
    <w:p>
      <w:pPr>
        <w:pStyle w:val="3"/>
        <w:spacing w:before="0" w:after="0" w:line="240" w:lineRule="auto"/>
        <w:ind w:firstLine="640" w:firstLineChars="200"/>
        <w:rPr>
          <w:rFonts w:ascii="黑体" w:eastAsia="黑体"/>
          <w:b w:val="0"/>
          <w:bCs w:val="0"/>
        </w:rPr>
      </w:pPr>
      <w:r>
        <w:rPr>
          <w:rFonts w:hint="eastAsia" w:ascii="黑体" w:eastAsia="黑体"/>
          <w:b w:val="0"/>
          <w:bCs w:val="0"/>
        </w:rPr>
        <w:t>七、其他重要事项的说明</w:t>
      </w:r>
    </w:p>
    <w:p>
      <w:pPr>
        <w:pStyle w:val="4"/>
        <w:spacing w:before="0" w:after="0" w:line="240" w:lineRule="auto"/>
        <w:ind w:firstLine="643" w:firstLineChars="200"/>
        <w:rPr>
          <w:rFonts w:ascii="楷体_GB2312" w:eastAsia="楷体_GB2312" w:cs="DengXian-Bold"/>
          <w:color w:val="000000"/>
        </w:rPr>
      </w:pPr>
      <w:r>
        <w:rPr>
          <w:rFonts w:hint="eastAsia" w:ascii="楷体_GB2312" w:eastAsia="楷体_GB2312" w:cs="DengXian-Bold"/>
          <w:color w:val="000000"/>
        </w:rPr>
        <w:t>（一）机关运行经费情况</w:t>
      </w:r>
    </w:p>
    <w:p>
      <w:pPr>
        <w:adjustRightInd w:val="0"/>
        <w:snapToGrid w:val="0"/>
        <w:spacing w:after="0" w:line="240" w:lineRule="auto"/>
        <w:ind w:firstLine="640" w:firstLineChars="200"/>
        <w:rPr>
          <w:rFonts w:ascii="仿宋_GB2312" w:eastAsia="仿宋_GB2312" w:cs="DengXian-Regular"/>
          <w:color w:val="000000"/>
          <w:sz w:val="32"/>
          <w:szCs w:val="32"/>
        </w:rPr>
      </w:pPr>
      <w:r>
        <w:rPr>
          <w:rFonts w:hint="eastAsia" w:ascii="仿宋_GB2312" w:eastAsia="仿宋_GB2312" w:cs="DengXian-Regular"/>
          <w:color w:val="000000"/>
          <w:sz w:val="32"/>
          <w:szCs w:val="32"/>
        </w:rPr>
        <w:t>本部门2018年度机关运行经费支出195.71万元，比年初预算数增加46.21万元，增长30.91%。主要原因是</w:t>
      </w:r>
      <w:r>
        <w:rPr>
          <w:rFonts w:hint="eastAsia" w:ascii="宋体" w:hAnsi="宋体" w:cs="宋体"/>
          <w:color w:val="000000"/>
          <w:sz w:val="32"/>
          <w:szCs w:val="32"/>
        </w:rPr>
        <w:t>单位正常开支有所增加</w:t>
      </w:r>
      <w:r>
        <w:rPr>
          <w:rFonts w:hint="eastAsia" w:ascii="仿宋_GB2312" w:eastAsia="仿宋_GB2312" w:cs="DengXian-Regular"/>
          <w:color w:val="000000"/>
          <w:sz w:val="32"/>
          <w:szCs w:val="32"/>
        </w:rPr>
        <w:t>。</w:t>
      </w:r>
    </w:p>
    <w:p>
      <w:pPr>
        <w:pStyle w:val="4"/>
        <w:spacing w:before="0" w:after="0" w:line="240" w:lineRule="auto"/>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240" w:lineRule="auto"/>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240" w:lineRule="auto"/>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截至2018年12月31日，本部门共有车辆9辆，比上年无增减变化，主要是</w:t>
      </w:r>
      <w:r>
        <w:rPr>
          <w:rFonts w:hint="eastAsia" w:ascii="宋体" w:hAnsi="宋体" w:cs="宋体"/>
          <w:sz w:val="32"/>
          <w:szCs w:val="32"/>
        </w:rPr>
        <w:t>本年无车辆购入</w:t>
      </w:r>
      <w:r>
        <w:rPr>
          <w:rFonts w:hint="eastAsia" w:ascii="仿宋_GB2312" w:eastAsia="仿宋_GB2312" w:cs="DengXian-Regular"/>
          <w:sz w:val="32"/>
          <w:szCs w:val="32"/>
        </w:rPr>
        <w:t>。其中，副部（省）级及以上领导用车0辆，主要领导干部用车0辆，机要通信用车9辆，应急保障用车0辆，执法执勤用车0辆，特种专业技术用车0辆，离退休干部用车0辆，其他用车0辆，单位价值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w:t>
      </w:r>
    </w:p>
    <w:p>
      <w:pPr>
        <w:pStyle w:val="4"/>
        <w:spacing w:before="0" w:after="0" w:line="240" w:lineRule="auto"/>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国有资本经营预算财政拨款、政府采购无收支及结转结余情况，故政府性基金预算财政拨款收入支出决算表、国有资本经营预算财政拨款支出决算表、政府采购情况表以空表列示。</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240" w:lineRule="auto"/>
        <w:ind w:firstLine="420" w:firstLineChars="200"/>
        <w:jc w:val="left"/>
        <w:sectPr>
          <w:pgSz w:w="11906" w:h="16838"/>
          <w:pgMar w:top="2098" w:right="1474" w:bottom="1984" w:left="1588" w:header="851" w:footer="992" w:gutter="0"/>
          <w:cols w:space="720" w:num="1"/>
          <w:docGrid w:type="lines" w:linePitch="312" w:charSpace="0"/>
        </w:sectPr>
      </w:pPr>
    </w:p>
    <w:p>
      <w:pPr>
        <w:spacing w:line="240" w:lineRule="auto"/>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-1007745</wp:posOffset>
            </wp:positionH>
            <wp:positionV relativeFrom="paragraph">
              <wp:posOffset>-1336675</wp:posOffset>
            </wp:positionV>
            <wp:extent cx="7550150" cy="10680065"/>
            <wp:effectExtent l="0" t="0" r="12700" b="6985"/>
            <wp:wrapNone/>
            <wp:docPr id="10"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1"/>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59264" behindDoc="0" locked="0" layoutInCell="1" allowOverlap="1">
                <wp:simplePos x="0" y="0"/>
                <wp:positionH relativeFrom="column">
                  <wp:posOffset>-997585</wp:posOffset>
                </wp:positionH>
                <wp:positionV relativeFrom="paragraph">
                  <wp:posOffset>2956560</wp:posOffset>
                </wp:positionV>
                <wp:extent cx="7571740" cy="2020570"/>
                <wp:effectExtent l="0" t="0" r="0" b="0"/>
                <wp:wrapNone/>
                <wp:docPr id="5" name="文本框 8"/>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wps:txbx>
                      <wps:bodyPr upright="1"/>
                    </wps:wsp>
                  </a:graphicData>
                </a:graphic>
              </wp:anchor>
            </w:drawing>
          </mc:Choice>
          <mc:Fallback>
            <w:pict>
              <v:shape id="文本框 8" o:spid="_x0000_s1026" o:spt="202" type="#_x0000_t202" style="position:absolute;left:0pt;margin-left:-78.55pt;margin-top:232.8pt;height:159.1pt;width:596.2pt;z-index:251659264;mso-width-relative:page;mso-height-relative:page;" filled="f" stroked="f" coordsize="21600,21600" o:gfxdata="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BYAAABk&#10;cnMvUEsBAhQAFAAAAAgAh07iQBtl6S3aAAAADQEAAA8AAAAAAAAAAQAgAAAAOAAAAGRycy9kb3du&#10;cmV2LnhtbFBLAQIUABQAAAAIAIdO4kAQqqLyrgEAAE8DAAAOAAAAAAAAAAEAIAAAAD8BAABkcnMv&#10;ZTJvRG9jLnhtbFBLBQYAAAAABgAGAFkBAABf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mc:Fallback>
        </mc:AlternateConten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240" w:lineRule="auto"/>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240" w:lineRule="auto"/>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240" w:lineRule="auto"/>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drawing>
          <wp:anchor distT="0" distB="0" distL="114300" distR="114300" simplePos="0" relativeHeight="251660288" behindDoc="1" locked="0" layoutInCell="1" allowOverlap="1">
            <wp:simplePos x="0" y="0"/>
            <wp:positionH relativeFrom="column">
              <wp:posOffset>-989330</wp:posOffset>
            </wp:positionH>
            <wp:positionV relativeFrom="paragraph">
              <wp:posOffset>-1353820</wp:posOffset>
            </wp:positionV>
            <wp:extent cx="7590155" cy="10735945"/>
            <wp:effectExtent l="0" t="0" r="10795" b="8255"/>
            <wp:wrapNone/>
            <wp:docPr id="1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1"/>
                    <pic:cNvPicPr>
                      <a:picLocks noChangeAspect="1"/>
                    </pic:cNvPicPr>
                  </pic:nvPicPr>
                  <pic:blipFill>
                    <a:blip r:embed="rId13"/>
                    <a:stretch>
                      <a:fillRect/>
                    </a:stretch>
                  </pic:blipFill>
                  <pic:spPr>
                    <a:xfrm>
                      <a:off x="0" y="0"/>
                      <a:ext cx="7590155" cy="10735945"/>
                    </a:xfrm>
                    <a:prstGeom prst="rect">
                      <a:avLst/>
                    </a:prstGeom>
                    <a:noFill/>
                    <a:ln>
                      <a:noFill/>
                    </a:ln>
                  </pic:spPr>
                </pic:pic>
              </a:graphicData>
            </a:graphic>
          </wp:anchor>
        </w:drawing>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singleLevel"/>
    <w:tmpl w:val="0000000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14CA"/>
    <w:rsid w:val="004814CA"/>
    <w:rsid w:val="007E03EE"/>
    <w:rsid w:val="008B6A9E"/>
    <w:rsid w:val="00BD6A15"/>
    <w:rsid w:val="BFEBB03E"/>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b/>
      <w:bCs/>
      <w:kern w:val="0"/>
      <w:sz w:val="32"/>
      <w:szCs w:val="32"/>
    </w:rPr>
  </w:style>
  <w:style w:type="paragraph" w:styleId="4">
    <w:name w:val="heading 3"/>
    <w:basedOn w:val="1"/>
    <w:next w:val="1"/>
    <w:link w:val="14"/>
    <w:qFormat/>
    <w:uiPriority w:val="0"/>
    <w:pPr>
      <w:keepNext/>
      <w:keepLines/>
      <w:spacing w:before="260" w:after="260" w:line="416" w:lineRule="auto"/>
      <w:outlineLvl w:val="2"/>
    </w:pPr>
    <w:rPr>
      <w:b/>
      <w:bCs/>
      <w:kern w:val="0"/>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b/>
      <w:bCs/>
      <w:kern w:val="0"/>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20"/>
    <w:qFormat/>
    <w:uiPriority w:val="0"/>
    <w:pPr>
      <w:tabs>
        <w:tab w:val="center" w:pos="4153"/>
        <w:tab w:val="right" w:pos="8306"/>
      </w:tabs>
      <w:snapToGrid w:val="0"/>
      <w:jc w:val="left"/>
    </w:pPr>
    <w:rPr>
      <w:rFonts w:ascii="Calibri" w:hAnsi="Calibri"/>
      <w:kern w:val="0"/>
      <w:sz w:val="18"/>
      <w:szCs w:val="18"/>
    </w:rPr>
  </w:style>
  <w:style w:type="paragraph" w:styleId="7">
    <w:name w:val="header"/>
    <w:basedOn w:val="1"/>
    <w:link w:val="21"/>
    <w:qFormat/>
    <w:uiPriority w:val="0"/>
    <w:pPr>
      <w:pBdr>
        <w:bottom w:val="single" w:color="auto" w:sz="6" w:space="1"/>
      </w:pBdr>
      <w:tabs>
        <w:tab w:val="center" w:pos="4153"/>
        <w:tab w:val="right" w:pos="8306"/>
      </w:tabs>
      <w:snapToGrid w:val="0"/>
      <w:jc w:val="center"/>
    </w:pPr>
    <w:rPr>
      <w:rFonts w:ascii="Calibri" w:hAnsi="Calibri"/>
      <w:kern w:val="0"/>
      <w:sz w:val="18"/>
      <w:szCs w:val="18"/>
    </w:rPr>
  </w:style>
  <w:style w:type="paragraph" w:styleId="8">
    <w:name w:val="Subtitle"/>
    <w:basedOn w:val="1"/>
    <w:next w:val="1"/>
    <w:link w:val="22"/>
    <w:qFormat/>
    <w:uiPriority w:val="0"/>
    <w:pPr>
      <w:widowControl/>
      <w:spacing w:after="200" w:line="276" w:lineRule="auto"/>
      <w:jc w:val="left"/>
    </w:pPr>
    <w:rPr>
      <w:rFonts w:ascii="Calibri" w:hAnsi="Calibri"/>
      <w:i/>
      <w:iCs/>
      <w:color w:val="F0A22E"/>
      <w:spacing w:val="15"/>
      <w:kern w:val="0"/>
      <w:sz w:val="24"/>
    </w:rPr>
  </w:style>
  <w:style w:type="paragraph" w:styleId="9">
    <w:name w:val="Title"/>
    <w:basedOn w:val="1"/>
    <w:next w:val="1"/>
    <w:link w:val="23"/>
    <w:qFormat/>
    <w:uiPriority w:val="0"/>
    <w:pPr>
      <w:widowControl/>
      <w:pBdr>
        <w:bottom w:val="single" w:color="F0A22E" w:sz="8" w:space="4"/>
      </w:pBdr>
      <w:spacing w:after="300"/>
      <w:contextualSpacing/>
      <w:jc w:val="left"/>
    </w:pPr>
    <w:rPr>
      <w:rFonts w:ascii="Calibri" w:hAnsi="Calibri"/>
      <w:color w:val="392B23"/>
      <w:spacing w:val="5"/>
      <w:kern w:val="28"/>
      <w:sz w:val="52"/>
      <w:szCs w:val="52"/>
    </w:rPr>
  </w:style>
  <w:style w:type="character" w:customStyle="1" w:styleId="12">
    <w:name w:val="标题 1 Char"/>
    <w:link w:val="2"/>
    <w:semiHidden/>
    <w:qFormat/>
    <w:uiPriority w:val="0"/>
    <w:rPr>
      <w:rFonts w:ascii="Times New Roman" w:hAnsi="Times New Roman" w:eastAsia="宋体" w:cs="Times New Roman"/>
      <w:b/>
      <w:bCs/>
      <w:kern w:val="44"/>
      <w:sz w:val="44"/>
      <w:szCs w:val="44"/>
    </w:rPr>
  </w:style>
  <w:style w:type="character" w:customStyle="1" w:styleId="13">
    <w:name w:val="标题 2 Char"/>
    <w:link w:val="3"/>
    <w:semiHidden/>
    <w:qFormat/>
    <w:uiPriority w:val="0"/>
    <w:rPr>
      <w:rFonts w:ascii="Calibri" w:hAnsi="Calibri" w:eastAsia="宋体" w:cs="黑体"/>
      <w:b/>
      <w:bCs/>
      <w:sz w:val="32"/>
      <w:szCs w:val="32"/>
    </w:rPr>
  </w:style>
  <w:style w:type="character" w:customStyle="1" w:styleId="14">
    <w:name w:val="标题 3 Char"/>
    <w:link w:val="4"/>
    <w:semiHidden/>
    <w:qFormat/>
    <w:uiPriority w:val="0"/>
    <w:rPr>
      <w:rFonts w:ascii="Times New Roman" w:hAnsi="Times New Roman" w:eastAsia="宋体" w:cs="Times New Roman"/>
      <w:b/>
      <w:bCs/>
      <w:sz w:val="32"/>
      <w:szCs w:val="32"/>
    </w:rPr>
  </w:style>
  <w:style w:type="character" w:customStyle="1" w:styleId="15">
    <w:name w:val="标题 4 Char"/>
    <w:link w:val="5"/>
    <w:semiHidden/>
    <w:qFormat/>
    <w:uiPriority w:val="0"/>
    <w:rPr>
      <w:rFonts w:ascii="Calibri" w:hAnsi="Calibri" w:eastAsia="宋体" w:cs="黑体"/>
      <w:b/>
      <w:bCs/>
      <w:sz w:val="28"/>
      <w:szCs w:val="28"/>
    </w:rPr>
  </w:style>
  <w:style w:type="character" w:customStyle="1" w:styleId="16">
    <w:name w:val="日期 Char"/>
    <w:link w:val="17"/>
    <w:semiHidden/>
    <w:qFormat/>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rPr>
      <w:kern w:val="0"/>
      <w:sz w:val="20"/>
    </w:rPr>
  </w:style>
  <w:style w:type="character" w:customStyle="1" w:styleId="18">
    <w:name w:val="批注框文本 Char"/>
    <w:link w:val="19"/>
    <w:semiHidden/>
    <w:qFormat/>
    <w:uiPriority w:val="0"/>
    <w:rPr>
      <w:rFonts w:ascii="Times New Roman" w:hAnsi="Times New Roman" w:eastAsia="宋体" w:cs="Times New Roman"/>
      <w:sz w:val="18"/>
      <w:szCs w:val="18"/>
    </w:rPr>
  </w:style>
  <w:style w:type="paragraph" w:customStyle="1" w:styleId="19">
    <w:name w:val="批注框文本1"/>
    <w:basedOn w:val="1"/>
    <w:link w:val="18"/>
    <w:qFormat/>
    <w:uiPriority w:val="0"/>
    <w:rPr>
      <w:kern w:val="0"/>
      <w:sz w:val="18"/>
      <w:szCs w:val="18"/>
    </w:rPr>
  </w:style>
  <w:style w:type="character" w:customStyle="1" w:styleId="20">
    <w:name w:val="页脚 Char"/>
    <w:link w:val="6"/>
    <w:semiHidden/>
    <w:qFormat/>
    <w:uiPriority w:val="0"/>
    <w:rPr>
      <w:sz w:val="18"/>
      <w:szCs w:val="18"/>
    </w:rPr>
  </w:style>
  <w:style w:type="character" w:customStyle="1" w:styleId="21">
    <w:name w:val="页眉 Char"/>
    <w:link w:val="7"/>
    <w:semiHidden/>
    <w:qFormat/>
    <w:uiPriority w:val="0"/>
    <w:rPr>
      <w:sz w:val="18"/>
      <w:szCs w:val="18"/>
    </w:rPr>
  </w:style>
  <w:style w:type="character" w:customStyle="1" w:styleId="22">
    <w:name w:val="副标题 Char"/>
    <w:link w:val="8"/>
    <w:semiHidden/>
    <w:qFormat/>
    <w:uiPriority w:val="0"/>
    <w:rPr>
      <w:rFonts w:ascii="Calibri" w:hAnsi="Calibri" w:eastAsia="宋体" w:cs="黑体"/>
      <w:i/>
      <w:iCs/>
      <w:color w:val="F0A22E"/>
      <w:spacing w:val="15"/>
      <w:kern w:val="0"/>
      <w:sz w:val="24"/>
      <w:szCs w:val="24"/>
    </w:rPr>
  </w:style>
  <w:style w:type="character" w:customStyle="1" w:styleId="23">
    <w:name w:val="标题 Char"/>
    <w:link w:val="9"/>
    <w:semiHidden/>
    <w:qFormat/>
    <w:uiPriority w:val="0"/>
    <w:rPr>
      <w:rFonts w:ascii="Calibri" w:hAnsi="Calibri" w:eastAsia="宋体" w:cs="黑体"/>
      <w:color w:val="392B23"/>
      <w:spacing w:val="5"/>
      <w:kern w:val="28"/>
      <w:sz w:val="52"/>
      <w:szCs w:val="52"/>
    </w:rPr>
  </w:style>
  <w:style w:type="paragraph" w:customStyle="1" w:styleId="24">
    <w:name w:val="无间隔1"/>
    <w:link w:val="26"/>
    <w:qFormat/>
    <w:uiPriority w:val="0"/>
    <w:pPr>
      <w:spacing w:after="160" w:line="480" w:lineRule="auto"/>
    </w:pPr>
    <w:rPr>
      <w:rFonts w:ascii="Calibri" w:hAnsi="Calibri" w:eastAsia="宋体" w:cs="Times New Roman"/>
      <w:sz w:val="22"/>
      <w:lang w:val="en-US" w:eastAsia="zh-CN" w:bidi="ar-SA"/>
    </w:rPr>
  </w:style>
  <w:style w:type="paragraph" w:customStyle="1" w:styleId="25">
    <w:name w:val="列出段落1"/>
    <w:basedOn w:val="1"/>
    <w:qFormat/>
    <w:uiPriority w:val="0"/>
    <w:pPr>
      <w:ind w:firstLine="420" w:firstLineChars="200"/>
    </w:pPr>
  </w:style>
  <w:style w:type="character" w:customStyle="1" w:styleId="26">
    <w:name w:val="无间隔 Char"/>
    <w:link w:val="24"/>
    <w:qFormat/>
    <w:uiPriority w:val="0"/>
    <w:rPr>
      <w:rFonts w:cs="Times New Roman"/>
      <w:sz w:val="22"/>
      <w:lang w:bidi="ar-SA"/>
    </w:rPr>
  </w:style>
  <w:style w:type="character" w:customStyle="1" w:styleId="27">
    <w:name w:val="Style1"/>
    <w:qFormat/>
    <w:uiPriority w:val="0"/>
    <w:rPr>
      <w:rFonts w:ascii="Cambria" w:hAnsi="黑体" w:eastAsia="黑体" w:cs="黑体"/>
      <w:sz w:val="22"/>
      <w:szCs w:val="22"/>
      <w:lang w:eastAsia="zh-CN"/>
    </w:rPr>
  </w:style>
  <w:style w:type="character" w:customStyle="1" w:styleId="28">
    <w:name w:val="Style2"/>
    <w:qFormat/>
    <w:uiPriority w:val="0"/>
    <w:rPr>
      <w:rFonts w:ascii="Cambria" w:hAnsi="黑体" w:eastAsia="黑体" w:cs="黑体"/>
      <w:sz w:val="22"/>
      <w:szCs w:val="22"/>
      <w:lang w:eastAsia="zh-CN"/>
    </w:rPr>
  </w:style>
  <w:style w:type="character" w:customStyle="1" w:styleId="29">
    <w:name w:val="Style3"/>
    <w:qFormat/>
    <w:uiPriority w:val="0"/>
    <w:rPr>
      <w:rFonts w:ascii="Cambria" w:hAnsi="黑体" w:eastAsia="黑体" w:cs="黑体"/>
      <w:szCs w:val="22"/>
      <w:lang w:eastAsia="zh-CN"/>
    </w:rPr>
  </w:style>
  <w:style w:type="character" w:customStyle="1" w:styleId="30">
    <w:name w:val="Style4"/>
    <w:qFormat/>
    <w:uiPriority w:val="0"/>
    <w:rPr>
      <w:rFonts w:ascii="Cambria" w:hAnsi="黑体" w:eastAsia="黑体" w:cs="黑体"/>
      <w:szCs w:val="22"/>
      <w:lang w:eastAsia="zh-CN"/>
    </w:rPr>
  </w:style>
  <w:style w:type="character" w:customStyle="1" w:styleId="31">
    <w:name w:val="Style5"/>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emf"/><Relationship Id="rId8" Type="http://schemas.openxmlformats.org/officeDocument/2006/relationships/image" Target="media/image3.emf"/><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8.jpeg"/><Relationship Id="rId12" Type="http://schemas.openxmlformats.org/officeDocument/2006/relationships/image" Target="media/image7.emf"/><Relationship Id="rId11" Type="http://schemas.openxmlformats.org/officeDocument/2006/relationships/image" Target="media/image6.png"/><Relationship Id="rId10" Type="http://schemas.openxmlformats.org/officeDocument/2006/relationships/image" Target="media/image5.e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1717</Words>
  <Characters>9792</Characters>
  <Lines>81</Lines>
  <Paragraphs>22</Paragraphs>
  <TotalTime>2</TotalTime>
  <ScaleCrop>false</ScaleCrop>
  <LinksUpToDate>false</LinksUpToDate>
  <CharactersWithSpaces>11487</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2019-08-29T16:40:00Z</dcterms:created>
  <dc:creator>User</dc:creator>
  <cp:lastModifiedBy>caizhengju</cp:lastModifiedBy>
  <cp:lastPrinted>2019-12-26T10:33:00Z</cp:lastPrinted>
  <dcterms:modified xsi:type="dcterms:W3CDTF">2024-01-03T10:11:48Z</dcterms:modified>
  <dc:subject>石家庄市xxx部门</dc:subject>
  <dc:title>lenovo</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D2C5162BA897028F64C29465AF60D1FF</vt:lpwstr>
  </property>
</Properties>
</file>