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7"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无极县信访局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FgAAAGRycy9QSwECFAAU&#10;AAAACACHTuJAHDPDVNsAAAAMAQAADwAAAAAAAAABACAAAAA4AAAAZHJzL2Rvd25yZXYueG1sUEsB&#10;AhQAFAAAAAgAh07iQMuksXhOAgAAgQQAAA4AAAAAAAAAAQAgAAAAQAEAAGRycy9lMm9Eb2MueG1s&#10;UEsFBgAAAAAGAAYAWQEAAAAG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无极县信访局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无极县信访局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-1027430</wp:posOffset>
            </wp:positionH>
            <wp:positionV relativeFrom="paragraph">
              <wp:posOffset>1976120</wp:posOffset>
            </wp:positionV>
            <wp:extent cx="7581900" cy="7399020"/>
            <wp:effectExtent l="19050" t="0" r="0" b="0"/>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8" cstate="print"/>
                    <a:stretch>
                      <a:fillRect/>
                    </a:stretch>
                  </pic:blipFill>
                  <pic:spPr>
                    <a:xfrm>
                      <a:off x="0" y="0"/>
                      <a:ext cx="7585710" cy="7402595"/>
                    </a:xfrm>
                    <a:prstGeom prst="rect">
                      <a:avLst/>
                    </a:prstGeom>
                  </pic:spPr>
                </pic:pic>
              </a:graphicData>
            </a:graphic>
          </wp:anchor>
        </w:drawing>
      </w:r>
      <w:r>
        <w:rPr>
          <w:sz w:val="72"/>
        </w:rPr>
        <mc:AlternateContent>
          <mc:Choice Requires="wps">
            <w:drawing>
              <wp:anchor distT="0" distB="0" distL="114300" distR="114300" simplePos="0" relativeHeight="251669504"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69504;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BYAAABkcnMvUEsBAhQAFAAAAAgA&#10;h07iQKiKw6neAAAADQEAAA8AAAAAAAAAAQAgAAAAOAAAAGRycy9kb3ducmV2LnhtbFBLAQIUABQA&#10;AAAIAIdO4kA9X2VzRgIAAHkEAAAOAAAAAAAAAAEAIAAAAEMBAABkcnMvZTJvRG9jLnhtbFBLBQYA&#10;AAAABgAGAFkBAAD7BQ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ind w:firstLine="640"/>
        <w:rPr>
          <w:rFonts w:ascii="仿宋_GB2312" w:hAnsi="仿宋" w:eastAsia="仿宋_GB2312" w:cs="仿宋"/>
          <w:sz w:val="32"/>
          <w:szCs w:val="32"/>
        </w:rPr>
      </w:pPr>
      <w:r>
        <w:rPr>
          <w:rFonts w:hint="eastAsia" w:ascii="仿宋_GB2312" w:hAnsi="仿宋" w:eastAsia="仿宋_GB2312" w:cs="仿宋"/>
          <w:sz w:val="32"/>
          <w:szCs w:val="32"/>
        </w:rPr>
        <w:t>1、受理我县和上级领导机关交办的来信来访问题，负责日常的信访工作；</w:t>
      </w:r>
    </w:p>
    <w:p>
      <w:pPr>
        <w:ind w:firstLine="640"/>
        <w:rPr>
          <w:rFonts w:ascii="仿宋_GB2312" w:hAnsi="仿宋" w:eastAsia="仿宋_GB2312" w:cs="仿宋"/>
          <w:sz w:val="32"/>
          <w:szCs w:val="32"/>
        </w:rPr>
      </w:pPr>
      <w:r>
        <w:rPr>
          <w:rFonts w:hint="eastAsia" w:ascii="仿宋_GB2312" w:hAnsi="仿宋" w:eastAsia="仿宋_GB2312" w:cs="仿宋"/>
          <w:sz w:val="32"/>
          <w:szCs w:val="32"/>
        </w:rPr>
        <w:t>2、按照“分级负责，归口办理”的原则，向有关部门和乡镇交办信访案件，并负责监督和检查。</w:t>
      </w:r>
    </w:p>
    <w:p>
      <w:pPr>
        <w:ind w:firstLine="640"/>
        <w:rPr>
          <w:rFonts w:ascii="仿宋_GB2312" w:hAnsi="仿宋" w:eastAsia="仿宋_GB2312" w:cs="仿宋"/>
          <w:sz w:val="32"/>
          <w:szCs w:val="32"/>
        </w:rPr>
      </w:pPr>
      <w:r>
        <w:rPr>
          <w:rFonts w:hint="eastAsia" w:ascii="仿宋_GB2312" w:hAnsi="仿宋" w:eastAsia="仿宋_GB2312" w:cs="仿宋"/>
          <w:sz w:val="32"/>
          <w:szCs w:val="32"/>
        </w:rPr>
        <w:t>3、定期分析，综合人民来访反映的重要情况和带有倾向性的问题，及时向领导和有关机关反映，为领导决策提供依据；开展调查研究，分析信访形势，掌握信访动态，提出制定有关信访政策和建议。</w:t>
      </w:r>
    </w:p>
    <w:p>
      <w:pPr>
        <w:ind w:firstLine="640"/>
        <w:rPr>
          <w:rFonts w:ascii="仿宋_GB2312" w:hAnsi="仿宋" w:eastAsia="仿宋_GB2312" w:cs="仿宋"/>
          <w:sz w:val="32"/>
          <w:szCs w:val="32"/>
        </w:rPr>
      </w:pPr>
      <w:r>
        <w:rPr>
          <w:rFonts w:hint="eastAsia" w:ascii="仿宋_GB2312" w:hAnsi="仿宋" w:eastAsia="仿宋_GB2312" w:cs="仿宋"/>
          <w:sz w:val="32"/>
          <w:szCs w:val="32"/>
        </w:rPr>
        <w:t>4、协调处理跨地区、跨部门的重要信访问题；协调处理群众集体上访和异常、突发信访事件；指导、协调各级党政部门和有关单位的信访工作。</w:t>
      </w:r>
    </w:p>
    <w:p>
      <w:pPr>
        <w:ind w:firstLine="640"/>
        <w:rPr>
          <w:rFonts w:ascii="仿宋_GB2312" w:hAnsi="仿宋" w:eastAsia="仿宋_GB2312" w:cs="仿宋"/>
          <w:sz w:val="32"/>
          <w:szCs w:val="32"/>
        </w:rPr>
      </w:pPr>
      <w:r>
        <w:rPr>
          <w:rFonts w:hint="eastAsia" w:ascii="仿宋_GB2312" w:hAnsi="仿宋" w:eastAsia="仿宋_GB2312" w:cs="仿宋"/>
          <w:sz w:val="32"/>
          <w:szCs w:val="32"/>
        </w:rPr>
        <w:t>5、建立健全信访工人制度，改革信访工作方法，努力开创新局面。</w:t>
      </w:r>
    </w:p>
    <w:p>
      <w:pPr>
        <w:ind w:firstLine="640"/>
        <w:rPr>
          <w:rFonts w:ascii="仿宋_GB2312" w:hAnsi="仿宋" w:eastAsia="仿宋_GB2312" w:cs="仿宋"/>
          <w:sz w:val="32"/>
          <w:szCs w:val="32"/>
        </w:rPr>
      </w:pPr>
      <w:r>
        <w:rPr>
          <w:rFonts w:hint="eastAsia" w:ascii="仿宋_GB2312" w:hAnsi="仿宋" w:eastAsia="仿宋_GB2312" w:cs="仿宋"/>
          <w:sz w:val="32"/>
          <w:szCs w:val="32"/>
        </w:rPr>
        <w:t>6、贯彻&lt;&lt;信访条例&gt;&gt;落实国家和省、市有关信访工作的指示、规定和部署、推动全县信访工作的开展。</w:t>
      </w:r>
    </w:p>
    <w:p>
      <w:pPr>
        <w:ind w:firstLine="640"/>
        <w:rPr>
          <w:rFonts w:ascii="仿宋_GB2312" w:hAnsi="仿宋" w:eastAsia="仿宋_GB2312" w:cs="仿宋"/>
          <w:sz w:val="32"/>
          <w:szCs w:val="32"/>
        </w:rPr>
      </w:pPr>
      <w:r>
        <w:rPr>
          <w:rFonts w:hint="eastAsia" w:ascii="仿宋_GB2312" w:hAnsi="仿宋" w:eastAsia="仿宋_GB2312" w:cs="仿宋"/>
          <w:sz w:val="32"/>
          <w:szCs w:val="32"/>
        </w:rPr>
        <w:t>7、向有关部门转办、交办信访事项并对落实情况进行审理，对领导批示和上级机关交办的信访事项进行督办并反馈有关情况。</w:t>
      </w:r>
    </w:p>
    <w:p>
      <w:pPr>
        <w:autoSpaceDE w:val="0"/>
        <w:autoSpaceDN w:val="0"/>
        <w:adjustRightInd w:val="0"/>
        <w:spacing w:after="0" w:line="560" w:lineRule="exact"/>
        <w:jc w:val="left"/>
        <w:rPr>
          <w:rFonts w:ascii="仿宋_GB2312" w:eastAsia="仿宋_GB2312" w:cs="ArialUnicodeMS" w:hAnsiTheme="minorHAnsi"/>
          <w:kern w:val="0"/>
          <w:sz w:val="32"/>
          <w:szCs w:val="32"/>
        </w:r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中国共产党无极县委员会信访局</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9" cstate="print"/>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2336;mso-width-relative:page;mso-height-relative:page;" filled="f" stroked="f" coordsize="21600,21600" o:gfxdata="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WAAAAZHJzL1BLAQIUABQAAAAIAIdO4kBO&#10;az3Q3AAAAA0BAAAPAAAAAAAAAAEAIAAAADgAAABkcnMvZG93bnJldi54bWxQSwECFAAUAAAACACH&#10;TuJAQn4EAkMCAAB3BAAADgAAAAAAAAABACAAAABBAQAAZHJzL2Uyb0RvYy54bWxQSwUGAAAAAAYA&#10;BgBZAQAA9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500.21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497.84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3.54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500.21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501.38</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1.18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501.39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501.39</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05"/>
        <w:gridCol w:w="510"/>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889"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52"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889"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52"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8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5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500.21</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500.21</w:t>
            </w:r>
          </w:p>
        </w:tc>
        <w:tc>
          <w:tcPr>
            <w:tcW w:w="889"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52"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497.85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497.85</w:t>
            </w:r>
          </w:p>
        </w:tc>
        <w:tc>
          <w:tcPr>
            <w:tcW w:w="8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政府办公厅及相关机构事务信访事务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497.85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497.85</w:t>
            </w:r>
          </w:p>
        </w:tc>
        <w:tc>
          <w:tcPr>
            <w:tcW w:w="8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信访事务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497.85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497.85</w:t>
            </w:r>
          </w:p>
        </w:tc>
        <w:tc>
          <w:tcPr>
            <w:tcW w:w="8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w:t>
            </w:r>
          </w:p>
        </w:tc>
        <w:tc>
          <w:tcPr>
            <w:tcW w:w="8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w:t>
            </w:r>
          </w:p>
        </w:tc>
        <w:tc>
          <w:tcPr>
            <w:tcW w:w="8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机关事业单位基本养老保险费支出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w:t>
            </w:r>
          </w:p>
        </w:tc>
        <w:tc>
          <w:tcPr>
            <w:tcW w:w="8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501.38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138.84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362.55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497.84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135.3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362.55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政府办公厅及相关机构事务信访事务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497.84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135.3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362.55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信访事务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497.84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135.3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362.55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机关事业单位基本养老保险费支出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500.21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497.84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497.84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500.21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501.38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501.38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501.39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501.39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501.39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501.38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138.84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362.55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497.84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135.3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362.55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政府办公厅及相关机构事务信访事务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497.84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135.3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362.55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信访事务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497.84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135.3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362.55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99"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109.03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18.45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56.43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7.07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21.98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4.7</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10.77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3.54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0.67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6.63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0.97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4.16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115.69</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23.15</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right="105"/>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2.76</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adjustRightInd w:val="0"/>
        <w:spacing w:after="0" w:line="240" w:lineRule="auto"/>
        <w:jc w:val="left"/>
        <w:textAlignment w:val="center"/>
        <w:rPr>
          <w:rFonts w:ascii="宋体" w:hAnsi="宋体" w:cs="宋体"/>
          <w:color w:val="000000"/>
          <w:kern w:val="0"/>
          <w:szCs w:val="21"/>
        </w:rPr>
        <w:sectPr>
          <w:pgSz w:w="11906" w:h="16838"/>
          <w:pgMar w:top="2098" w:right="1474" w:bottom="1984" w:left="1588" w:header="851" w:footer="992" w:gutter="0"/>
          <w:cols w:space="0" w:num="1"/>
          <w:docGrid w:type="lines" w:linePitch="312" w:charSpace="0"/>
        </w:sectPr>
      </w:pPr>
      <w:r>
        <w:rPr>
          <w:rFonts w:hint="eastAsia" w:ascii="宋体" w:hAnsi="宋体" w:cs="宋体"/>
          <w:color w:val="000000"/>
          <w:kern w:val="0"/>
          <w:szCs w:val="21"/>
        </w:rPr>
        <w:t>本部门本年度无相关收入(或支出、收支及结转结余等情况)，按要求空表列示。</w:t>
      </w: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p>
        </w:tc>
      </w:tr>
    </w:tbl>
    <w:p>
      <w:pPr>
        <w:widowControl/>
        <w:adjustRightInd w:val="0"/>
        <w:spacing w:after="0" w:line="240" w:lineRule="auto"/>
        <w:jc w:val="left"/>
        <w:textAlignment w:val="center"/>
        <w:rPr>
          <w:rFonts w:ascii="宋体" w:hAnsi="宋体" w:cs="宋体"/>
          <w:color w:val="000000"/>
          <w:kern w:val="0"/>
          <w:szCs w:val="21"/>
        </w:rPr>
        <w:sectPr>
          <w:pgSz w:w="11906" w:h="16838"/>
          <w:pgMar w:top="2098" w:right="1474" w:bottom="1984" w:left="1588" w:header="851" w:footer="992" w:gutter="0"/>
          <w:cols w:space="0" w:num="1"/>
          <w:docGrid w:type="lines" w:linePitch="312" w:charSpace="0"/>
        </w:sectPr>
      </w:pPr>
      <w:r>
        <w:rPr>
          <w:rFonts w:hint="eastAsia" w:ascii="宋体" w:hAnsi="宋体" w:cs="宋体"/>
          <w:color w:val="000000"/>
          <w:kern w:val="0"/>
          <w:szCs w:val="21"/>
        </w:rPr>
        <w:t>本部门本年度无相关收入(或支出、收支及结转结余等情况)，按要求空表列示。</w:t>
      </w: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adjustRightInd w:val="0"/>
        <w:spacing w:after="0" w:line="240" w:lineRule="auto"/>
        <w:jc w:val="left"/>
        <w:textAlignment w:val="center"/>
        <w:rPr>
          <w:rFonts w:ascii="宋体" w:hAnsi="宋体" w:cs="宋体"/>
          <w:color w:val="000000"/>
          <w:kern w:val="0"/>
          <w:szCs w:val="21"/>
        </w:rPr>
        <w:sectPr>
          <w:pgSz w:w="11906" w:h="16838"/>
          <w:pgMar w:top="2098" w:right="1474" w:bottom="1984" w:left="1588" w:header="851" w:footer="992" w:gutter="0"/>
          <w:cols w:space="0" w:num="1"/>
          <w:docGrid w:type="lines" w:linePitch="312" w:charSpace="0"/>
        </w:sectPr>
      </w:pPr>
      <w:r>
        <w:rPr>
          <w:rFonts w:hint="eastAsia" w:ascii="宋体" w:hAnsi="宋体" w:cs="宋体"/>
          <w:color w:val="000000"/>
          <w:kern w:val="0"/>
          <w:szCs w:val="21"/>
        </w:rPr>
        <w:t>本部门本年度无相关收入(或支出、收支及结转结余等情况)，按要求空表列示。</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9"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438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4384;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NlmnozeAAAADQEAAA8AAAAAAAAAAQAgAAAAOAAAAGRycy9kb3ducmV2LnhtbFBLAQIUABQAAAAI&#10;AIdO4kDAN8yzQwIAAHUEAAAOAAAAAAAAAAEAIAAAAEMBAABkcnMvZTJvRG9jLnhtbFBLBQYAAAAA&#10;BgAGAFkBAAD4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本部门2018年度收支总计（含结转和结余）501.3</w:t>
      </w:r>
      <w:r>
        <w:rPr>
          <w:rFonts w:hint="eastAsia" w:ascii="宋体" w:hAnsi="宋体" w:cs="宋体"/>
          <w:sz w:val="32"/>
          <w:szCs w:val="32"/>
        </w:rPr>
        <w:t>9</w:t>
      </w:r>
      <w:r>
        <w:rPr>
          <w:rFonts w:hint="eastAsia" w:ascii="仿宋_GB2312" w:eastAsia="仿宋_GB2312" w:cs="DengXian-Regular"/>
          <w:sz w:val="32"/>
          <w:szCs w:val="32"/>
        </w:rPr>
        <w:t>万元。与2017年度决算相比，收支各增加276.74万元，增长23.1</w:t>
      </w:r>
      <w:r>
        <w:rPr>
          <w:rFonts w:hint="eastAsia" w:ascii="宋体" w:hAnsi="宋体" w:cs="宋体"/>
          <w:sz w:val="32"/>
          <w:szCs w:val="32"/>
        </w:rPr>
        <w:t>9</w:t>
      </w:r>
      <w:r>
        <w:rPr>
          <w:rFonts w:hint="eastAsia" w:ascii="仿宋_GB2312" w:eastAsia="仿宋_GB2312" w:cs="DengXian-Regular"/>
          <w:sz w:val="32"/>
          <w:szCs w:val="32"/>
        </w:rPr>
        <w:t>%，主要原因是增加上级拨入信访案件化解资金。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本部门2018年度本年收入合计500.21万元，其中：财政拨款收入500.21万元，占100%。如图所示：</w: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70528" behindDoc="0" locked="0" layoutInCell="1" allowOverlap="1">
            <wp:simplePos x="0" y="0"/>
            <wp:positionH relativeFrom="column">
              <wp:posOffset>720090</wp:posOffset>
            </wp:positionH>
            <wp:positionV relativeFrom="paragraph">
              <wp:posOffset>209550</wp:posOffset>
            </wp:positionV>
            <wp:extent cx="4419600" cy="2576830"/>
            <wp:effectExtent l="19050" t="0" r="0" b="0"/>
            <wp:wrapSquare wrapText="bothSides"/>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a:blip r:embed="rId10" cstate="print"/>
                    <a:srcRect/>
                    <a:stretch>
                      <a:fillRect/>
                    </a:stretch>
                  </pic:blipFill>
                  <pic:spPr>
                    <a:xfrm>
                      <a:off x="0" y="0"/>
                      <a:ext cx="4419600" cy="2576830"/>
                    </a:xfrm>
                    <a:prstGeom prst="rect">
                      <a:avLst/>
                    </a:prstGeom>
                    <a:noFill/>
                  </pic:spPr>
                </pic:pic>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本部门2018年度本年支出合计501.38万元，其中：基本支出138.84万元，占27.6</w:t>
      </w:r>
      <w:r>
        <w:rPr>
          <w:rFonts w:hint="eastAsia" w:ascii="宋体" w:hAnsi="宋体" w:cs="宋体"/>
          <w:sz w:val="32"/>
          <w:szCs w:val="32"/>
        </w:rPr>
        <w:t>9</w:t>
      </w:r>
      <w:r>
        <w:rPr>
          <w:rFonts w:hint="eastAsia" w:ascii="仿宋_GB2312" w:eastAsia="仿宋_GB2312" w:cs="DengXian-Regular"/>
          <w:sz w:val="32"/>
          <w:szCs w:val="32"/>
        </w:rPr>
        <w:t>%；项目支出362.55万元，占72.31%。如图所示：</w:t>
      </w:r>
    </w:p>
    <w:p>
      <w:pPr>
        <w:adjustRightInd w:val="0"/>
        <w:snapToGrid w:val="0"/>
        <w:spacing w:after="0" w:line="580" w:lineRule="exact"/>
        <w:ind w:firstLine="1920" w:firstLineChars="6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71552" behindDoc="0" locked="0" layoutInCell="1" allowOverlap="1">
            <wp:simplePos x="0" y="0"/>
            <wp:positionH relativeFrom="column">
              <wp:posOffset>648970</wp:posOffset>
            </wp:positionH>
            <wp:positionV relativeFrom="paragraph">
              <wp:posOffset>222885</wp:posOffset>
            </wp:positionV>
            <wp:extent cx="4239895" cy="2541270"/>
            <wp:effectExtent l="19050" t="0" r="8255" b="0"/>
            <wp:wrapSquare wrapText="bothSides"/>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noChangeArrowheads="1"/>
                    </pic:cNvPicPr>
                  </pic:nvPicPr>
                  <pic:blipFill>
                    <a:blip r:embed="rId11" cstate="print"/>
                    <a:srcRect/>
                    <a:stretch>
                      <a:fillRect/>
                    </a:stretch>
                  </pic:blipFill>
                  <pic:spPr>
                    <a:xfrm>
                      <a:off x="0" y="0"/>
                      <a:ext cx="4239895" cy="2541270"/>
                    </a:xfrm>
                    <a:prstGeom prst="rect">
                      <a:avLst/>
                    </a:prstGeom>
                    <a:noFill/>
                  </pic:spPr>
                </pic:pic>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hint="eastAsia" w:ascii="宋体" w:hAnsi="宋体" w:cs="宋体"/>
          <w:b/>
          <w:bCs/>
          <w:sz w:val="32"/>
          <w:szCs w:val="32"/>
        </w:rPr>
        <w:t>2017</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本部门2018年度形成的财政拨款收支均为一般公共预算财政拨款，其中一般公共预算财政拨款本年收入500.21万元,比2017年度增加275.57万元，增长22.67%，主要是增加上级拨入</w:t>
      </w:r>
      <w:r>
        <w:rPr>
          <w:rFonts w:hint="eastAsia" w:ascii="宋体" w:hAnsi="宋体" w:cs="宋体"/>
          <w:sz w:val="32"/>
          <w:szCs w:val="32"/>
        </w:rPr>
        <w:t>信访案件化解资金</w:t>
      </w:r>
      <w:r>
        <w:rPr>
          <w:rFonts w:hint="eastAsia" w:ascii="仿宋_GB2312" w:eastAsia="仿宋_GB2312" w:cs="DengXian-Regular"/>
          <w:sz w:val="32"/>
          <w:szCs w:val="32"/>
        </w:rPr>
        <w:t>；本年支出501.38万元，增加277.</w:t>
      </w:r>
      <w:r>
        <w:rPr>
          <w:rFonts w:hint="eastAsia" w:ascii="宋体" w:hAnsi="宋体" w:cs="宋体"/>
          <w:sz w:val="32"/>
          <w:szCs w:val="32"/>
        </w:rPr>
        <w:t>91</w:t>
      </w:r>
      <w:r>
        <w:rPr>
          <w:rFonts w:hint="eastAsia" w:ascii="仿宋_GB2312" w:eastAsia="仿宋_GB2312" w:cs="DengXian-Regular"/>
          <w:sz w:val="32"/>
          <w:szCs w:val="32"/>
        </w:rPr>
        <w:t>万元，增长24.36%，主要是支出信访案件化解资金。</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72576" behindDoc="0" locked="0" layoutInCell="1" allowOverlap="1">
            <wp:simplePos x="0" y="0"/>
            <wp:positionH relativeFrom="column">
              <wp:posOffset>423545</wp:posOffset>
            </wp:positionH>
            <wp:positionV relativeFrom="paragraph">
              <wp:posOffset>-2710180</wp:posOffset>
            </wp:positionV>
            <wp:extent cx="4600575" cy="3004185"/>
            <wp:effectExtent l="19050" t="0" r="0" b="0"/>
            <wp:wrapSquare wrapText="bothSides"/>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noChangeArrowheads="1"/>
                    </pic:cNvPicPr>
                  </pic:nvPicPr>
                  <pic:blipFill>
                    <a:blip r:embed="rId12" cstate="print"/>
                    <a:srcRect/>
                    <a:stretch>
                      <a:fillRect/>
                    </a:stretch>
                  </pic:blipFill>
                  <pic:spPr>
                    <a:xfrm>
                      <a:off x="0" y="0"/>
                      <a:ext cx="4600451" cy="3004457"/>
                    </a:xfrm>
                    <a:prstGeom prst="rect">
                      <a:avLst/>
                    </a:prstGeom>
                    <a:noFill/>
                  </pic:spPr>
                </pic:pic>
              </a:graphicData>
            </a:graphic>
          </wp:anchor>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500.21万元，完成年初预算的274.07%,比年初预算增加317.7万元，决算数大于预算数主要原因是上级拨款增加；本年支出501.38万元，完成年初预算的274.71%,比年初预算增加318.87万元，决算数大于预算数主要原因是支出信访案件化解资金。</w:t>
      </w:r>
    </w:p>
    <w:p>
      <w:pPr>
        <w:adjustRightInd w:val="0"/>
        <w:snapToGrid w:val="0"/>
        <w:spacing w:after="0" w:line="580" w:lineRule="exact"/>
        <w:ind w:firstLine="640" w:firstLineChars="200"/>
        <w:rPr>
          <w:rFonts w:ascii="仿宋_GB2312" w:eastAsia="仿宋_GB2312" w:cs="DengXian-Regular"/>
          <w:color w:val="000000" w:themeColor="text1"/>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ascii="仿宋_GB2312" w:eastAsia="仿宋_GB2312" w:cs="DengXian-Regular"/>
          <w:sz w:val="32"/>
          <w:szCs w:val="32"/>
        </w:rPr>
        <w:drawing>
          <wp:anchor distT="0" distB="0" distL="114300" distR="114300" simplePos="0" relativeHeight="251673600" behindDoc="0" locked="0" layoutInCell="1" allowOverlap="1">
            <wp:simplePos x="0" y="0"/>
            <wp:positionH relativeFrom="column">
              <wp:posOffset>423545</wp:posOffset>
            </wp:positionH>
            <wp:positionV relativeFrom="paragraph">
              <wp:posOffset>-3221355</wp:posOffset>
            </wp:positionV>
            <wp:extent cx="4600575" cy="3515360"/>
            <wp:effectExtent l="19050" t="0" r="0" b="0"/>
            <wp:wrapSquare wrapText="bothSides"/>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noChangeArrowheads="1"/>
                    </pic:cNvPicPr>
                  </pic:nvPicPr>
                  <pic:blipFill>
                    <a:blip r:embed="rId13" cstate="print"/>
                    <a:srcRect/>
                    <a:stretch>
                      <a:fillRect/>
                    </a:stretch>
                  </pic:blipFill>
                  <pic:spPr>
                    <a:xfrm>
                      <a:off x="0" y="0"/>
                      <a:ext cx="4600451" cy="3515096"/>
                    </a:xfrm>
                    <a:prstGeom prst="rect">
                      <a:avLst/>
                    </a:prstGeom>
                    <a:noFill/>
                  </pic:spPr>
                </pic:pic>
              </a:graphicData>
            </a:graphic>
          </wp:anchor>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年度财政拨款支出501.38万元，主要用于以下方面：一般公共服务（类）支出4</w:t>
      </w:r>
      <w:r>
        <w:rPr>
          <w:rFonts w:hint="eastAsia" w:ascii="宋体" w:hAnsi="宋体" w:cs="宋体"/>
          <w:sz w:val="32"/>
          <w:szCs w:val="32"/>
        </w:rPr>
        <w:t>97.84</w:t>
      </w:r>
      <w:r>
        <w:rPr>
          <w:rFonts w:hint="eastAsia" w:ascii="仿宋_GB2312" w:eastAsia="仿宋_GB2312" w:cs="DengXian-Regular"/>
          <w:sz w:val="32"/>
          <w:szCs w:val="32"/>
        </w:rPr>
        <w:t>万元，占</w:t>
      </w:r>
      <w:r>
        <w:rPr>
          <w:rFonts w:hint="eastAsia" w:ascii="宋体" w:hAnsi="宋体" w:cs="宋体"/>
          <w:sz w:val="32"/>
          <w:szCs w:val="32"/>
        </w:rPr>
        <w:t>99.29</w:t>
      </w:r>
      <w:r>
        <w:rPr>
          <w:rFonts w:hint="eastAsia" w:ascii="仿宋_GB2312" w:eastAsia="仿宋_GB2312" w:cs="DengXian-Regular"/>
          <w:sz w:val="32"/>
          <w:szCs w:val="32"/>
        </w:rPr>
        <w:t>%；社会保障和就业（类）支出3.54万元，占0.71%。</w: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r>
        <w:drawing>
          <wp:anchor distT="0" distB="0" distL="114300" distR="114300" simplePos="0" relativeHeight="251674624" behindDoc="0" locked="0" layoutInCell="1" allowOverlap="1">
            <wp:simplePos x="0" y="0"/>
            <wp:positionH relativeFrom="column">
              <wp:posOffset>466725</wp:posOffset>
            </wp:positionH>
            <wp:positionV relativeFrom="paragraph">
              <wp:posOffset>80010</wp:posOffset>
            </wp:positionV>
            <wp:extent cx="4572000" cy="3400425"/>
            <wp:effectExtent l="57150" t="0" r="57150" b="66675"/>
            <wp:wrapSquare wrapText="bothSides"/>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drawing>
          <wp:inline distT="0" distB="0" distL="114300" distR="114300">
            <wp:extent cx="4572000" cy="3400425"/>
            <wp:effectExtent l="47625" t="4445" r="47625" b="10033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年度一般公共预算财政拨款基本支出138.84万元，其中：人员经费 115.6</w:t>
      </w:r>
      <w:r>
        <w:rPr>
          <w:rFonts w:hint="eastAsia" w:ascii="宋体" w:hAnsi="宋体" w:cs="宋体"/>
          <w:sz w:val="32"/>
          <w:szCs w:val="32"/>
        </w:rPr>
        <w:t>9</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23.15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“三公”经费支出共计2.76万元，</w:t>
      </w:r>
      <w:r>
        <w:rPr>
          <w:rFonts w:hint="eastAsia" w:ascii="仿宋_GB2312" w:eastAsia="仿宋_GB2312" w:cs="DengXian-Regular"/>
          <w:b/>
          <w:bCs/>
          <w:sz w:val="32"/>
          <w:szCs w:val="32"/>
        </w:rPr>
        <w:t>较年初预算减少0.24万元，降低8%，</w:t>
      </w:r>
      <w:r>
        <w:rPr>
          <w:rFonts w:hint="eastAsia" w:ascii="仿宋_GB2312" w:eastAsia="仿宋_GB2312" w:cs="DengXian-Regular"/>
          <w:sz w:val="32"/>
          <w:szCs w:val="32"/>
        </w:rPr>
        <w:t>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精神和厉行节约要求，从严控制“三公”经费开支，全年实际支出比预算有所节约，较具体情况如下：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本部门2018年度未发生“因公出国（境）”，较年初预算无增减变化。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2.76</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本部门2018年度公务用车购置及运行维护费较年初预算减少0.24万元，降低8%,较上年决算</w:t>
      </w:r>
      <w:r>
        <w:rPr>
          <w:rFonts w:hint="eastAsia" w:ascii="宋体" w:hAnsi="宋体" w:cs="宋体"/>
          <w:sz w:val="32"/>
          <w:szCs w:val="32"/>
        </w:rPr>
        <w:t>也</w:t>
      </w:r>
      <w:r>
        <w:rPr>
          <w:rFonts w:hint="eastAsia" w:ascii="仿宋_GB2312" w:eastAsia="仿宋_GB2312" w:cs="DengXian-Regular"/>
          <w:sz w:val="32"/>
          <w:szCs w:val="32"/>
        </w:rPr>
        <w:t>减少0.24万元，降低8%，主要是厉行节约。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本部门2018年度未发生“公务用车购置”经费支出，较年初预算持平无增减变化。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本部门2018年度单位公务用车保有量1辆。公车运行维护费支出2.76万元，较年初预算减少0.24万元，降低8%,主要是厉行节约。</w:t>
      </w:r>
    </w:p>
    <w:p>
      <w:pPr>
        <w:adjustRightInd w:val="0"/>
        <w:snapToGrid w:val="0"/>
        <w:spacing w:after="0" w:line="580" w:lineRule="exact"/>
        <w:ind w:firstLine="643" w:firstLineChars="200"/>
        <w:rPr>
          <w:rFonts w:ascii="仿宋_GB2312" w:cs="DengXian-Regular" w:eastAsiaTheme="minorEastAsia"/>
          <w:sz w:val="32"/>
          <w:szCs w:val="32"/>
          <w:highlight w:val="yellow"/>
        </w:rPr>
      </w:pPr>
      <w:r>
        <w:rPr>
          <w:rFonts w:hint="eastAsia" w:ascii="宋体" w:hAnsi="宋体" w:cs="宋体"/>
          <w:b/>
          <w:bCs/>
          <w:sz w:val="32"/>
          <w:szCs w:val="32"/>
        </w:rPr>
        <w:t>（三）</w:t>
      </w:r>
      <w:r>
        <w:rPr>
          <w:rFonts w:hint="eastAsia" w:ascii="___WRD_EMBED_SUB_39" w:hAnsi="___WRD_EMBED_SUB_39" w:eastAsia="___WRD_EMBED_SUB_39" w:cs="___WRD_EMBED_SUB_39"/>
          <w:b/>
          <w:bCs/>
          <w:sz w:val="32"/>
          <w:szCs w:val="32"/>
        </w:rPr>
        <w:t>公</w:t>
      </w:r>
      <w:r>
        <w:rPr>
          <w:rFonts w:hint="eastAsia" w:ascii="宋体" w:hAnsi="宋体" w:cs="宋体"/>
          <w:b/>
          <w:bCs/>
          <w:sz w:val="32"/>
          <w:szCs w:val="32"/>
        </w:rPr>
        <w:t>务接待费支</w:t>
      </w:r>
      <w:r>
        <w:rPr>
          <w:rFonts w:hint="eastAsia" w:ascii="___WRD_EMBED_SUB_39" w:hAnsi="___WRD_EMBED_SUB_39" w:eastAsia="___WRD_EMBED_SUB_39" w:cs="___WRD_EMBED_SUB_39"/>
          <w:b/>
          <w:bCs/>
          <w:sz w:val="32"/>
          <w:szCs w:val="32"/>
        </w:rPr>
        <w:t>出</w:t>
      </w:r>
      <w:r>
        <w:rPr>
          <w:rFonts w:hint="eastAsia" w:ascii="宋体" w:hAnsi="宋体" w:cs="宋体"/>
          <w:b/>
          <w:bCs/>
          <w:sz w:val="32"/>
          <w:szCs w:val="32"/>
        </w:rPr>
        <w:t>0万元</w:t>
      </w:r>
      <w:r>
        <w:rPr>
          <w:rFonts w:hint="eastAsia" w:ascii="___WRD_EMBED_SUB_39" w:hAnsi="___WRD_EMBED_SUB_39" w:eastAsia="___WRD_EMBED_SUB_39" w:cs="___WRD_EMBED_SUB_39"/>
          <w:b/>
          <w:bCs/>
          <w:sz w:val="32"/>
          <w:szCs w:val="32"/>
        </w:rPr>
        <w:t>。</w:t>
      </w:r>
      <w:r>
        <w:rPr>
          <w:rFonts w:hint="eastAsia" w:ascii="仿宋_GB2312" w:eastAsia="仿宋_GB2312" w:cs="DengXian-Regular"/>
          <w:sz w:val="32"/>
          <w:szCs w:val="32"/>
        </w:rPr>
        <w:t>本部门2018年度未发生“公务接待”经费支出</w:t>
      </w:r>
      <w:r>
        <w:rPr>
          <w:rFonts w:hint="eastAsia" w:cs="DengXian-Regular" w:asciiTheme="minorEastAsia" w:hAnsiTheme="minorEastAsia" w:eastAsiaTheme="minorEastAsia"/>
          <w:sz w:val="32"/>
          <w:szCs w:val="32"/>
        </w:rPr>
        <w:t>，</w:t>
      </w:r>
      <w:r>
        <w:rPr>
          <w:rFonts w:hint="eastAsia" w:ascii="仿宋" w:hAnsi="仿宋" w:eastAsia="仿宋" w:cs="宋体"/>
          <w:sz w:val="32"/>
          <w:szCs w:val="32"/>
        </w:rPr>
        <w:t>与年初预算持平。</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绩效预算情况说明(以下内容必有，其他可以多)</w:t>
      </w:r>
    </w:p>
    <w:p>
      <w:pPr>
        <w:adjustRightInd w:val="0"/>
        <w:snapToGrid w:val="0"/>
        <w:spacing w:after="0" w:line="580" w:lineRule="exact"/>
        <w:ind w:firstLine="640" w:firstLineChars="200"/>
        <w:rPr>
          <w:rFonts w:ascii="仿宋_GB2312" w:eastAsia="仿宋_GB2312" w:cs="DengXian-Regular"/>
          <w:color w:val="000000" w:themeColor="text1"/>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000000" w:themeColor="text1"/>
          <w:sz w:val="32"/>
          <w:szCs w:val="32"/>
        </w:rPr>
        <w:t>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信访稳控和双百攻坚信访案件化解资金等2个项目，涉及资金341.6万元。从评价情况看，良好的项目有2个，</w:t>
      </w:r>
    </w:p>
    <w:p>
      <w:pPr>
        <w:adjustRightInd w:val="0"/>
        <w:snapToGrid w:val="0"/>
        <w:spacing w:after="0" w:line="58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信访维稳项目绩效自评：根据年初设定的绩效目标，信访维稳和双百攻坚信访案件化解项目绩效自评结果良好。项目全年预算数为341.6万元，执行数为341.6万元，完成预算的100%。主要产出和效果是加强信访维稳工作，化解信访案件，减少进京、赴省访，维护社会和谐稳定。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本部门2018年度机关运行经费支出23.15万元，比年初预算数增加5.77万元，增长33.2%。主要原因是增加办公购置费。</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2019年12月31日，本部门共有车辆1辆，比上年无增长变化。其中，副部（省）级及以上领导用车0辆，主要领导干部用车1辆，机要通信用车0辆，应急保障用车0辆，执法执勤用车0辆，特种专业技术用车0辆，离退休干部用车0辆，其他用车0辆；</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万元以上通用设备0台（套），比上年增加0套，主要是本单位没有50万元以上通用设备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万元以上专用设备0台（套）比上年增加0套，主要是本单位没有100万元以上通用设备。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1、本部门2018年度政府性基金预算财政拨款无收支及结转结余情况，故政府性基金预算财政拨款收入支出决算表以空表列示。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本部门2018年度国有资本经营预算财政拨款无收入、支出情况，故国有资本经营预算财政拨款收入支出决算表以空表列示。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本部门2018年度无政府采购，故政府采购情况表以空表列示。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9"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643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6432;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DZZp6M3gAAAA0BAAAPAAAAAAAAAAEAIAAAADgAAABkcnMvZG93bnJldi54bWxQSwECFAAUAAAA&#10;CACHTuJAEVGE7UQCAAB3BAAADgAAAAAAAAABACAAAABDAQAAZHJzL2Uyb0RvYy54bWxQSwUGAAAA&#10;AAYABgBZAQAA+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-1247775</wp:posOffset>
            </wp:positionH>
            <wp:positionV relativeFrom="paragraph">
              <wp:posOffset>-1256030</wp:posOffset>
            </wp:positionV>
            <wp:extent cx="7587615" cy="10735945"/>
            <wp:effectExtent l="19050" t="0" r="0" b="0"/>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6" cstate="print"/>
                    <a:stretch>
                      <a:fillRect/>
                    </a:stretch>
                  </pic:blipFill>
                  <pic:spPr>
                    <a:xfrm>
                      <a:off x="0" y="0"/>
                      <a:ext cx="7587434"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86"/>
    <w:family w:val="auto"/>
    <w:pitch w:val="default"/>
    <w:sig w:usb0="00000000" w:usb1="00000000" w:usb2="00000000" w:usb3="00000000" w:csb0="0000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仿宋">
    <w:altName w:val="方正仿宋_GBK"/>
    <w:panose1 w:val="02010609060101010101"/>
    <w:charset w:val="86"/>
    <w:family w:val="modern"/>
    <w:pitch w:val="default"/>
    <w:sig w:usb0="00000000" w:usb1="00000000" w:usb2="00000016" w:usb3="00000000" w:csb0="00040001" w:csb1="00000000"/>
  </w:font>
  <w:font w:name="MS-UIGothic,Bold">
    <w:altName w:val="方正黑体_GBK"/>
    <w:panose1 w:val="00000000000000000000"/>
    <w:charset w:val="81"/>
    <w:family w:val="auto"/>
    <w:pitch w:val="default"/>
    <w:sig w:usb0="00000000" w:usb1="00000000" w:usb2="00000010" w:usb3="00000000" w:csb0="00080000" w:csb1="00000000"/>
  </w:font>
  <w:font w:name="黑体">
    <w:altName w:val="方正黑体_GBK"/>
    <w:panose1 w:val="00000000000000000000"/>
    <w:charset w:val="00"/>
    <w:family w:val="auto"/>
    <w:pitch w:val="default"/>
    <w:sig w:usb0="00000000" w:usb1="00000000" w:usb2="00000000" w:usb3="00000000" w:csb0="00000000" w:csb1="00000000"/>
  </w:font>
  <w:font w:name="Arial">
    <w:altName w:val="DejaVu Sans"/>
    <w:panose1 w:val="020B0604020202020204"/>
    <w:charset w:val="00"/>
    <w:family w:val="swiss"/>
    <w:pitch w:val="default"/>
    <w:sig w:usb0="00000000" w:usb1="00000000" w:usb2="00000009" w:usb3="00000000" w:csb0="000001F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___WRD_EMBED_SUB_39">
    <w:altName w:val="幼圆"/>
    <w:panose1 w:val="02010609030101010101"/>
    <w:charset w:val="86"/>
    <w:family w:val="modern"/>
    <w:pitch w:val="default"/>
    <w:sig w:usb0="00000000" w:usb1="00000000" w:usb2="00000010" w:usb3="00000000" w:csb0="00040000" w:csb1="00000000"/>
  </w:font>
  <w:font w:name="幼圆">
    <w:panose1 w:val="02010509060101010101"/>
    <w:charset w:val="86"/>
    <w:family w:val="auto"/>
    <w:pitch w:val="default"/>
    <w:sig w:usb0="00000001" w:usb1="080E0000" w:usb2="00000000" w:usb3="00000000" w:csb0="00040000" w:csb1="00000000"/>
  </w:font>
  <w:font w:name="TimesNewRomanPSMT">
    <w:altName w:val="DejaVu Sans"/>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10E04"/>
    <w:rsid w:val="000116C2"/>
    <w:rsid w:val="00023C5F"/>
    <w:rsid w:val="00024E7F"/>
    <w:rsid w:val="0003410B"/>
    <w:rsid w:val="00042F4F"/>
    <w:rsid w:val="000475A0"/>
    <w:rsid w:val="000838C3"/>
    <w:rsid w:val="000B2446"/>
    <w:rsid w:val="000B68A2"/>
    <w:rsid w:val="000D46ED"/>
    <w:rsid w:val="000D7C65"/>
    <w:rsid w:val="000E0B78"/>
    <w:rsid w:val="000E2F81"/>
    <w:rsid w:val="000F5BEA"/>
    <w:rsid w:val="00107F84"/>
    <w:rsid w:val="00117946"/>
    <w:rsid w:val="00117E2C"/>
    <w:rsid w:val="00125724"/>
    <w:rsid w:val="00146C47"/>
    <w:rsid w:val="00152FB8"/>
    <w:rsid w:val="00166BDD"/>
    <w:rsid w:val="0017200E"/>
    <w:rsid w:val="00176658"/>
    <w:rsid w:val="0018239E"/>
    <w:rsid w:val="001923AE"/>
    <w:rsid w:val="001B3410"/>
    <w:rsid w:val="001C030D"/>
    <w:rsid w:val="001C4A84"/>
    <w:rsid w:val="001E5902"/>
    <w:rsid w:val="002204A8"/>
    <w:rsid w:val="00221B5E"/>
    <w:rsid w:val="002227CE"/>
    <w:rsid w:val="00222CD1"/>
    <w:rsid w:val="00224E91"/>
    <w:rsid w:val="00233705"/>
    <w:rsid w:val="00251C5B"/>
    <w:rsid w:val="002642A4"/>
    <w:rsid w:val="00275CA2"/>
    <w:rsid w:val="00285865"/>
    <w:rsid w:val="002A5714"/>
    <w:rsid w:val="002A65A5"/>
    <w:rsid w:val="002C04C4"/>
    <w:rsid w:val="002D08B0"/>
    <w:rsid w:val="002D1AE3"/>
    <w:rsid w:val="002F2ECE"/>
    <w:rsid w:val="00304830"/>
    <w:rsid w:val="00331105"/>
    <w:rsid w:val="00341C8F"/>
    <w:rsid w:val="0035463A"/>
    <w:rsid w:val="003561D4"/>
    <w:rsid w:val="00391D9D"/>
    <w:rsid w:val="00391E1D"/>
    <w:rsid w:val="003A0281"/>
    <w:rsid w:val="003B6C51"/>
    <w:rsid w:val="003C1180"/>
    <w:rsid w:val="003C1413"/>
    <w:rsid w:val="003C549F"/>
    <w:rsid w:val="003D133C"/>
    <w:rsid w:val="003D5A16"/>
    <w:rsid w:val="003E2AB6"/>
    <w:rsid w:val="003E76C8"/>
    <w:rsid w:val="003E7DB3"/>
    <w:rsid w:val="003F7EC9"/>
    <w:rsid w:val="004016C6"/>
    <w:rsid w:val="00425CA3"/>
    <w:rsid w:val="00430BDE"/>
    <w:rsid w:val="00431175"/>
    <w:rsid w:val="00444FEA"/>
    <w:rsid w:val="00486367"/>
    <w:rsid w:val="004B25E4"/>
    <w:rsid w:val="004B6E37"/>
    <w:rsid w:val="004C32BA"/>
    <w:rsid w:val="00502871"/>
    <w:rsid w:val="00523C0E"/>
    <w:rsid w:val="00575922"/>
    <w:rsid w:val="005A6C90"/>
    <w:rsid w:val="005D2AB9"/>
    <w:rsid w:val="005E0CFF"/>
    <w:rsid w:val="005E3FB0"/>
    <w:rsid w:val="005F4B66"/>
    <w:rsid w:val="005F5208"/>
    <w:rsid w:val="006048F2"/>
    <w:rsid w:val="00613D19"/>
    <w:rsid w:val="00641318"/>
    <w:rsid w:val="0064405D"/>
    <w:rsid w:val="0067091D"/>
    <w:rsid w:val="00674D7B"/>
    <w:rsid w:val="00683F7F"/>
    <w:rsid w:val="00685302"/>
    <w:rsid w:val="00695557"/>
    <w:rsid w:val="006C5293"/>
    <w:rsid w:val="006D4EA7"/>
    <w:rsid w:val="006E28B1"/>
    <w:rsid w:val="006E717E"/>
    <w:rsid w:val="0070012A"/>
    <w:rsid w:val="0070664B"/>
    <w:rsid w:val="007071B8"/>
    <w:rsid w:val="007414DE"/>
    <w:rsid w:val="0074209C"/>
    <w:rsid w:val="00782C81"/>
    <w:rsid w:val="007905A9"/>
    <w:rsid w:val="00797710"/>
    <w:rsid w:val="007E1487"/>
    <w:rsid w:val="007E5500"/>
    <w:rsid w:val="007F055B"/>
    <w:rsid w:val="0080644C"/>
    <w:rsid w:val="00811C2F"/>
    <w:rsid w:val="00816C82"/>
    <w:rsid w:val="00833D46"/>
    <w:rsid w:val="00840A97"/>
    <w:rsid w:val="00894DE1"/>
    <w:rsid w:val="008956FF"/>
    <w:rsid w:val="008C0149"/>
    <w:rsid w:val="008C689C"/>
    <w:rsid w:val="008D5DED"/>
    <w:rsid w:val="008E25CA"/>
    <w:rsid w:val="008F34FC"/>
    <w:rsid w:val="008F4339"/>
    <w:rsid w:val="008F6CEE"/>
    <w:rsid w:val="009140A7"/>
    <w:rsid w:val="00935058"/>
    <w:rsid w:val="009352FF"/>
    <w:rsid w:val="00944CD7"/>
    <w:rsid w:val="0095210F"/>
    <w:rsid w:val="009831B2"/>
    <w:rsid w:val="00985095"/>
    <w:rsid w:val="009A1ABE"/>
    <w:rsid w:val="009A51F6"/>
    <w:rsid w:val="009E21A4"/>
    <w:rsid w:val="009F22C6"/>
    <w:rsid w:val="00A00236"/>
    <w:rsid w:val="00A07E50"/>
    <w:rsid w:val="00A15397"/>
    <w:rsid w:val="00A35CE0"/>
    <w:rsid w:val="00A4462E"/>
    <w:rsid w:val="00A44AA4"/>
    <w:rsid w:val="00A61623"/>
    <w:rsid w:val="00A8360B"/>
    <w:rsid w:val="00A84687"/>
    <w:rsid w:val="00A8701A"/>
    <w:rsid w:val="00A87995"/>
    <w:rsid w:val="00A91143"/>
    <w:rsid w:val="00AB0A0E"/>
    <w:rsid w:val="00AD06F8"/>
    <w:rsid w:val="00AD3B6E"/>
    <w:rsid w:val="00B1751F"/>
    <w:rsid w:val="00B3567F"/>
    <w:rsid w:val="00B56722"/>
    <w:rsid w:val="00B74D39"/>
    <w:rsid w:val="00B76D18"/>
    <w:rsid w:val="00B91DA4"/>
    <w:rsid w:val="00BD606A"/>
    <w:rsid w:val="00BD6090"/>
    <w:rsid w:val="00BF06D5"/>
    <w:rsid w:val="00C12630"/>
    <w:rsid w:val="00C34562"/>
    <w:rsid w:val="00C3774E"/>
    <w:rsid w:val="00C42231"/>
    <w:rsid w:val="00C57456"/>
    <w:rsid w:val="00C65387"/>
    <w:rsid w:val="00C87FAB"/>
    <w:rsid w:val="00C91FF7"/>
    <w:rsid w:val="00C94E53"/>
    <w:rsid w:val="00CA5070"/>
    <w:rsid w:val="00CC32CB"/>
    <w:rsid w:val="00CF29B2"/>
    <w:rsid w:val="00D0048E"/>
    <w:rsid w:val="00D03374"/>
    <w:rsid w:val="00D23E7A"/>
    <w:rsid w:val="00D43332"/>
    <w:rsid w:val="00D47BDC"/>
    <w:rsid w:val="00D61063"/>
    <w:rsid w:val="00D86AAD"/>
    <w:rsid w:val="00DB35AF"/>
    <w:rsid w:val="00DD72D7"/>
    <w:rsid w:val="00DD7FCF"/>
    <w:rsid w:val="00DE6662"/>
    <w:rsid w:val="00DF5B88"/>
    <w:rsid w:val="00E0589E"/>
    <w:rsid w:val="00E20EBD"/>
    <w:rsid w:val="00E241FA"/>
    <w:rsid w:val="00E2595E"/>
    <w:rsid w:val="00E35374"/>
    <w:rsid w:val="00E50C19"/>
    <w:rsid w:val="00E64655"/>
    <w:rsid w:val="00E73081"/>
    <w:rsid w:val="00E80B79"/>
    <w:rsid w:val="00E856C9"/>
    <w:rsid w:val="00E8744D"/>
    <w:rsid w:val="00EB6A8B"/>
    <w:rsid w:val="00EF38C6"/>
    <w:rsid w:val="00F22954"/>
    <w:rsid w:val="00F37068"/>
    <w:rsid w:val="00F414C8"/>
    <w:rsid w:val="00F679C7"/>
    <w:rsid w:val="00F743D7"/>
    <w:rsid w:val="00F7711A"/>
    <w:rsid w:val="00F814D7"/>
    <w:rsid w:val="00FA0D58"/>
    <w:rsid w:val="00FA56F4"/>
    <w:rsid w:val="00FB4EDA"/>
    <w:rsid w:val="00FC4225"/>
    <w:rsid w:val="00FD3BD5"/>
    <w:rsid w:val="00FD7410"/>
    <w:rsid w:val="00FE0210"/>
    <w:rsid w:val="00FE3DC8"/>
    <w:rsid w:val="04073F84"/>
    <w:rsid w:val="06F13486"/>
    <w:rsid w:val="0B60750A"/>
    <w:rsid w:val="10686488"/>
    <w:rsid w:val="10DF728A"/>
    <w:rsid w:val="1264200E"/>
    <w:rsid w:val="141C5B77"/>
    <w:rsid w:val="144142C3"/>
    <w:rsid w:val="18D8339D"/>
    <w:rsid w:val="1A21388F"/>
    <w:rsid w:val="1A570D2F"/>
    <w:rsid w:val="1BDC38BC"/>
    <w:rsid w:val="28FB0B8D"/>
    <w:rsid w:val="2A9870FC"/>
    <w:rsid w:val="2D2B7942"/>
    <w:rsid w:val="2D46481D"/>
    <w:rsid w:val="2E733B28"/>
    <w:rsid w:val="31852B5A"/>
    <w:rsid w:val="32D01238"/>
    <w:rsid w:val="382E0471"/>
    <w:rsid w:val="395870A7"/>
    <w:rsid w:val="3DFC59A8"/>
    <w:rsid w:val="3ECF245E"/>
    <w:rsid w:val="3FB96314"/>
    <w:rsid w:val="4D621DD6"/>
    <w:rsid w:val="4EEB3A14"/>
    <w:rsid w:val="53A44FAF"/>
    <w:rsid w:val="594329EC"/>
    <w:rsid w:val="5BEE1540"/>
    <w:rsid w:val="5DE61A5D"/>
    <w:rsid w:val="62AE23F9"/>
    <w:rsid w:val="63C04243"/>
    <w:rsid w:val="64154528"/>
    <w:rsid w:val="649C01C7"/>
    <w:rsid w:val="699A3F60"/>
    <w:rsid w:val="72902E62"/>
    <w:rsid w:val="737C1DB6"/>
    <w:rsid w:val="73C61104"/>
    <w:rsid w:val="776452EA"/>
    <w:rsid w:val="7C8D7161"/>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8.jpeg"/><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lenovo\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enovo\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5</a:t>
            </a:r>
            <a:r>
              <a:rPr lang="zh-CN" altLang="zh-CN" sz="12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200" b="0">
              <a:latin typeface="仿宋_GB2312" panose="02010609030101010101" pitchFamily="3" charset="-122"/>
              <a:ea typeface="仿宋_GB2312" panose="02010609030101010101" pitchFamily="3" charset="-122"/>
            </a:endParaRPr>
          </a:p>
        </c:rich>
      </c:tx>
      <c:layout>
        <c:manualLayout>
          <c:xMode val="edge"/>
          <c:yMode val="edge"/>
          <c:x val="0.140972222222222"/>
          <c:y val="0.837120962443045"/>
        </c:manualLayout>
      </c:layout>
      <c:overlay val="0"/>
    </c:title>
    <c:autoTitleDeleted val="0"/>
    <c:plotArea>
      <c:layout>
        <c:manualLayout>
          <c:layoutTarget val="inner"/>
          <c:xMode val="edge"/>
          <c:yMode val="edge"/>
          <c:x val="0.242777777777778"/>
          <c:y val="0.0719696755041531"/>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5"/>
              <c:layout>
                <c:manualLayout>
                  <c:x val="0.378188976377954"/>
                  <c:y val="0.16526610644257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497.84</c:v>
                </c:pt>
                <c:pt idx="5">
                  <c:v>3.54</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5"/>
        </c:manualLayout>
      </c:layout>
      <c:overlay val="0"/>
    </c:title>
    <c:autoTitleDeleted val="0"/>
    <c:plotArea>
      <c:layout>
        <c:manualLayout>
          <c:layoutTarget val="inner"/>
          <c:xMode val="edge"/>
          <c:yMode val="edge"/>
          <c:x val="0.242777777777778"/>
          <c:y val="0.0719696755041531"/>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497.84</c:v>
                </c:pt>
                <c:pt idx="5">
                  <c:v>3.54</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30</Pages>
  <Words>1548</Words>
  <Characters>8826</Characters>
  <Lines>73</Lines>
  <Paragraphs>20</Paragraphs>
  <TotalTime>20</TotalTime>
  <ScaleCrop>false</ScaleCrop>
  <LinksUpToDate>false</LinksUpToDate>
  <CharactersWithSpaces>10354</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2021-05-19T09:27:00Z</dcterms:created>
  <dc:creator>User</dc:creator>
  <cp:lastModifiedBy>caizhengju</cp:lastModifiedBy>
  <cp:lastPrinted>2019-09-11T18:44:00Z</cp:lastPrinted>
  <dcterms:modified xsi:type="dcterms:W3CDTF">2024-01-03T09:53:53Z</dcterms:modified>
  <dc:subject>石家庄市xxx部门</dc:subject>
  <dc:title>2017年度部门决算</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95A82AB30AB974DF31BE9465FF2259AE</vt:lpwstr>
  </property>
</Properties>
</file>