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p>
    <w:p>
      <w:pPr>
        <w:pStyle w:val="5"/>
        <w:tabs>
          <w:tab w:val="right" w:leader="dot" w:pos="14562"/>
        </w:tabs>
      </w:pPr>
      <w:r>
        <w:rPr>
          <w:rFonts w:hint="eastAsia"/>
          <w:lang w:val="en-US" w:eastAsia="zh-CN"/>
        </w:rPr>
        <w:t>一、</w:t>
      </w: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无极县机关事务服务中心本极收支预算</w:t>
      </w:r>
      <w:r>
        <w:tab/>
      </w:r>
      <w:r>
        <w:fldChar w:fldCharType="begin"/>
      </w:r>
      <w:r>
        <w:instrText xml:space="preserve">PAGEREF _Toc_4_4_0000000019 \h</w:instrText>
      </w:r>
      <w:r>
        <w:fldChar w:fldCharType="separate"/>
      </w:r>
      <w:r>
        <w:rPr>
          <w:rFonts w:hint="eastAsia"/>
          <w:lang w:val="en-US" w:eastAsia="zh-CN"/>
        </w:rP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一、无极县机关事务服务中心本极收支预算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1341.00</w:t>
            </w:r>
          </w:p>
        </w:tc>
        <w:tc>
          <w:tcPr>
            <w:tcW w:w="4535" w:type="dxa"/>
            <w:vAlign w:val="center"/>
          </w:tcPr>
          <w:p>
            <w:pPr>
              <w:pStyle w:val="16"/>
            </w:pPr>
            <w:r>
              <w:t>一、一般公共服务支出</w:t>
            </w:r>
          </w:p>
        </w:tc>
        <w:tc>
          <w:tcPr>
            <w:tcW w:w="2126" w:type="dxa"/>
            <w:vAlign w:val="center"/>
          </w:tcPr>
          <w:p>
            <w:pPr>
              <w:pStyle w:val="15"/>
            </w:pPr>
            <w:r>
              <w:t>1204.00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1341.00</w:t>
            </w:r>
          </w:p>
        </w:tc>
        <w:tc>
          <w:tcPr>
            <w:tcW w:w="4535" w:type="dxa"/>
            <w:vAlign w:val="center"/>
          </w:tcPr>
          <w:p>
            <w:pPr>
              <w:pStyle w:val="18"/>
            </w:pPr>
            <w:r>
              <w:t>本年支出合计</w:t>
            </w:r>
          </w:p>
        </w:tc>
        <w:tc>
          <w:tcPr>
            <w:tcW w:w="2126" w:type="dxa"/>
            <w:vAlign w:val="center"/>
          </w:tcPr>
          <w:p>
            <w:pPr>
              <w:pStyle w:val="19"/>
            </w:pPr>
            <w:r>
              <w:t>1341.00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1341.00</w:t>
            </w:r>
          </w:p>
        </w:tc>
        <w:tc>
          <w:tcPr>
            <w:tcW w:w="4535" w:type="dxa"/>
            <w:vAlign w:val="center"/>
          </w:tcPr>
          <w:p>
            <w:pPr>
              <w:pStyle w:val="18"/>
            </w:pPr>
            <w:r>
              <w:t>支出总计</w:t>
            </w:r>
          </w:p>
        </w:tc>
        <w:tc>
          <w:tcPr>
            <w:tcW w:w="2126" w:type="dxa"/>
            <w:vAlign w:val="center"/>
          </w:tcPr>
          <w:p>
            <w:pPr>
              <w:pStyle w:val="19"/>
            </w:pPr>
            <w:r>
              <w:t>1341.00</w:t>
            </w:r>
          </w:p>
        </w:tc>
      </w:tr>
    </w:tbl>
    <w:p>
      <w:pPr>
        <w:sectPr>
          <w:headerReference r:id="rId3" w:type="default"/>
          <w:footerReference r:id="rId5" w:type="default"/>
          <w:headerReference r:id="rId4" w:type="even"/>
          <w:footerReference r:id="rId6" w:type="even"/>
          <w:pgSz w:w="16840" w:h="11900" w:orient="landscape"/>
          <w:pgMar w:top="1361" w:right="1020" w:bottom="1134" w:left="1020" w:header="720" w:footer="720" w:gutter="0"/>
          <w:pgNumType w:fmt="decimal"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1341.00</w:t>
            </w:r>
          </w:p>
        </w:tc>
        <w:tc>
          <w:tcPr>
            <w:tcW w:w="1134" w:type="dxa"/>
            <w:vAlign w:val="center"/>
          </w:tcPr>
          <w:p>
            <w:pPr>
              <w:pStyle w:val="19"/>
            </w:pPr>
            <w:r>
              <w:t>1341.00</w:t>
            </w:r>
          </w:p>
        </w:tc>
        <w:tc>
          <w:tcPr>
            <w:tcW w:w="1134" w:type="dxa"/>
            <w:vAlign w:val="center"/>
          </w:tcPr>
          <w:p>
            <w:pPr>
              <w:pStyle w:val="19"/>
            </w:pPr>
            <w:r>
              <w:t>1341.00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1204.00</w:t>
            </w:r>
          </w:p>
        </w:tc>
        <w:tc>
          <w:tcPr>
            <w:tcW w:w="1134" w:type="dxa"/>
            <w:vAlign w:val="center"/>
          </w:tcPr>
          <w:p>
            <w:pPr>
              <w:pStyle w:val="15"/>
            </w:pPr>
            <w:r>
              <w:t>1204.00</w:t>
            </w:r>
          </w:p>
        </w:tc>
        <w:tc>
          <w:tcPr>
            <w:tcW w:w="1134" w:type="dxa"/>
            <w:vAlign w:val="center"/>
          </w:tcPr>
          <w:p>
            <w:pPr>
              <w:pStyle w:val="15"/>
            </w:pPr>
            <w:r>
              <w:t>1204.00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1204.00</w:t>
            </w:r>
          </w:p>
        </w:tc>
        <w:tc>
          <w:tcPr>
            <w:tcW w:w="1134" w:type="dxa"/>
            <w:vAlign w:val="center"/>
          </w:tcPr>
          <w:p>
            <w:pPr>
              <w:pStyle w:val="15"/>
            </w:pPr>
            <w:r>
              <w:t>1204.00</w:t>
            </w:r>
          </w:p>
        </w:tc>
        <w:tc>
          <w:tcPr>
            <w:tcW w:w="1134" w:type="dxa"/>
            <w:vAlign w:val="center"/>
          </w:tcPr>
          <w:p>
            <w:pPr>
              <w:pStyle w:val="15"/>
            </w:pPr>
            <w:r>
              <w:t>1204.00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402.30</w:t>
            </w:r>
          </w:p>
        </w:tc>
        <w:tc>
          <w:tcPr>
            <w:tcW w:w="1134" w:type="dxa"/>
            <w:vAlign w:val="center"/>
          </w:tcPr>
          <w:p>
            <w:pPr>
              <w:pStyle w:val="15"/>
            </w:pPr>
            <w:r>
              <w:t>402.30</w:t>
            </w:r>
          </w:p>
        </w:tc>
        <w:tc>
          <w:tcPr>
            <w:tcW w:w="1134" w:type="dxa"/>
            <w:vAlign w:val="center"/>
          </w:tcPr>
          <w:p>
            <w:pPr>
              <w:pStyle w:val="15"/>
            </w:pPr>
            <w:r>
              <w:t>402.30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2010304</w:t>
            </w:r>
          </w:p>
        </w:tc>
        <w:tc>
          <w:tcPr>
            <w:tcW w:w="1559" w:type="dxa"/>
            <w:vAlign w:val="center"/>
          </w:tcPr>
          <w:p>
            <w:pPr>
              <w:pStyle w:val="16"/>
            </w:pPr>
            <w:r>
              <w:t>专项服务</w:t>
            </w:r>
          </w:p>
        </w:tc>
        <w:tc>
          <w:tcPr>
            <w:tcW w:w="1134" w:type="dxa"/>
            <w:vAlign w:val="center"/>
          </w:tcPr>
          <w:p>
            <w:pPr>
              <w:pStyle w:val="15"/>
            </w:pPr>
            <w:r>
              <w:t>631.70</w:t>
            </w:r>
          </w:p>
        </w:tc>
        <w:tc>
          <w:tcPr>
            <w:tcW w:w="1134" w:type="dxa"/>
            <w:vAlign w:val="center"/>
          </w:tcPr>
          <w:p>
            <w:pPr>
              <w:pStyle w:val="15"/>
            </w:pPr>
            <w:r>
              <w:t>631.70</w:t>
            </w:r>
          </w:p>
        </w:tc>
        <w:tc>
          <w:tcPr>
            <w:tcW w:w="1134" w:type="dxa"/>
            <w:vAlign w:val="center"/>
          </w:tcPr>
          <w:p>
            <w:pPr>
              <w:pStyle w:val="15"/>
            </w:pPr>
            <w:r>
              <w:t>631.70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2010399</w:t>
            </w:r>
          </w:p>
        </w:tc>
        <w:tc>
          <w:tcPr>
            <w:tcW w:w="1559" w:type="dxa"/>
            <w:vAlign w:val="center"/>
          </w:tcPr>
          <w:p>
            <w:pPr>
              <w:pStyle w:val="16"/>
            </w:pPr>
            <w:r>
              <w:t>其他政府办公厅（室）及相关机构事务支出</w:t>
            </w:r>
          </w:p>
        </w:tc>
        <w:tc>
          <w:tcPr>
            <w:tcW w:w="1134" w:type="dxa"/>
            <w:vAlign w:val="center"/>
          </w:tcPr>
          <w:p>
            <w:pPr>
              <w:pStyle w:val="15"/>
            </w:pPr>
            <w:r>
              <w:t>170.00</w:t>
            </w:r>
          </w:p>
        </w:tc>
        <w:tc>
          <w:tcPr>
            <w:tcW w:w="1134" w:type="dxa"/>
            <w:vAlign w:val="center"/>
          </w:tcPr>
          <w:p>
            <w:pPr>
              <w:pStyle w:val="15"/>
            </w:pPr>
            <w:r>
              <w:t>170.00</w:t>
            </w:r>
          </w:p>
        </w:tc>
        <w:tc>
          <w:tcPr>
            <w:tcW w:w="1134" w:type="dxa"/>
            <w:vAlign w:val="center"/>
          </w:tcPr>
          <w:p>
            <w:pPr>
              <w:pStyle w:val="15"/>
            </w:pPr>
            <w:r>
              <w:t>170.00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119.00</w:t>
            </w:r>
          </w:p>
        </w:tc>
        <w:tc>
          <w:tcPr>
            <w:tcW w:w="1134" w:type="dxa"/>
            <w:vAlign w:val="center"/>
          </w:tcPr>
          <w:p>
            <w:pPr>
              <w:pStyle w:val="15"/>
            </w:pPr>
            <w:r>
              <w:t>119.00</w:t>
            </w:r>
          </w:p>
        </w:tc>
        <w:tc>
          <w:tcPr>
            <w:tcW w:w="1134" w:type="dxa"/>
            <w:vAlign w:val="center"/>
          </w:tcPr>
          <w:p>
            <w:pPr>
              <w:pStyle w:val="15"/>
            </w:pPr>
            <w:r>
              <w:t>119.00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119.00</w:t>
            </w:r>
          </w:p>
        </w:tc>
        <w:tc>
          <w:tcPr>
            <w:tcW w:w="1134" w:type="dxa"/>
            <w:vAlign w:val="center"/>
          </w:tcPr>
          <w:p>
            <w:pPr>
              <w:pStyle w:val="15"/>
            </w:pPr>
            <w:r>
              <w:t>119.00</w:t>
            </w:r>
          </w:p>
        </w:tc>
        <w:tc>
          <w:tcPr>
            <w:tcW w:w="1134" w:type="dxa"/>
            <w:vAlign w:val="center"/>
          </w:tcPr>
          <w:p>
            <w:pPr>
              <w:pStyle w:val="15"/>
            </w:pPr>
            <w:r>
              <w:t>119.00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32.00</w:t>
            </w:r>
          </w:p>
        </w:tc>
        <w:tc>
          <w:tcPr>
            <w:tcW w:w="1134" w:type="dxa"/>
            <w:vAlign w:val="center"/>
          </w:tcPr>
          <w:p>
            <w:pPr>
              <w:pStyle w:val="15"/>
            </w:pPr>
            <w:r>
              <w:t>32.00</w:t>
            </w:r>
          </w:p>
        </w:tc>
        <w:tc>
          <w:tcPr>
            <w:tcW w:w="1134" w:type="dxa"/>
            <w:vAlign w:val="center"/>
          </w:tcPr>
          <w:p>
            <w:pPr>
              <w:pStyle w:val="15"/>
            </w:pPr>
            <w:r>
              <w:t>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r>
              <w:t>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1341.00</w:t>
            </w:r>
          </w:p>
        </w:tc>
        <w:tc>
          <w:tcPr>
            <w:tcW w:w="1361" w:type="dxa"/>
            <w:vAlign w:val="center"/>
          </w:tcPr>
          <w:p>
            <w:pPr>
              <w:pStyle w:val="19"/>
            </w:pPr>
            <w:r>
              <w:t>539.30</w:t>
            </w:r>
          </w:p>
        </w:tc>
        <w:tc>
          <w:tcPr>
            <w:tcW w:w="1361" w:type="dxa"/>
            <w:vAlign w:val="center"/>
          </w:tcPr>
          <w:p>
            <w:pPr>
              <w:pStyle w:val="19"/>
            </w:pPr>
            <w:r>
              <w:t>801.70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1204.00</w:t>
            </w:r>
          </w:p>
        </w:tc>
        <w:tc>
          <w:tcPr>
            <w:tcW w:w="1361" w:type="dxa"/>
            <w:vAlign w:val="center"/>
          </w:tcPr>
          <w:p>
            <w:pPr>
              <w:pStyle w:val="15"/>
            </w:pPr>
            <w:r>
              <w:t>402.30</w:t>
            </w:r>
          </w:p>
        </w:tc>
        <w:tc>
          <w:tcPr>
            <w:tcW w:w="1361" w:type="dxa"/>
            <w:vAlign w:val="center"/>
          </w:tcPr>
          <w:p>
            <w:pPr>
              <w:pStyle w:val="15"/>
            </w:pPr>
            <w:r>
              <w:t>801.70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1204.00</w:t>
            </w:r>
          </w:p>
        </w:tc>
        <w:tc>
          <w:tcPr>
            <w:tcW w:w="1361" w:type="dxa"/>
            <w:vAlign w:val="center"/>
          </w:tcPr>
          <w:p>
            <w:pPr>
              <w:pStyle w:val="15"/>
            </w:pPr>
            <w:r>
              <w:t>402.30</w:t>
            </w:r>
          </w:p>
        </w:tc>
        <w:tc>
          <w:tcPr>
            <w:tcW w:w="1361" w:type="dxa"/>
            <w:vAlign w:val="center"/>
          </w:tcPr>
          <w:p>
            <w:pPr>
              <w:pStyle w:val="15"/>
            </w:pPr>
            <w:r>
              <w:t>801.70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402.30</w:t>
            </w:r>
          </w:p>
        </w:tc>
        <w:tc>
          <w:tcPr>
            <w:tcW w:w="1361" w:type="dxa"/>
            <w:vAlign w:val="center"/>
          </w:tcPr>
          <w:p>
            <w:pPr>
              <w:pStyle w:val="15"/>
            </w:pPr>
            <w:r>
              <w:t>402.30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2010304</w:t>
            </w:r>
          </w:p>
        </w:tc>
        <w:tc>
          <w:tcPr>
            <w:tcW w:w="4535" w:type="dxa"/>
            <w:vAlign w:val="center"/>
          </w:tcPr>
          <w:p>
            <w:pPr>
              <w:pStyle w:val="16"/>
            </w:pPr>
            <w:r>
              <w:t>专项服务</w:t>
            </w:r>
          </w:p>
        </w:tc>
        <w:tc>
          <w:tcPr>
            <w:tcW w:w="1361" w:type="dxa"/>
            <w:vAlign w:val="center"/>
          </w:tcPr>
          <w:p>
            <w:pPr>
              <w:pStyle w:val="15"/>
            </w:pPr>
            <w:r>
              <w:t>631.70</w:t>
            </w:r>
          </w:p>
        </w:tc>
        <w:tc>
          <w:tcPr>
            <w:tcW w:w="1361" w:type="dxa"/>
            <w:vAlign w:val="center"/>
          </w:tcPr>
          <w:p>
            <w:pPr>
              <w:pStyle w:val="15"/>
            </w:pPr>
          </w:p>
        </w:tc>
        <w:tc>
          <w:tcPr>
            <w:tcW w:w="1361" w:type="dxa"/>
            <w:vAlign w:val="center"/>
          </w:tcPr>
          <w:p>
            <w:pPr>
              <w:pStyle w:val="15"/>
            </w:pPr>
            <w:r>
              <w:t>631.70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2010399</w:t>
            </w:r>
          </w:p>
        </w:tc>
        <w:tc>
          <w:tcPr>
            <w:tcW w:w="4535" w:type="dxa"/>
            <w:vAlign w:val="center"/>
          </w:tcPr>
          <w:p>
            <w:pPr>
              <w:pStyle w:val="16"/>
            </w:pPr>
            <w:r>
              <w:t>其他政府办公厅（室）及相关机构事务支出</w:t>
            </w:r>
          </w:p>
        </w:tc>
        <w:tc>
          <w:tcPr>
            <w:tcW w:w="1361" w:type="dxa"/>
            <w:vAlign w:val="center"/>
          </w:tcPr>
          <w:p>
            <w:pPr>
              <w:pStyle w:val="15"/>
            </w:pPr>
            <w:r>
              <w:t>170.00</w:t>
            </w:r>
          </w:p>
        </w:tc>
        <w:tc>
          <w:tcPr>
            <w:tcW w:w="1361" w:type="dxa"/>
            <w:vAlign w:val="center"/>
          </w:tcPr>
          <w:p>
            <w:pPr>
              <w:pStyle w:val="15"/>
            </w:pPr>
          </w:p>
        </w:tc>
        <w:tc>
          <w:tcPr>
            <w:tcW w:w="1361" w:type="dxa"/>
            <w:vAlign w:val="center"/>
          </w:tcPr>
          <w:p>
            <w:pPr>
              <w:pStyle w:val="15"/>
            </w:pPr>
            <w:r>
              <w:t>170.00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119.00</w:t>
            </w:r>
          </w:p>
        </w:tc>
        <w:tc>
          <w:tcPr>
            <w:tcW w:w="1361" w:type="dxa"/>
            <w:vAlign w:val="center"/>
          </w:tcPr>
          <w:p>
            <w:pPr>
              <w:pStyle w:val="15"/>
            </w:pPr>
            <w:r>
              <w:t>119.00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119.00</w:t>
            </w:r>
          </w:p>
        </w:tc>
        <w:tc>
          <w:tcPr>
            <w:tcW w:w="1361" w:type="dxa"/>
            <w:vAlign w:val="center"/>
          </w:tcPr>
          <w:p>
            <w:pPr>
              <w:pStyle w:val="15"/>
            </w:pPr>
            <w:r>
              <w:t>119.00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32.00</w:t>
            </w:r>
          </w:p>
        </w:tc>
        <w:tc>
          <w:tcPr>
            <w:tcW w:w="1361" w:type="dxa"/>
            <w:vAlign w:val="center"/>
          </w:tcPr>
          <w:p>
            <w:pPr>
              <w:pStyle w:val="15"/>
            </w:pPr>
            <w:r>
              <w:t>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75.00</w:t>
            </w: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18.00</w:t>
            </w:r>
          </w:p>
        </w:tc>
        <w:tc>
          <w:tcPr>
            <w:tcW w:w="1361" w:type="dxa"/>
            <w:vAlign w:val="center"/>
          </w:tcPr>
          <w:p>
            <w:pPr>
              <w:pStyle w:val="15"/>
            </w:pPr>
            <w:r>
              <w:t>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18.00</w:t>
            </w:r>
          </w:p>
        </w:tc>
        <w:tc>
          <w:tcPr>
            <w:tcW w:w="1361" w:type="dxa"/>
            <w:vAlign w:val="center"/>
          </w:tcPr>
          <w:p>
            <w:pPr>
              <w:pStyle w:val="15"/>
            </w:pPr>
            <w:r>
              <w:t>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18.00</w:t>
            </w:r>
          </w:p>
        </w:tc>
        <w:tc>
          <w:tcPr>
            <w:tcW w:w="1361" w:type="dxa"/>
            <w:vAlign w:val="center"/>
          </w:tcPr>
          <w:p>
            <w:pPr>
              <w:pStyle w:val="15"/>
            </w:pPr>
            <w:r>
              <w:t>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1341.00</w:t>
            </w:r>
          </w:p>
        </w:tc>
        <w:tc>
          <w:tcPr>
            <w:tcW w:w="3402" w:type="dxa"/>
            <w:vAlign w:val="center"/>
          </w:tcPr>
          <w:p>
            <w:pPr>
              <w:pStyle w:val="16"/>
            </w:pPr>
            <w:r>
              <w:t>一、一般公共服务支出</w:t>
            </w:r>
          </w:p>
        </w:tc>
        <w:tc>
          <w:tcPr>
            <w:tcW w:w="1474" w:type="dxa"/>
            <w:vAlign w:val="center"/>
          </w:tcPr>
          <w:p>
            <w:pPr>
              <w:pStyle w:val="15"/>
            </w:pPr>
            <w:r>
              <w:t>1204.00</w:t>
            </w:r>
          </w:p>
        </w:tc>
        <w:tc>
          <w:tcPr>
            <w:tcW w:w="1474" w:type="dxa"/>
            <w:vAlign w:val="center"/>
          </w:tcPr>
          <w:p>
            <w:pPr>
              <w:pStyle w:val="15"/>
            </w:pPr>
            <w:r>
              <w:t>1204.00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119.00</w:t>
            </w:r>
          </w:p>
        </w:tc>
        <w:tc>
          <w:tcPr>
            <w:tcW w:w="1474" w:type="dxa"/>
            <w:vAlign w:val="center"/>
          </w:tcPr>
          <w:p>
            <w:pPr>
              <w:pStyle w:val="15"/>
            </w:pPr>
            <w:r>
              <w:t>119.00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18.00</w:t>
            </w:r>
          </w:p>
        </w:tc>
        <w:tc>
          <w:tcPr>
            <w:tcW w:w="1474" w:type="dxa"/>
            <w:vAlign w:val="center"/>
          </w:tcPr>
          <w:p>
            <w:pPr>
              <w:pStyle w:val="15"/>
            </w:pPr>
            <w:r>
              <w:t>18.00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1341.00</w:t>
            </w:r>
          </w:p>
        </w:tc>
        <w:tc>
          <w:tcPr>
            <w:tcW w:w="3402" w:type="dxa"/>
            <w:vAlign w:val="center"/>
          </w:tcPr>
          <w:p>
            <w:pPr>
              <w:pStyle w:val="18"/>
            </w:pPr>
            <w:r>
              <w:t>本年支出合计</w:t>
            </w:r>
          </w:p>
        </w:tc>
        <w:tc>
          <w:tcPr>
            <w:tcW w:w="1474" w:type="dxa"/>
            <w:vAlign w:val="center"/>
          </w:tcPr>
          <w:p>
            <w:pPr>
              <w:pStyle w:val="19"/>
            </w:pPr>
            <w:r>
              <w:t>1341.00</w:t>
            </w:r>
          </w:p>
        </w:tc>
        <w:tc>
          <w:tcPr>
            <w:tcW w:w="1474" w:type="dxa"/>
            <w:vAlign w:val="center"/>
          </w:tcPr>
          <w:p>
            <w:pPr>
              <w:pStyle w:val="19"/>
            </w:pPr>
            <w:r>
              <w:t>1341.00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1341.00</w:t>
            </w:r>
          </w:p>
        </w:tc>
        <w:tc>
          <w:tcPr>
            <w:tcW w:w="3402" w:type="dxa"/>
            <w:vAlign w:val="center"/>
          </w:tcPr>
          <w:p>
            <w:pPr>
              <w:pStyle w:val="18"/>
            </w:pPr>
            <w:r>
              <w:t>支出总计</w:t>
            </w:r>
          </w:p>
        </w:tc>
        <w:tc>
          <w:tcPr>
            <w:tcW w:w="1474" w:type="dxa"/>
            <w:vAlign w:val="center"/>
          </w:tcPr>
          <w:p>
            <w:pPr>
              <w:pStyle w:val="19"/>
            </w:pPr>
            <w:r>
              <w:t>1341.00</w:t>
            </w:r>
          </w:p>
        </w:tc>
        <w:tc>
          <w:tcPr>
            <w:tcW w:w="1474" w:type="dxa"/>
            <w:vAlign w:val="center"/>
          </w:tcPr>
          <w:p>
            <w:pPr>
              <w:pStyle w:val="19"/>
            </w:pPr>
            <w:r>
              <w:t>1341.00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1341.00</w:t>
            </w:r>
          </w:p>
        </w:tc>
        <w:tc>
          <w:tcPr>
            <w:tcW w:w="2551" w:type="dxa"/>
            <w:vAlign w:val="center"/>
          </w:tcPr>
          <w:p>
            <w:pPr>
              <w:pStyle w:val="19"/>
            </w:pPr>
            <w:r>
              <w:t>539.30</w:t>
            </w:r>
          </w:p>
        </w:tc>
        <w:tc>
          <w:tcPr>
            <w:tcW w:w="2551" w:type="dxa"/>
            <w:vAlign w:val="center"/>
          </w:tcPr>
          <w:p>
            <w:pPr>
              <w:pStyle w:val="19"/>
            </w:pPr>
            <w:r>
              <w:t>801.70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1204.00</w:t>
            </w:r>
          </w:p>
        </w:tc>
        <w:tc>
          <w:tcPr>
            <w:tcW w:w="2551" w:type="dxa"/>
            <w:vAlign w:val="center"/>
          </w:tcPr>
          <w:p>
            <w:pPr>
              <w:pStyle w:val="15"/>
            </w:pPr>
            <w:r>
              <w:t>402.30</w:t>
            </w:r>
          </w:p>
        </w:tc>
        <w:tc>
          <w:tcPr>
            <w:tcW w:w="2551" w:type="dxa"/>
            <w:vAlign w:val="center"/>
          </w:tcPr>
          <w:p>
            <w:pPr>
              <w:pStyle w:val="15"/>
            </w:pPr>
            <w:r>
              <w:t>801.70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1204.00</w:t>
            </w:r>
          </w:p>
        </w:tc>
        <w:tc>
          <w:tcPr>
            <w:tcW w:w="2551" w:type="dxa"/>
            <w:vAlign w:val="center"/>
          </w:tcPr>
          <w:p>
            <w:pPr>
              <w:pStyle w:val="15"/>
            </w:pPr>
            <w:r>
              <w:t>402.30</w:t>
            </w:r>
          </w:p>
        </w:tc>
        <w:tc>
          <w:tcPr>
            <w:tcW w:w="2551" w:type="dxa"/>
            <w:vAlign w:val="center"/>
          </w:tcPr>
          <w:p>
            <w:pPr>
              <w:pStyle w:val="15"/>
            </w:pPr>
            <w:r>
              <w:t>801.70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402.30</w:t>
            </w:r>
          </w:p>
        </w:tc>
        <w:tc>
          <w:tcPr>
            <w:tcW w:w="2551" w:type="dxa"/>
            <w:vAlign w:val="center"/>
          </w:tcPr>
          <w:p>
            <w:pPr>
              <w:pStyle w:val="15"/>
            </w:pPr>
            <w:r>
              <w:t>402.30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2010304</w:t>
            </w:r>
          </w:p>
        </w:tc>
        <w:tc>
          <w:tcPr>
            <w:tcW w:w="4535" w:type="dxa"/>
            <w:vAlign w:val="center"/>
          </w:tcPr>
          <w:p>
            <w:pPr>
              <w:pStyle w:val="16"/>
            </w:pPr>
            <w:r>
              <w:t>专项服务</w:t>
            </w:r>
          </w:p>
        </w:tc>
        <w:tc>
          <w:tcPr>
            <w:tcW w:w="2551" w:type="dxa"/>
            <w:vAlign w:val="center"/>
          </w:tcPr>
          <w:p>
            <w:pPr>
              <w:pStyle w:val="15"/>
            </w:pPr>
            <w:r>
              <w:t>631.70</w:t>
            </w:r>
          </w:p>
        </w:tc>
        <w:tc>
          <w:tcPr>
            <w:tcW w:w="2551" w:type="dxa"/>
            <w:vAlign w:val="center"/>
          </w:tcPr>
          <w:p>
            <w:pPr>
              <w:pStyle w:val="15"/>
            </w:pPr>
          </w:p>
        </w:tc>
        <w:tc>
          <w:tcPr>
            <w:tcW w:w="2551" w:type="dxa"/>
            <w:vAlign w:val="center"/>
          </w:tcPr>
          <w:p>
            <w:pPr>
              <w:pStyle w:val="15"/>
            </w:pPr>
            <w:r>
              <w:t>631.70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2010399</w:t>
            </w:r>
          </w:p>
        </w:tc>
        <w:tc>
          <w:tcPr>
            <w:tcW w:w="4535" w:type="dxa"/>
            <w:vAlign w:val="center"/>
          </w:tcPr>
          <w:p>
            <w:pPr>
              <w:pStyle w:val="16"/>
            </w:pPr>
            <w:r>
              <w:t>其他政府办公厅（室）及相关机构事务支出</w:t>
            </w:r>
          </w:p>
        </w:tc>
        <w:tc>
          <w:tcPr>
            <w:tcW w:w="2551" w:type="dxa"/>
            <w:vAlign w:val="center"/>
          </w:tcPr>
          <w:p>
            <w:pPr>
              <w:pStyle w:val="15"/>
            </w:pPr>
            <w:r>
              <w:t>170.00</w:t>
            </w:r>
          </w:p>
        </w:tc>
        <w:tc>
          <w:tcPr>
            <w:tcW w:w="2551" w:type="dxa"/>
            <w:vAlign w:val="center"/>
          </w:tcPr>
          <w:p>
            <w:pPr>
              <w:pStyle w:val="15"/>
            </w:pPr>
          </w:p>
        </w:tc>
        <w:tc>
          <w:tcPr>
            <w:tcW w:w="2551" w:type="dxa"/>
            <w:vAlign w:val="center"/>
          </w:tcPr>
          <w:p>
            <w:pPr>
              <w:pStyle w:val="15"/>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119.00</w:t>
            </w:r>
          </w:p>
        </w:tc>
        <w:tc>
          <w:tcPr>
            <w:tcW w:w="2551" w:type="dxa"/>
            <w:vAlign w:val="center"/>
          </w:tcPr>
          <w:p>
            <w:pPr>
              <w:pStyle w:val="15"/>
            </w:pPr>
            <w:r>
              <w:t>119.00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119.00</w:t>
            </w:r>
          </w:p>
        </w:tc>
        <w:tc>
          <w:tcPr>
            <w:tcW w:w="2551" w:type="dxa"/>
            <w:vAlign w:val="center"/>
          </w:tcPr>
          <w:p>
            <w:pPr>
              <w:pStyle w:val="15"/>
            </w:pPr>
            <w:r>
              <w:t>119.00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32.00</w:t>
            </w:r>
          </w:p>
        </w:tc>
        <w:tc>
          <w:tcPr>
            <w:tcW w:w="2551" w:type="dxa"/>
            <w:vAlign w:val="center"/>
          </w:tcPr>
          <w:p>
            <w:pPr>
              <w:pStyle w:val="15"/>
            </w:pPr>
            <w:r>
              <w:t>32.00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75.00</w:t>
            </w:r>
          </w:p>
        </w:tc>
        <w:tc>
          <w:tcPr>
            <w:tcW w:w="2551" w:type="dxa"/>
            <w:vAlign w:val="center"/>
          </w:tcPr>
          <w:p>
            <w:pPr>
              <w:pStyle w:val="15"/>
            </w:pPr>
            <w:r>
              <w:t>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539.30</w:t>
            </w:r>
          </w:p>
        </w:tc>
        <w:tc>
          <w:tcPr>
            <w:tcW w:w="2551" w:type="dxa"/>
            <w:vAlign w:val="center"/>
          </w:tcPr>
          <w:p>
            <w:pPr>
              <w:pStyle w:val="19"/>
            </w:pPr>
            <w:r>
              <w:t>362.50</w:t>
            </w:r>
          </w:p>
        </w:tc>
        <w:tc>
          <w:tcPr>
            <w:tcW w:w="2551" w:type="dxa"/>
            <w:vAlign w:val="center"/>
          </w:tcPr>
          <w:p>
            <w:pPr>
              <w:pStyle w:val="19"/>
            </w:pPr>
            <w:r>
              <w:t>176.80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310.40</w:t>
            </w:r>
          </w:p>
        </w:tc>
        <w:tc>
          <w:tcPr>
            <w:tcW w:w="2551" w:type="dxa"/>
            <w:vAlign w:val="center"/>
          </w:tcPr>
          <w:p>
            <w:pPr>
              <w:pStyle w:val="15"/>
            </w:pPr>
            <w:r>
              <w:t>310.40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106.00</w:t>
            </w:r>
          </w:p>
        </w:tc>
        <w:tc>
          <w:tcPr>
            <w:tcW w:w="2551" w:type="dxa"/>
            <w:vAlign w:val="center"/>
          </w:tcPr>
          <w:p>
            <w:pPr>
              <w:pStyle w:val="15"/>
            </w:pPr>
            <w:r>
              <w:t>106.00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20.00</w:t>
            </w:r>
          </w:p>
        </w:tc>
        <w:tc>
          <w:tcPr>
            <w:tcW w:w="2551" w:type="dxa"/>
            <w:vAlign w:val="center"/>
          </w:tcPr>
          <w:p>
            <w:pPr>
              <w:pStyle w:val="15"/>
            </w:pPr>
            <w:r>
              <w:t>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15.40</w:t>
            </w:r>
          </w:p>
        </w:tc>
        <w:tc>
          <w:tcPr>
            <w:tcW w:w="2551" w:type="dxa"/>
            <w:vAlign w:val="center"/>
          </w:tcPr>
          <w:p>
            <w:pPr>
              <w:pStyle w:val="15"/>
            </w:pPr>
            <w:r>
              <w:t>15.40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75.00</w:t>
            </w:r>
          </w:p>
        </w:tc>
        <w:tc>
          <w:tcPr>
            <w:tcW w:w="2551" w:type="dxa"/>
            <w:vAlign w:val="center"/>
          </w:tcPr>
          <w:p>
            <w:pPr>
              <w:pStyle w:val="15"/>
            </w:pPr>
            <w:r>
              <w:t>75.00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5.00</w:t>
            </w:r>
          </w:p>
        </w:tc>
        <w:tc>
          <w:tcPr>
            <w:tcW w:w="2551" w:type="dxa"/>
            <w:vAlign w:val="center"/>
          </w:tcPr>
          <w:p>
            <w:pPr>
              <w:pStyle w:val="15"/>
            </w:pPr>
            <w:r>
              <w:t>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176.80</w:t>
            </w:r>
          </w:p>
        </w:tc>
        <w:tc>
          <w:tcPr>
            <w:tcW w:w="2551" w:type="dxa"/>
            <w:vAlign w:val="center"/>
          </w:tcPr>
          <w:p>
            <w:pPr>
              <w:pStyle w:val="15"/>
            </w:pPr>
          </w:p>
        </w:tc>
        <w:tc>
          <w:tcPr>
            <w:tcW w:w="2551" w:type="dxa"/>
            <w:vAlign w:val="center"/>
          </w:tcPr>
          <w:p>
            <w:pPr>
              <w:pStyle w:val="15"/>
            </w:pPr>
            <w:r>
              <w:t>176.80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175.00</w:t>
            </w:r>
          </w:p>
        </w:tc>
        <w:tc>
          <w:tcPr>
            <w:tcW w:w="2551" w:type="dxa"/>
            <w:vAlign w:val="center"/>
          </w:tcPr>
          <w:p>
            <w:pPr>
              <w:pStyle w:val="15"/>
            </w:pPr>
          </w:p>
        </w:tc>
        <w:tc>
          <w:tcPr>
            <w:tcW w:w="2551" w:type="dxa"/>
            <w:vAlign w:val="center"/>
          </w:tcPr>
          <w:p>
            <w:pPr>
              <w:pStyle w:val="15"/>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0.80</w:t>
            </w:r>
          </w:p>
        </w:tc>
        <w:tc>
          <w:tcPr>
            <w:tcW w:w="2551" w:type="dxa"/>
            <w:vAlign w:val="center"/>
          </w:tcPr>
          <w:p>
            <w:pPr>
              <w:pStyle w:val="15"/>
            </w:pPr>
          </w:p>
        </w:tc>
        <w:tc>
          <w:tcPr>
            <w:tcW w:w="2551"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52.10</w:t>
            </w:r>
          </w:p>
        </w:tc>
        <w:tc>
          <w:tcPr>
            <w:tcW w:w="2551" w:type="dxa"/>
            <w:vAlign w:val="center"/>
          </w:tcPr>
          <w:p>
            <w:pPr>
              <w:pStyle w:val="15"/>
            </w:pPr>
            <w:r>
              <w:t>52.10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52.10</w:t>
            </w:r>
          </w:p>
        </w:tc>
        <w:tc>
          <w:tcPr>
            <w:tcW w:w="2551" w:type="dxa"/>
            <w:vAlign w:val="center"/>
          </w:tcPr>
          <w:p>
            <w:pPr>
              <w:pStyle w:val="15"/>
            </w:pPr>
            <w:r>
              <w:t>52.10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无极县机关事务服务中心本极2023年单位预算信息公开情况说明</w:t>
      </w:r>
    </w:p>
    <w:p>
      <w:pPr>
        <w:spacing w:line="500" w:lineRule="exact"/>
        <w:ind w:firstLine="560"/>
      </w:pPr>
      <w:r>
        <w:rPr>
          <w:rFonts w:eastAsia="方正仿宋_GBK" w:cs="Times New Roman"/>
          <w:color w:val="000000"/>
          <w:sz w:val="28"/>
        </w:rPr>
        <w:t>按照</w:t>
      </w:r>
      <w:r>
        <w:rPr>
          <w:rFonts w:eastAsia="方正仿宋_GBK" w:cs="Times New Roman"/>
          <w:color w:val="000000"/>
          <w:sz w:val="28"/>
          <w:lang w:val="en-US"/>
        </w:rPr>
        <w:t>《中华人民共和国预算法》</w:t>
      </w:r>
      <w:r>
        <w:rPr>
          <w:rFonts w:eastAsia="方正仿宋_GBK" w:cs="Times New Roman"/>
          <w:color w:val="000000"/>
          <w:sz w:val="28"/>
        </w:rPr>
        <w:t>、《地方预决算公开操作规程》和《关于进一步推进预算公开工作的实施意见》规定，现将无极县机关事务服务中心本极2023年单位预算公开如下：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机关事务服务中心按照县委、县政府工作部署，围绕本</w:t>
      </w:r>
      <w:r>
        <w:rPr>
          <w:rFonts w:hint="eastAsia"/>
          <w:lang w:eastAsia="zh-CN"/>
        </w:rPr>
        <w:t>单位</w:t>
      </w:r>
      <w:r>
        <w:t>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无极县机关事务服务中心本极</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2"/>
        <w:ind w:firstLineChars="200"/>
        <w:rPr>
          <w:color w:val="000000" w:themeColor="text1"/>
        </w:rPr>
      </w:pPr>
      <w:r>
        <w:rPr>
          <w:rFonts w:hint="eastAsia"/>
          <w:lang w:val="en-US" w:eastAsia="zh-CN"/>
        </w:rPr>
        <w:t>按</w:t>
      </w:r>
      <w:r>
        <w:t>照预算管理有关规定，目前我</w:t>
      </w:r>
      <w:r>
        <w:rPr>
          <w:rFonts w:hint="eastAsia"/>
          <w:lang w:eastAsia="zh-CN"/>
        </w:rPr>
        <w:t>县单位</w:t>
      </w:r>
      <w:r>
        <w:t>预算的编制实行综合预算管理，即全部收入和支出都反映在</w:t>
      </w:r>
      <w:r>
        <w:rPr>
          <w:rFonts w:hint="eastAsia"/>
          <w:lang w:val="en-US" w:eastAsia="zh-CN"/>
        </w:rPr>
        <w:t>单位</w:t>
      </w:r>
      <w:r>
        <w:t>预算中。机关事务局机关及所属事业单位的收支包含在</w:t>
      </w:r>
      <w:r>
        <w:rPr>
          <w:rFonts w:hint="eastAsia"/>
          <w:lang w:eastAsia="zh-CN"/>
        </w:rPr>
        <w:t>单位</w:t>
      </w:r>
      <w:r>
        <w:t>预算中。</w:t>
      </w:r>
    </w:p>
    <w:p>
      <w:pPr>
        <w:pStyle w:val="22"/>
        <w:ind w:firstLineChars="200"/>
        <w:rPr>
          <w:color w:val="000000" w:themeColor="text1"/>
        </w:rPr>
      </w:pPr>
      <w:r>
        <w:rPr>
          <w:rFonts w:hint="eastAsia"/>
          <w:color w:val="000000" w:themeColor="text1"/>
        </w:rPr>
        <w:t xml:space="preserve">1、收入说明 </w:t>
      </w:r>
    </w:p>
    <w:p>
      <w:pPr>
        <w:pStyle w:val="22"/>
        <w:rPr>
          <w:color w:val="000000" w:themeColor="text1"/>
        </w:rPr>
      </w:pPr>
      <w:r>
        <w:rPr>
          <w:rFonts w:hint="eastAsia"/>
          <w:color w:val="000000" w:themeColor="text1"/>
        </w:rPr>
        <w:t>反映本</w:t>
      </w:r>
      <w:r>
        <w:rPr>
          <w:rFonts w:hint="eastAsia"/>
          <w:color w:val="000000" w:themeColor="text1"/>
          <w:lang w:eastAsia="zh-CN"/>
        </w:rPr>
        <w:t>单位</w:t>
      </w:r>
      <w:r>
        <w:rPr>
          <w:rFonts w:hint="eastAsia"/>
          <w:color w:val="000000" w:themeColor="text1"/>
        </w:rPr>
        <w:t>当年全部收入，202</w:t>
      </w:r>
      <w:r>
        <w:rPr>
          <w:rFonts w:hint="eastAsia"/>
          <w:color w:val="000000" w:themeColor="text1"/>
          <w:lang w:eastAsia="zh-CN"/>
        </w:rPr>
        <w:t>3</w:t>
      </w:r>
      <w:r>
        <w:rPr>
          <w:rFonts w:hint="eastAsia"/>
          <w:color w:val="000000" w:themeColor="text1"/>
        </w:rPr>
        <w:t>年预算收入</w:t>
      </w:r>
      <w:r>
        <w:t>1341</w:t>
      </w:r>
      <w:r>
        <w:rPr>
          <w:rFonts w:hint="eastAsia"/>
          <w:color w:val="000000" w:themeColor="text1"/>
        </w:rPr>
        <w:t>万元，其中：一般公共预算拨款</w:t>
      </w:r>
      <w:r>
        <w:t>1341</w:t>
      </w:r>
      <w:r>
        <w:rPr>
          <w:rFonts w:hint="eastAsia"/>
          <w:color w:val="000000" w:themeColor="text1"/>
        </w:rPr>
        <w:t>万元，基金预算拨款0万元，财政专户核拨0万元，其他来源收入0万元。</w:t>
      </w:r>
    </w:p>
    <w:p>
      <w:pPr>
        <w:pStyle w:val="22"/>
        <w:rPr>
          <w:color w:val="000000" w:themeColor="text1"/>
        </w:rPr>
      </w:pPr>
      <w:r>
        <w:rPr>
          <w:rFonts w:hint="eastAsia"/>
          <w:color w:val="000000" w:themeColor="text1"/>
        </w:rPr>
        <w:t>2、支出说明</w:t>
      </w:r>
    </w:p>
    <w:p>
      <w:pPr>
        <w:pStyle w:val="22"/>
        <w:rPr>
          <w:color w:val="000000" w:themeColor="text1"/>
          <w:lang w:eastAsia="zh-CN"/>
        </w:rPr>
      </w:pPr>
      <w:r>
        <w:rPr>
          <w:rFonts w:hint="eastAsia"/>
          <w:color w:val="000000" w:themeColor="text1"/>
        </w:rPr>
        <w:t>收支预算总表支出栏、基本支出表、项目支出表按经济分类和支出功能分类科目编制，反映</w:t>
      </w:r>
      <w:r>
        <w:rPr>
          <w:rFonts w:hint="eastAsia"/>
          <w:color w:val="000000" w:themeColor="text1"/>
          <w:lang w:eastAsia="zh-CN"/>
        </w:rPr>
        <w:t>我单位</w:t>
      </w:r>
      <w:r>
        <w:rPr>
          <w:rFonts w:hint="eastAsia"/>
          <w:color w:val="000000" w:themeColor="text1"/>
        </w:rPr>
        <w:t>预算中支出预算的总体情况。202</w:t>
      </w:r>
      <w:r>
        <w:rPr>
          <w:rFonts w:hint="eastAsia"/>
          <w:color w:val="000000" w:themeColor="text1"/>
          <w:lang w:eastAsia="zh-CN"/>
        </w:rPr>
        <w:t>3</w:t>
      </w:r>
      <w:r>
        <w:rPr>
          <w:rFonts w:hint="eastAsia"/>
          <w:color w:val="000000" w:themeColor="text1"/>
        </w:rPr>
        <w:t>年</w:t>
      </w:r>
      <w:r>
        <w:rPr>
          <w:rFonts w:hint="eastAsia"/>
          <w:color w:val="000000" w:themeColor="text1"/>
          <w:lang w:eastAsia="zh-CN"/>
        </w:rPr>
        <w:t>单位</w:t>
      </w:r>
      <w:r>
        <w:rPr>
          <w:rFonts w:hint="eastAsia"/>
          <w:color w:val="000000" w:themeColor="text1"/>
        </w:rPr>
        <w:t>支出预算为</w:t>
      </w:r>
      <w:r>
        <w:t>1341</w:t>
      </w:r>
      <w:r>
        <w:rPr>
          <w:rFonts w:hint="eastAsia"/>
          <w:color w:val="000000" w:themeColor="text1"/>
        </w:rPr>
        <w:t>万元，其中基本支出</w:t>
      </w:r>
      <w:r>
        <w:rPr>
          <w:rFonts w:hint="eastAsia"/>
          <w:color w:val="000000" w:themeColor="text1"/>
          <w:lang w:eastAsia="zh-CN"/>
        </w:rPr>
        <w:t>539.3万</w:t>
      </w:r>
      <w:r>
        <w:rPr>
          <w:rFonts w:hint="eastAsia"/>
          <w:color w:val="000000" w:themeColor="text1"/>
        </w:rPr>
        <w:t>元，包括人员经费</w:t>
      </w:r>
      <w:r>
        <w:rPr>
          <w:rFonts w:hint="eastAsia"/>
          <w:color w:val="000000" w:themeColor="text1"/>
          <w:lang w:eastAsia="zh-CN"/>
        </w:rPr>
        <w:t>362.5</w:t>
      </w:r>
      <w:r>
        <w:rPr>
          <w:rFonts w:hint="eastAsia"/>
          <w:color w:val="000000" w:themeColor="text1"/>
        </w:rPr>
        <w:t>万元和日常公用经费</w:t>
      </w:r>
      <w:r>
        <w:rPr>
          <w:rFonts w:hint="eastAsia"/>
          <w:color w:val="000000" w:themeColor="text1"/>
          <w:lang w:eastAsia="zh-CN"/>
        </w:rPr>
        <w:t>176.8</w:t>
      </w:r>
      <w:r>
        <w:rPr>
          <w:rFonts w:hint="eastAsia"/>
          <w:color w:val="000000" w:themeColor="text1"/>
        </w:rPr>
        <w:t>万元；项目支出</w:t>
      </w:r>
      <w:r>
        <w:t>801.7</w:t>
      </w:r>
      <w:r>
        <w:rPr>
          <w:rFonts w:hint="eastAsia"/>
          <w:color w:val="000000" w:themeColor="text1"/>
        </w:rPr>
        <w:t>万元，主要为</w:t>
      </w:r>
      <w:r>
        <w:rPr>
          <w:rFonts w:hint="eastAsia"/>
          <w:color w:val="000000" w:themeColor="text1"/>
          <w:lang w:eastAsia="zh-CN"/>
        </w:rPr>
        <w:t xml:space="preserve">机关事务 。   </w:t>
      </w:r>
    </w:p>
    <w:p>
      <w:pPr>
        <w:pStyle w:val="22"/>
        <w:rPr>
          <w:color w:val="000000" w:themeColor="text1"/>
        </w:rPr>
      </w:pPr>
      <w:r>
        <w:rPr>
          <w:rFonts w:hint="eastAsia"/>
          <w:color w:val="000000" w:themeColor="text1"/>
        </w:rPr>
        <w:t>3、比上年增减情况</w:t>
      </w:r>
    </w:p>
    <w:p>
      <w:pPr>
        <w:pStyle w:val="22"/>
        <w:rPr>
          <w:color w:val="000000" w:themeColor="text1"/>
        </w:rPr>
      </w:pPr>
      <w:r>
        <w:rPr>
          <w:rFonts w:hint="eastAsia"/>
          <w:color w:val="000000" w:themeColor="text1"/>
        </w:rPr>
        <w:t>202</w:t>
      </w:r>
      <w:r>
        <w:rPr>
          <w:rFonts w:hint="eastAsia"/>
          <w:color w:val="000000" w:themeColor="text1"/>
          <w:lang w:eastAsia="zh-CN"/>
        </w:rPr>
        <w:t>3</w:t>
      </w:r>
      <w:r>
        <w:rPr>
          <w:rFonts w:hint="eastAsia"/>
          <w:color w:val="000000" w:themeColor="text1"/>
        </w:rPr>
        <w:t>年</w:t>
      </w:r>
      <w:r>
        <w:rPr>
          <w:rFonts w:hint="eastAsia"/>
          <w:color w:val="000000" w:themeColor="text1"/>
          <w:lang w:eastAsia="zh-CN"/>
        </w:rPr>
        <w:t>单位</w:t>
      </w:r>
      <w:r>
        <w:rPr>
          <w:rFonts w:hint="eastAsia"/>
          <w:color w:val="000000" w:themeColor="text1"/>
        </w:rPr>
        <w:t>预算支出较202</w:t>
      </w:r>
      <w:r>
        <w:rPr>
          <w:rFonts w:hint="eastAsia"/>
          <w:color w:val="000000" w:themeColor="text1"/>
          <w:lang w:eastAsia="zh-CN"/>
        </w:rPr>
        <w:t>2</w:t>
      </w:r>
      <w:r>
        <w:rPr>
          <w:rFonts w:hint="eastAsia"/>
          <w:color w:val="000000" w:themeColor="text1"/>
        </w:rPr>
        <w:t>年</w:t>
      </w:r>
      <w:r>
        <w:rPr>
          <w:rFonts w:hint="eastAsia"/>
          <w:color w:val="000000" w:themeColor="text1"/>
          <w:lang w:eastAsia="zh-CN"/>
        </w:rPr>
        <w:t>增加226.2</w:t>
      </w:r>
      <w:r>
        <w:rPr>
          <w:rFonts w:hint="eastAsia"/>
          <w:color w:val="000000" w:themeColor="text1"/>
        </w:rPr>
        <w:t>万元，其中：基本支出</w:t>
      </w:r>
      <w:r>
        <w:rPr>
          <w:rFonts w:hint="eastAsia"/>
          <w:color w:val="000000" w:themeColor="text1"/>
          <w:lang w:eastAsia="zh-CN"/>
        </w:rPr>
        <w:t>增加303.6</w:t>
      </w:r>
      <w:r>
        <w:rPr>
          <w:rFonts w:hint="eastAsia"/>
          <w:color w:val="000000" w:themeColor="text1"/>
        </w:rPr>
        <w:t>万元；项目支出</w:t>
      </w:r>
      <w:r>
        <w:rPr>
          <w:rFonts w:hint="eastAsia"/>
          <w:color w:val="000000" w:themeColor="text1"/>
          <w:lang w:eastAsia="zh-CN"/>
        </w:rPr>
        <w:t>减少77.4</w:t>
      </w:r>
      <w:r>
        <w:rPr>
          <w:rFonts w:hint="eastAsia"/>
          <w:color w:val="000000" w:themeColor="text1"/>
        </w:rPr>
        <w:t>万元，主要是</w:t>
      </w:r>
      <w:r>
        <w:rPr>
          <w:rFonts w:hint="eastAsia"/>
          <w:color w:val="000000" w:themeColor="text1"/>
          <w:lang w:eastAsia="zh-CN"/>
        </w:rPr>
        <w:t>项目支出减少</w:t>
      </w:r>
      <w:r>
        <w:rPr>
          <w:rFonts w:hint="eastAsia"/>
          <w:color w:val="000000" w:themeColor="text1"/>
        </w:rPr>
        <w:t>。</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运行经费共计安排176.8万元，主要用于保证机关正常运转的办公及印刷费、邮电费、差旅费、会议费、福利费、专用材料及一般设备购置费、办公用房水电费、办公用房取暖费、日常修费、办公楼物业管理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rFonts w:hint="default" w:eastAsia="方正仿宋_GBK"/>
          <w:lang w:val="en-US" w:eastAsia="zh-CN"/>
        </w:rPr>
      </w:pPr>
      <w:r>
        <w:t>2023年，我单位财政拨款“三公”经费预算安排0万元，与上年持平</w:t>
      </w:r>
      <w:r>
        <w:rPr>
          <w:rFonts w:hint="eastAsia"/>
          <w:lang w:eastAsia="zh-CN"/>
        </w:rPr>
        <w:t>，</w:t>
      </w:r>
      <w:r>
        <w:rPr>
          <w:rFonts w:hint="eastAsia"/>
          <w:lang w:val="en-US" w:eastAsia="zh-CN"/>
        </w:rPr>
        <w:t>正常运行不需增加经费</w:t>
      </w:r>
      <w:r>
        <w:t>。其中：因公出国（境）费0万元；公务用车购置及运维费0万元（其中：公务用车购置费0万元，公务用车运行维护费0万元)；公务接待费0万元</w:t>
      </w:r>
      <w:r>
        <w:rPr>
          <w:rFonts w:hint="eastAsia"/>
          <w:lang w:eastAsia="zh-CN"/>
        </w:rPr>
        <w:t>，</w:t>
      </w:r>
      <w:r>
        <w:rPr>
          <w:rFonts w:hint="eastAsia"/>
          <w:lang w:val="en-US" w:eastAsia="zh-CN"/>
        </w:rPr>
        <w:t>原因是本年度未发生三公经费。</w:t>
      </w: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1、2023年第三食堂管理费绩效目标表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方便广大职工就餐</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服务人数</w:t>
            </w:r>
          </w:p>
        </w:tc>
        <w:tc>
          <w:tcPr>
            <w:tcW w:w="2835" w:type="dxa"/>
            <w:vAlign w:val="center"/>
          </w:tcPr>
          <w:p>
            <w:pPr>
              <w:pStyle w:val="16"/>
            </w:pPr>
            <w:r>
              <w:t>服务人数</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完成率</w:t>
            </w:r>
          </w:p>
        </w:tc>
        <w:tc>
          <w:tcPr>
            <w:tcW w:w="2835" w:type="dxa"/>
            <w:vAlign w:val="center"/>
          </w:tcPr>
          <w:p>
            <w:pPr>
              <w:pStyle w:val="16"/>
            </w:pPr>
            <w:r>
              <w:t>完成率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运行正常运转率</w:t>
            </w:r>
          </w:p>
        </w:tc>
        <w:tc>
          <w:tcPr>
            <w:tcW w:w="2835" w:type="dxa"/>
            <w:vAlign w:val="center"/>
          </w:tcPr>
          <w:p>
            <w:pPr>
              <w:pStyle w:val="16"/>
            </w:pPr>
            <w:r>
              <w:t>运行正常运转率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公共服务水平提升情况</w:t>
            </w:r>
          </w:p>
        </w:tc>
        <w:tc>
          <w:tcPr>
            <w:tcW w:w="2835" w:type="dxa"/>
            <w:vAlign w:val="center"/>
          </w:tcPr>
          <w:p>
            <w:pPr>
              <w:pStyle w:val="16"/>
            </w:pPr>
            <w:r>
              <w:t>公共服务水平提升情况</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w:t>
            </w:r>
          </w:p>
        </w:tc>
        <w:tc>
          <w:tcPr>
            <w:tcW w:w="2835" w:type="dxa"/>
            <w:vAlign w:val="center"/>
          </w:tcPr>
          <w:p>
            <w:pPr>
              <w:pStyle w:val="16"/>
            </w:pPr>
            <w:r>
              <w:t>保障日常办公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w:t>
            </w:r>
          </w:p>
        </w:tc>
        <w:tc>
          <w:tcPr>
            <w:tcW w:w="2835" w:type="dxa"/>
            <w:vAlign w:val="center"/>
          </w:tcPr>
          <w:p>
            <w:pPr>
              <w:pStyle w:val="16"/>
            </w:pPr>
            <w:r>
              <w:t>服务对象满意</w:t>
            </w:r>
          </w:p>
        </w:tc>
        <w:tc>
          <w:tcPr>
            <w:tcW w:w="2551" w:type="dxa"/>
            <w:vAlign w:val="center"/>
          </w:tcPr>
          <w:p>
            <w:pPr>
              <w:pStyle w:val="16"/>
            </w:pPr>
            <w:r>
              <w:t>≥80百分比</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2、2023年两院保安服务费绩效目标表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w:t>
            </w:r>
            <w:r>
              <w:rPr>
                <w:rFonts w:hint="eastAsia"/>
                <w:lang w:eastAsia="zh-CN"/>
              </w:rPr>
              <w:t>日常</w:t>
            </w:r>
            <w:r>
              <w:t>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年度服务部门数量</w:t>
            </w:r>
          </w:p>
        </w:tc>
        <w:tc>
          <w:tcPr>
            <w:tcW w:w="2835" w:type="dxa"/>
            <w:vAlign w:val="center"/>
          </w:tcPr>
          <w:p>
            <w:pPr>
              <w:pStyle w:val="16"/>
            </w:pPr>
            <w:r>
              <w:t>年度服务部门数量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2835" w:type="dxa"/>
            <w:vAlign w:val="center"/>
          </w:tcPr>
          <w:p>
            <w:pPr>
              <w:pStyle w:val="16"/>
            </w:pPr>
            <w:r>
              <w:t>正常使用率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完成及时率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社员标准</w:t>
            </w:r>
          </w:p>
        </w:tc>
        <w:tc>
          <w:tcPr>
            <w:tcW w:w="2835" w:type="dxa"/>
            <w:vAlign w:val="center"/>
          </w:tcPr>
          <w:p>
            <w:pPr>
              <w:pStyle w:val="16"/>
            </w:pPr>
            <w:r>
              <w:t>社员标准</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协管人员上岗后，服务质量提升度</w:t>
            </w:r>
          </w:p>
        </w:tc>
        <w:tc>
          <w:tcPr>
            <w:tcW w:w="2835" w:type="dxa"/>
            <w:vAlign w:val="center"/>
          </w:tcPr>
          <w:p>
            <w:pPr>
              <w:pStyle w:val="16"/>
            </w:pPr>
            <w:r>
              <w:t>协管人员上岗后，服务质量提升度</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服务的改善与提升</w:t>
            </w:r>
          </w:p>
        </w:tc>
        <w:tc>
          <w:tcPr>
            <w:tcW w:w="2835" w:type="dxa"/>
            <w:vAlign w:val="center"/>
          </w:tcPr>
          <w:p>
            <w:pPr>
              <w:pStyle w:val="16"/>
            </w:pPr>
            <w:r>
              <w:t>服务的改善与提升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生态效益增值率</w:t>
            </w:r>
          </w:p>
        </w:tc>
        <w:tc>
          <w:tcPr>
            <w:tcW w:w="2835" w:type="dxa"/>
            <w:vAlign w:val="center"/>
          </w:tcPr>
          <w:p>
            <w:pPr>
              <w:pStyle w:val="16"/>
            </w:pPr>
            <w:r>
              <w:t>项目实施后生态效益增长率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项目持续影响效果</w:t>
            </w:r>
          </w:p>
        </w:tc>
        <w:tc>
          <w:tcPr>
            <w:tcW w:w="2835" w:type="dxa"/>
            <w:vAlign w:val="center"/>
          </w:tcPr>
          <w:p>
            <w:pPr>
              <w:pStyle w:val="16"/>
            </w:pPr>
            <w:r>
              <w:t>群众交通安全意识、文明意识进一步提高</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2835" w:type="dxa"/>
            <w:vAlign w:val="center"/>
          </w:tcPr>
          <w:p>
            <w:pPr>
              <w:pStyle w:val="16"/>
            </w:pPr>
            <w:r>
              <w:t>服务满意度</w:t>
            </w:r>
          </w:p>
        </w:tc>
        <w:tc>
          <w:tcPr>
            <w:tcW w:w="2551" w:type="dxa"/>
            <w:vAlign w:val="center"/>
          </w:tcPr>
          <w:p>
            <w:pPr>
              <w:pStyle w:val="16"/>
            </w:pPr>
            <w:r>
              <w:t>≥8合格</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3、2023年两院及南环综合办公楼取暖费绩效目标表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w:t>
            </w:r>
            <w:r>
              <w:rPr>
                <w:rFonts w:hint="eastAsia"/>
                <w:lang w:eastAsia="zh-CN"/>
              </w:rPr>
              <w:t>日常</w:t>
            </w:r>
            <w:r>
              <w:t>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工程质量（专家意见）</w:t>
            </w:r>
          </w:p>
        </w:tc>
        <w:tc>
          <w:tcPr>
            <w:tcW w:w="2835" w:type="dxa"/>
            <w:vAlign w:val="center"/>
          </w:tcPr>
          <w:p>
            <w:pPr>
              <w:pStyle w:val="16"/>
            </w:pPr>
            <w:r>
              <w:t>工程质量（专家意见）</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任务完成时间</w:t>
            </w:r>
          </w:p>
        </w:tc>
        <w:tc>
          <w:tcPr>
            <w:tcW w:w="2835" w:type="dxa"/>
            <w:vAlign w:val="center"/>
          </w:tcPr>
          <w:p>
            <w:pPr>
              <w:pStyle w:val="16"/>
            </w:pPr>
            <w:r>
              <w:t>任务完成时间</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创建数量</w:t>
            </w:r>
          </w:p>
        </w:tc>
        <w:tc>
          <w:tcPr>
            <w:tcW w:w="2835" w:type="dxa"/>
            <w:vAlign w:val="center"/>
          </w:tcPr>
          <w:p>
            <w:pPr>
              <w:pStyle w:val="16"/>
            </w:pPr>
            <w:r>
              <w:t>创建数量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保障机关单位正常运转</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经济效益增长率</w:t>
            </w:r>
          </w:p>
        </w:tc>
        <w:tc>
          <w:tcPr>
            <w:tcW w:w="2835" w:type="dxa"/>
            <w:vAlign w:val="center"/>
          </w:tcPr>
          <w:p>
            <w:pPr>
              <w:pStyle w:val="16"/>
            </w:pPr>
            <w:r>
              <w:t>经济效益增长率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项目持续影响效果</w:t>
            </w:r>
          </w:p>
        </w:tc>
        <w:tc>
          <w:tcPr>
            <w:tcW w:w="2835" w:type="dxa"/>
            <w:vAlign w:val="center"/>
          </w:tcPr>
          <w:p>
            <w:pPr>
              <w:pStyle w:val="16"/>
            </w:pPr>
            <w:r>
              <w:t>群众交通安全意识、文明意识进一步提高</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≥8合格</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4、2023年两院食堂管理费绩效目标表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方便广大职工就餐</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年度服务部门数量</w:t>
            </w:r>
          </w:p>
        </w:tc>
        <w:tc>
          <w:tcPr>
            <w:tcW w:w="2835" w:type="dxa"/>
            <w:vAlign w:val="center"/>
          </w:tcPr>
          <w:p>
            <w:pPr>
              <w:pStyle w:val="16"/>
            </w:pPr>
            <w:r>
              <w:t>年度服务部门数量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2835" w:type="dxa"/>
            <w:vAlign w:val="center"/>
          </w:tcPr>
          <w:p>
            <w:pPr>
              <w:pStyle w:val="16"/>
            </w:pPr>
            <w:r>
              <w:t>正常使用率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2835" w:type="dxa"/>
            <w:vAlign w:val="center"/>
          </w:tcPr>
          <w:p>
            <w:pPr>
              <w:pStyle w:val="16"/>
            </w:pPr>
            <w:r>
              <w:t>工作完成时间</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服务费</w:t>
            </w:r>
          </w:p>
          <w:p>
            <w:pPr>
              <w:pStyle w:val="16"/>
            </w:pPr>
          </w:p>
          <w:p>
            <w:pPr>
              <w:pStyle w:val="16"/>
            </w:pPr>
          </w:p>
        </w:tc>
        <w:tc>
          <w:tcPr>
            <w:tcW w:w="2835" w:type="dxa"/>
            <w:vAlign w:val="center"/>
          </w:tcPr>
          <w:p>
            <w:pPr>
              <w:pStyle w:val="16"/>
            </w:pPr>
            <w:r>
              <w:t>服务费</w:t>
            </w:r>
          </w:p>
          <w:p>
            <w:pPr>
              <w:pStyle w:val="16"/>
            </w:pPr>
          </w:p>
          <w:p>
            <w:pPr>
              <w:pStyle w:val="16"/>
            </w:pP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营业利润减亏</w:t>
            </w:r>
          </w:p>
        </w:tc>
        <w:tc>
          <w:tcPr>
            <w:tcW w:w="2835" w:type="dxa"/>
            <w:vAlign w:val="center"/>
          </w:tcPr>
          <w:p>
            <w:pPr>
              <w:pStyle w:val="16"/>
            </w:pPr>
            <w:r>
              <w:t>营业利润减亏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回应服务对象的社会工作服务需求</w:t>
            </w:r>
          </w:p>
        </w:tc>
        <w:tc>
          <w:tcPr>
            <w:tcW w:w="2835" w:type="dxa"/>
            <w:vAlign w:val="center"/>
          </w:tcPr>
          <w:p>
            <w:pPr>
              <w:pStyle w:val="16"/>
            </w:pPr>
            <w:r>
              <w:t>回应服务对象的社会工作服务需求，改善其生活状况</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提升公共服务水平和质量</w:t>
            </w:r>
          </w:p>
        </w:tc>
        <w:tc>
          <w:tcPr>
            <w:tcW w:w="2835" w:type="dxa"/>
            <w:vAlign w:val="center"/>
          </w:tcPr>
          <w:p>
            <w:pPr>
              <w:pStyle w:val="16"/>
            </w:pPr>
            <w:r>
              <w:t>提升公共服务水平和质量</w:t>
            </w:r>
          </w:p>
        </w:tc>
        <w:tc>
          <w:tcPr>
            <w:tcW w:w="2551" w:type="dxa"/>
            <w:vAlign w:val="center"/>
          </w:tcPr>
          <w:p>
            <w:pPr>
              <w:pStyle w:val="16"/>
            </w:pPr>
            <w:r>
              <w:t>≥8合格</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2835" w:type="dxa"/>
            <w:vAlign w:val="center"/>
          </w:tcPr>
          <w:p>
            <w:pPr>
              <w:pStyle w:val="16"/>
            </w:pPr>
            <w:r>
              <w:t>服务满意度</w:t>
            </w:r>
          </w:p>
        </w:tc>
        <w:tc>
          <w:tcPr>
            <w:tcW w:w="2551" w:type="dxa"/>
            <w:vAlign w:val="center"/>
          </w:tcPr>
          <w:p>
            <w:pPr>
              <w:pStyle w:val="16"/>
            </w:pPr>
            <w:r>
              <w:t>≥8合格</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5、2023年南环保安、两院及南环大楼保洁费用（临时工）绩效目标表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w:t>
            </w:r>
            <w:r>
              <w:rPr>
                <w:rFonts w:hint="eastAsia"/>
                <w:lang w:eastAsia="zh-CN"/>
              </w:rPr>
              <w:t>日常</w:t>
            </w:r>
            <w:r>
              <w:t>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完成率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验收合格比%</w:t>
            </w:r>
          </w:p>
        </w:tc>
        <w:tc>
          <w:tcPr>
            <w:tcW w:w="2835" w:type="dxa"/>
            <w:vAlign w:val="center"/>
          </w:tcPr>
          <w:p>
            <w:pPr>
              <w:pStyle w:val="16"/>
            </w:pPr>
            <w:r>
              <w:t>验收合格比%</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2835" w:type="dxa"/>
            <w:vAlign w:val="center"/>
          </w:tcPr>
          <w:p>
            <w:pPr>
              <w:pStyle w:val="16"/>
            </w:pPr>
            <w:r>
              <w:t>相关工作完成时间</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保障工作正常运转</w:t>
            </w:r>
          </w:p>
        </w:tc>
        <w:tc>
          <w:tcPr>
            <w:tcW w:w="2835" w:type="dxa"/>
            <w:vAlign w:val="center"/>
          </w:tcPr>
          <w:p>
            <w:pPr>
              <w:pStyle w:val="16"/>
            </w:pPr>
            <w:r>
              <w:t>保障工作正常运转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生态效益提升值%</w:t>
            </w:r>
          </w:p>
        </w:tc>
        <w:tc>
          <w:tcPr>
            <w:tcW w:w="2835" w:type="dxa"/>
            <w:vAlign w:val="center"/>
          </w:tcPr>
          <w:p>
            <w:pPr>
              <w:pStyle w:val="16"/>
            </w:pPr>
            <w:r>
              <w:t>生态效益提升值%</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w:t>
            </w:r>
          </w:p>
        </w:tc>
        <w:tc>
          <w:tcPr>
            <w:tcW w:w="2835" w:type="dxa"/>
            <w:vAlign w:val="center"/>
          </w:tcPr>
          <w:p>
            <w:pPr>
              <w:pStyle w:val="16"/>
            </w:pPr>
            <w:r>
              <w:t>保障日常办公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≥80百分比</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6、2023年南环食堂管理费绩效目标表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方便广大职工就餐</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服务人数</w:t>
            </w:r>
          </w:p>
        </w:tc>
        <w:tc>
          <w:tcPr>
            <w:tcW w:w="2835" w:type="dxa"/>
            <w:vAlign w:val="center"/>
          </w:tcPr>
          <w:p>
            <w:pPr>
              <w:pStyle w:val="16"/>
            </w:pPr>
            <w:r>
              <w:t>服务人数</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业务工作完成率（%）</w:t>
            </w:r>
          </w:p>
        </w:tc>
        <w:tc>
          <w:tcPr>
            <w:tcW w:w="2835" w:type="dxa"/>
            <w:vAlign w:val="center"/>
          </w:tcPr>
          <w:p>
            <w:pPr>
              <w:pStyle w:val="16"/>
            </w:pPr>
            <w:r>
              <w:t>业务工作完成率（%）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产品成本</w:t>
            </w:r>
          </w:p>
        </w:tc>
        <w:tc>
          <w:tcPr>
            <w:tcW w:w="2835" w:type="dxa"/>
            <w:vAlign w:val="center"/>
          </w:tcPr>
          <w:p>
            <w:pPr>
              <w:pStyle w:val="16"/>
            </w:pPr>
            <w:r>
              <w:t>产品单位成本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成本利用率</w:t>
            </w:r>
          </w:p>
        </w:tc>
        <w:tc>
          <w:tcPr>
            <w:tcW w:w="2835" w:type="dxa"/>
            <w:vAlign w:val="center"/>
          </w:tcPr>
          <w:p>
            <w:pPr>
              <w:pStyle w:val="16"/>
            </w:pPr>
            <w:r>
              <w:t>成本利用率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服务的改善与提升</w:t>
            </w:r>
          </w:p>
        </w:tc>
        <w:tc>
          <w:tcPr>
            <w:tcW w:w="2835" w:type="dxa"/>
            <w:vAlign w:val="center"/>
          </w:tcPr>
          <w:p>
            <w:pPr>
              <w:pStyle w:val="16"/>
            </w:pPr>
            <w:r>
              <w:t>服务的改善与提升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w:t>
            </w:r>
          </w:p>
        </w:tc>
        <w:tc>
          <w:tcPr>
            <w:tcW w:w="2835" w:type="dxa"/>
            <w:vAlign w:val="center"/>
          </w:tcPr>
          <w:p>
            <w:pPr>
              <w:pStyle w:val="16"/>
            </w:pPr>
            <w:r>
              <w:t>保障日常办公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≥80百分比</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7、2023年三个食堂餐费绩效目标表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方便广大职工就餐</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保障就餐人数</w:t>
            </w:r>
          </w:p>
        </w:tc>
        <w:tc>
          <w:tcPr>
            <w:tcW w:w="2835" w:type="dxa"/>
            <w:vAlign w:val="center"/>
          </w:tcPr>
          <w:p>
            <w:pPr>
              <w:pStyle w:val="16"/>
            </w:pPr>
            <w:r>
              <w:t>保障就餐人数</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保障就餐质量</w:t>
            </w:r>
          </w:p>
        </w:tc>
        <w:tc>
          <w:tcPr>
            <w:tcW w:w="2835" w:type="dxa"/>
            <w:vAlign w:val="center"/>
          </w:tcPr>
          <w:p>
            <w:pPr>
              <w:pStyle w:val="16"/>
            </w:pPr>
            <w:r>
              <w:t>保障就餐质量</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2835" w:type="dxa"/>
            <w:vAlign w:val="center"/>
          </w:tcPr>
          <w:p>
            <w:pPr>
              <w:pStyle w:val="16"/>
            </w:pPr>
            <w:r>
              <w:t>支付及时率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经济效益提升%</w:t>
            </w:r>
          </w:p>
        </w:tc>
        <w:tc>
          <w:tcPr>
            <w:tcW w:w="2835" w:type="dxa"/>
            <w:vAlign w:val="center"/>
          </w:tcPr>
          <w:p>
            <w:pPr>
              <w:pStyle w:val="16"/>
            </w:pPr>
            <w:r>
              <w:t>经济效益提升%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社会效益提升%</w:t>
            </w:r>
          </w:p>
        </w:tc>
        <w:tc>
          <w:tcPr>
            <w:tcW w:w="2835" w:type="dxa"/>
            <w:vAlign w:val="center"/>
          </w:tcPr>
          <w:p>
            <w:pPr>
              <w:pStyle w:val="16"/>
            </w:pPr>
            <w:r>
              <w:t>社会效益提升%</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满足生态环保要求</w:t>
            </w:r>
          </w:p>
        </w:tc>
        <w:tc>
          <w:tcPr>
            <w:tcW w:w="2835" w:type="dxa"/>
            <w:vAlign w:val="center"/>
          </w:tcPr>
          <w:p>
            <w:pPr>
              <w:pStyle w:val="16"/>
            </w:pPr>
            <w:r>
              <w:t>满足生态环保要求</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保障日常办公</w:t>
            </w:r>
          </w:p>
        </w:tc>
        <w:tc>
          <w:tcPr>
            <w:tcW w:w="2835" w:type="dxa"/>
            <w:vAlign w:val="center"/>
          </w:tcPr>
          <w:p>
            <w:pPr>
              <w:pStyle w:val="16"/>
            </w:pPr>
            <w:r>
              <w:t>保障日常办公</w:t>
            </w:r>
          </w:p>
        </w:tc>
        <w:tc>
          <w:tcPr>
            <w:tcW w:w="2551" w:type="dxa"/>
            <w:vAlign w:val="center"/>
          </w:tcPr>
          <w:p>
            <w:pPr>
              <w:pStyle w:val="16"/>
            </w:pPr>
            <w:r>
              <w:t>≥80百分比</w:t>
            </w:r>
          </w:p>
        </w:tc>
        <w:tc>
          <w:tcPr>
            <w:tcW w:w="2268" w:type="dxa"/>
            <w:vAlign w:val="center"/>
          </w:tcPr>
          <w:p>
            <w:pPr>
              <w:pStyle w:val="16"/>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≥80百分比</w:t>
            </w:r>
          </w:p>
        </w:tc>
        <w:tc>
          <w:tcPr>
            <w:tcW w:w="2268" w:type="dxa"/>
            <w:vAlign w:val="center"/>
          </w:tcPr>
          <w:p>
            <w:pPr>
              <w:pStyle w:val="16"/>
            </w:pPr>
            <w:r>
              <w:t>按合同</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2023年，无极县机关事务服务中心本极安排政府采购预算0.00万元。具体内容见下表。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无极县机关事务服务中心本极上年末固定资产金额为350.84万元（详见下表）。本年度拟购置固定资产总额为0.00万元。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430001无极县机关事务服务中心本极</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350.84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5</w:t>
            </w:r>
          </w:p>
        </w:tc>
        <w:tc>
          <w:tcPr>
            <w:tcW w:w="2835" w:type="dxa"/>
            <w:vAlign w:val="center"/>
          </w:tcPr>
          <w:p>
            <w:pPr>
              <w:pStyle w:val="15"/>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2505</w:t>
            </w:r>
          </w:p>
        </w:tc>
        <w:tc>
          <w:tcPr>
            <w:tcW w:w="2835" w:type="dxa"/>
            <w:vAlign w:val="center"/>
          </w:tcPr>
          <w:p>
            <w:pPr>
              <w:pStyle w:val="15"/>
            </w:pPr>
            <w:r>
              <w:t>349.82</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rPr>
          <w:rFonts w:eastAsia="方正仿宋_GBK" w:cs="Times New Roman"/>
          <w:color w:val="000000"/>
          <w:sz w:val="28"/>
        </w:rPr>
        <w:sectPr>
          <w:pgSz w:w="16840" w:h="11900" w:orient="landscape"/>
          <w:pgMar w:top="1361" w:right="1020" w:bottom="1134" w:left="1020" w:header="720" w:footer="720" w:gutter="0"/>
          <w:pgNumType w:fmt="decimal"/>
          <w:cols w:space="720" w:num="1"/>
        </w:sectPr>
      </w:pP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headerReference r:id="rId7" w:type="default"/>
      <w:headerReference r:id="rId8"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BKlyLzywEAAJwDAAAOAAAA&#10;AAAAAAEAIAAAADQBAABkcnMvZTJvRG9jLnhtbFBLBQYAAAAABgAGAFkBAABxBQ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inside</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inside;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BVh/7zywEAAJwDAAAOAAAA&#10;AAAAAAEAIAAAADQBAABkcnMvZTJvRG9jLnhtbFBLBQYAAAAABgAGAFkBAABxBQ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BlZDM5MmNjZTk2ODBiMDQxOTYzYjRkYzU0NzJmODkifQ=="/>
  </w:docVars>
  <w:rsids>
    <w:rsidRoot w:val="006D617E"/>
    <w:rsid w:val="00185D75"/>
    <w:rsid w:val="003014E7"/>
    <w:rsid w:val="006D617E"/>
    <w:rsid w:val="01543AF0"/>
    <w:rsid w:val="02610E76"/>
    <w:rsid w:val="089F74D5"/>
    <w:rsid w:val="08A460BD"/>
    <w:rsid w:val="0A117787"/>
    <w:rsid w:val="0B0E7430"/>
    <w:rsid w:val="0EBF2140"/>
    <w:rsid w:val="0F8F6F95"/>
    <w:rsid w:val="103819AC"/>
    <w:rsid w:val="192E0129"/>
    <w:rsid w:val="19EF621A"/>
    <w:rsid w:val="1B3C1F96"/>
    <w:rsid w:val="1E512F4B"/>
    <w:rsid w:val="22AE5D73"/>
    <w:rsid w:val="262E24B2"/>
    <w:rsid w:val="2B555CA8"/>
    <w:rsid w:val="2EC05BF6"/>
    <w:rsid w:val="2F5000F1"/>
    <w:rsid w:val="33BC3AED"/>
    <w:rsid w:val="3495430F"/>
    <w:rsid w:val="387F53C0"/>
    <w:rsid w:val="38D07035"/>
    <w:rsid w:val="45062FA4"/>
    <w:rsid w:val="46315CB6"/>
    <w:rsid w:val="46E147D5"/>
    <w:rsid w:val="4CD51C9D"/>
    <w:rsid w:val="4F681692"/>
    <w:rsid w:val="4FD65A6E"/>
    <w:rsid w:val="560A3B5F"/>
    <w:rsid w:val="56FD5545"/>
    <w:rsid w:val="58F16C7A"/>
    <w:rsid w:val="5FF94F03"/>
    <w:rsid w:val="652E7A0E"/>
    <w:rsid w:val="6573537F"/>
    <w:rsid w:val="66BA4FB3"/>
    <w:rsid w:val="68ED16B3"/>
    <w:rsid w:val="69255090"/>
    <w:rsid w:val="6CD854A1"/>
    <w:rsid w:val="6DA56B08"/>
    <w:rsid w:val="6EC14FC1"/>
    <w:rsid w:val="703B14F6"/>
    <w:rsid w:val="718A79D3"/>
    <w:rsid w:val="735F488F"/>
    <w:rsid w:val="7D932A28"/>
    <w:rsid w:val="7E0D29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59</Pages>
  <Words>3383</Words>
  <Characters>19284</Characters>
  <Lines>160</Lines>
  <Paragraphs>45</Paragraphs>
  <TotalTime>0</TotalTime>
  <ScaleCrop>false</ScaleCrop>
  <LinksUpToDate>false</LinksUpToDate>
  <CharactersWithSpaces>22622</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2023-05-15T22:25:00Z</dcterms:created>
  <dc:creator>Administrator</dc:creator>
  <cp:lastModifiedBy>caizhengju</cp:lastModifiedBy>
  <dcterms:modified xsi:type="dcterms:W3CDTF">2024-01-04T13:57:08Z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F0AD3ABACDDCD366B44896658A3264DE</vt:lpwstr>
  </property>
</Properties>
</file>