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无极县郝庄乡人民政府</w:t>
      </w:r>
      <w:bookmarkStart w:id="6" w:name="_GoBack"/>
      <w:bookmarkEnd w:id="6"/>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按照《预算法》、《地方预决算公开操作规程》和《河北省县级预算公开办法》规定，现将无极县郝庄乡人民政府2020年部门预算公开如下：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根据《郝庄乡职能配置、内设机构和人员编制规定》， 郝庄乡的主要职责是：</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二是加强社会管理，营建</w:t>
      </w:r>
      <w:r>
        <w:rPr>
          <w:rFonts w:hint="eastAsia" w:ascii="Times New Roman" w:hAnsi="Times New Roman" w:eastAsia="仿宋" w:cs="Times New Roman"/>
          <w:sz w:val="32"/>
          <w:szCs w:val="32"/>
          <w:lang w:eastAsia="zh-CN"/>
        </w:rPr>
        <w:t>和谐</w:t>
      </w:r>
      <w:r>
        <w:rPr>
          <w:rFonts w:hint="eastAsia" w:ascii="Times New Roman" w:hAnsi="Times New Roman" w:eastAsia="仿宋" w:cs="Times New Roman"/>
          <w:sz w:val="32"/>
          <w:szCs w:val="32"/>
        </w:rP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ascii="Times New Roman" w:hAnsi="Times New Roman" w:eastAsia="仿宋" w:cs="Times New Roman"/>
          <w:sz w:val="32"/>
          <w:szCs w:val="32"/>
          <w:lang w:eastAsia="zh-CN"/>
        </w:rPr>
        <w:t>和谐</w:t>
      </w:r>
      <w:r>
        <w:rPr>
          <w:rFonts w:hint="eastAsia" w:ascii="Times New Roman" w:hAnsi="Times New Roman" w:eastAsia="仿宋" w:cs="Times New Roman"/>
          <w:sz w:val="32"/>
          <w:szCs w:val="32"/>
        </w:rPr>
        <w:t>社会的具体措施，并抓好组织实施。配合城建、</w:t>
      </w:r>
      <w:r>
        <w:rPr>
          <w:rFonts w:hint="eastAsia" w:ascii="Times New Roman" w:hAnsi="Times New Roman" w:eastAsia="仿宋" w:cs="Times New Roman"/>
          <w:sz w:val="32"/>
          <w:szCs w:val="32"/>
          <w:lang w:eastAsia="zh-CN"/>
        </w:rPr>
        <w:t>国土资源部</w:t>
      </w:r>
      <w:r>
        <w:rPr>
          <w:rFonts w:hint="eastAsia" w:ascii="Times New Roman" w:hAnsi="Times New Roman" w:eastAsia="仿宋" w:cs="Times New Roman"/>
          <w:sz w:val="32"/>
          <w:szCs w:val="32"/>
        </w:rP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反映本部门当年全部收入。2020年预算收入580万元，其中：一般公共预算收入580万元，基金预算收入0万元，财政专户核拨收入0万元，其他来源收入0万元。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w:t>
      </w:r>
      <w:r>
        <w:rPr>
          <w:rFonts w:hint="eastAsia" w:ascii="Times New Roman" w:hAnsi="Times New Roman" w:eastAsia="仿宋" w:cs="Times New Roman"/>
          <w:color w:val="000000"/>
          <w:sz w:val="32"/>
          <w:szCs w:val="32"/>
        </w:rPr>
        <w:t>反映年度部门预算中支出预算的总体情况。2020年部门支出预算为580万元，其中基本支出580万元，包括人员经费520.5万元和日常公用经费59.5万元；其他支出0万元。</w:t>
      </w:r>
    </w:p>
    <w:p>
      <w:pPr>
        <w:numPr>
          <w:ilvl w:val="0"/>
          <w:numId w:val="1"/>
        </w:numPr>
        <w:ind w:firstLine="640"/>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580</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较2019年减少760.76万元，其中：基本支出增加54.24万元，主要是</w:t>
      </w:r>
      <w:r>
        <w:rPr>
          <w:rFonts w:hint="eastAsia" w:ascii="Times New Roman" w:hAnsi="Times New Roman" w:eastAsia="仿宋" w:cs="Times New Roman"/>
          <w:color w:val="000000"/>
          <w:sz w:val="32"/>
          <w:szCs w:val="32"/>
        </w:rPr>
        <w:t>日常公用经费增加</w:t>
      </w:r>
      <w:r>
        <w:rPr>
          <w:rFonts w:hint="eastAsia" w:ascii="Times New Roman" w:hAnsi="Times New Roman" w:eastAsia="仿宋" w:cs="Times New Roman"/>
          <w:sz w:val="32"/>
          <w:szCs w:val="32"/>
        </w:rPr>
        <w:t>；项目支出减少815万元，主要是</w:t>
      </w:r>
      <w:r>
        <w:rPr>
          <w:rFonts w:hint="eastAsia" w:ascii="Times New Roman" w:hAnsi="Times New Roman" w:eastAsia="仿宋" w:cs="Times New Roman"/>
          <w:color w:val="000000"/>
          <w:sz w:val="32"/>
          <w:szCs w:val="32"/>
        </w:rPr>
        <w:t>无预算项目支出。</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2020年，我部门机关运行经费共计安排59.5万元，主要用于保证机关正常运转的办公费及印刷费、邮电费、差旅费、水电费、取暖费、公务车运行维护费等支出。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2020年，我部门财政拨款“三公”经费预算安排3万元，其中：因公出国（境）费0万元；公务用车购置及运维费3万元（其中：公务用车购置费0万元，公务用车运行维护费3万元)；公务接待费0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eastAsia="方正仿宋_GBK"/>
          <w:sz w:val="28"/>
        </w:rPr>
      </w:pPr>
      <w:r>
        <w:rPr>
          <w:rFonts w:hint="eastAsia" w:ascii="Times New Roman" w:hAnsi="Times New Roman" w:eastAsia="仿宋" w:cs="Times New Roman"/>
          <w:sz w:val="32"/>
          <w:szCs w:val="32"/>
        </w:rP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乡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乡政府领导和机关工作办公环境的措施，提升服务管理水平，保障乡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（一）组织专门委员会委员、各工作委员会及特聘专家进行对法律实施情况进行执法检查；组织乡人大及乡人大代表进行执法检查和集中视察；开展代表建议督办；组织对常委及代表培训。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绩效目标：发挥常委及代表的作用，集中反映民意，促进依法履职。</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绩效指标：建议督办完成率80%以上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人大常委会联系；重大课题调研。</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绩效目标：保障新闻宣传与新闻发布工作正常开展，提高人大信息透明度和影响力；保障会议表决系统正常运转；网络与办公平台正常运行；促进社会和谐稳定。</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绩效指标：综合业务管理工作完成率90%以上。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（三）不断提高信息公开工作业务水平；协助乡领导组织会议决定事项的落实；督办重大决策落实；做好乡际间政务往来与经济交流工作，负责乡级领导公务活动的接待安排。</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提升政务公开服务水平。承办大型会议，有效推动全乡经济发展，保障重大决策落实，积极贯彻工作布署，创新工作机制，提升服务水平。围绕我乡中心工作，有效促进对外经贸协作和外地高科技项目合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绩效指标：政务信息公开培训任务完成率90%以上。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（四）政府值班工作，及时报告重要情况，传达和落实乡领导重要指示，协助乡领导完成组织处理突发事件应急处置工作。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绩效目标：建设运行维护平台数据，为有效保障全乡突发事件提供技术保障，确保快速、有效处置突发事件，提高事件应对实效。</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绩效指标：应急事件处置情况及时率≥90%</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（五）会议组织管理、信息化建设与维护、财务和资产管理、标准化建设。</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绩效目标：保障办公机关正常运转</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绩效指标：综合事务管理工作完成率≥90%</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（六）按照统筹城乡发展要求，组织实施农村面貌改造提升行动。</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绩效目标：开展农村面貌改造提升。按照分期分批推进的要求，每年选定一批重点村实施改造提升。</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绩效指标：重点村改造提升完成率≥90%</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（七）指导、协调和督导各级各部门排查、化解影响社会稳定的重大不稳定隐患、群体性事件和突发事件及影响安全的事件。</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绩效目标：预防减少不稳定因素的发生，有效化解不稳定隐患、群体性事件和突发事件，维护安全工作。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绩效指标：妥善处置突发事件（件）占发生突发环境事件（件）的比例90%以上</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完善制度建设。制定完善了预算绩效管理制度、资金管理办法、工作保障制度等，为全年预算绩效目标的实现奠定制度基础。</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加强支出管理。通过优化支出结构、编细编实预算、加快履行政府采购手续、尽快启动项目、及时支付资金、6月底前细化代编预算、按规定及时下达资金等多种措施，确保支出进度达标。</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加强绩效运行监控。按照要求，开展绩效运行监控，发现问题及时采取措施，确保绩效目标如期保质实现。</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做好绩效自评。按要求，开展上年度部门预算绩效自评和重点评价工作，对评价中发现的问题及时整改，调整优化支出结构，提高财政资金使用效益。</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规范财务资产管理。完善财务管理制度，严格审批程序，加强固定资产登记、使用和报废处置管理，做到支出合理，物尽其用。</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2"/>
        </w:num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预算项目绩效目标</w:t>
      </w:r>
      <w:bookmarkEnd w:id="0"/>
    </w:p>
    <w:p>
      <w:pPr>
        <w:autoSpaceDE w:val="0"/>
        <w:autoSpaceDN w:val="0"/>
        <w:adjustRightInd w:val="0"/>
        <w:ind w:left="420" w:leftChars="200" w:firstLine="320" w:firstLineChars="100"/>
        <w:jc w:val="left"/>
        <w:rPr>
          <w:rFonts w:ascii="方正仿宋_GBK" w:eastAsia="方正仿宋_GBK"/>
          <w:b/>
          <w:sz w:val="28"/>
        </w:rPr>
      </w:pPr>
      <w:r>
        <w:rPr>
          <w:rFonts w:hint="eastAsia" w:ascii="Times New Roman" w:hAnsi="Times New Roman" w:eastAsia="仿宋" w:cs="Times New Roman"/>
          <w:sz w:val="32"/>
          <w:szCs w:val="32"/>
        </w:rPr>
        <w:t>2020年，我部门无安排预算项目。</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color w:val="000000"/>
          <w:sz w:val="32"/>
          <w:szCs w:val="24"/>
        </w:rPr>
      </w:pPr>
      <w:bookmarkStart w:id="4" w:name="_Toc471398468"/>
      <w:r>
        <w:rPr>
          <w:rFonts w:ascii="Times New Roman" w:hAnsi="Times New Roman" w:eastAsia="仿宋" w:cs="Times New Roman"/>
          <w:sz w:val="32"/>
          <w:szCs w:val="24"/>
        </w:rPr>
        <w:t xml:space="preserve"> </w:t>
      </w:r>
      <w:bookmarkEnd w:id="4"/>
      <w:r>
        <w:rPr>
          <w:rFonts w:ascii="Times New Roman" w:hAnsi="Times New Roman" w:eastAsia="仿宋" w:cs="Times New Roman"/>
          <w:color w:val="000000"/>
          <w:sz w:val="32"/>
          <w:szCs w:val="24"/>
        </w:rPr>
        <w:t>20</w:t>
      </w:r>
      <w:r>
        <w:rPr>
          <w:rFonts w:hint="eastAsia" w:ascii="Times New Roman" w:hAnsi="Times New Roman" w:eastAsia="仿宋" w:cs="Times New Roman"/>
          <w:color w:val="000000"/>
          <w:sz w:val="32"/>
          <w:szCs w:val="24"/>
        </w:rPr>
        <w:t>20</w:t>
      </w:r>
      <w:r>
        <w:rPr>
          <w:rFonts w:ascii="Times New Roman" w:hAnsi="Times New Roman" w:eastAsia="仿宋" w:cs="Times New Roman"/>
          <w:color w:val="000000"/>
          <w:sz w:val="32"/>
          <w:szCs w:val="24"/>
        </w:rPr>
        <w:t>年，</w:t>
      </w:r>
      <w:r>
        <w:rPr>
          <w:rFonts w:hint="eastAsia" w:ascii="Times New Roman" w:hAnsi="Times New Roman" w:eastAsia="仿宋" w:cs="Times New Roman"/>
          <w:color w:val="000000"/>
          <w:sz w:val="32"/>
          <w:szCs w:val="24"/>
        </w:rPr>
        <w:t>我部门</w:t>
      </w:r>
      <w:r>
        <w:rPr>
          <w:rFonts w:ascii="Times New Roman" w:hAnsi="Times New Roman" w:eastAsia="仿宋" w:cs="Times New Roman"/>
          <w:color w:val="000000"/>
          <w:sz w:val="32"/>
          <w:szCs w:val="24"/>
        </w:rPr>
        <w:t>安排政府采购预算</w:t>
      </w:r>
      <w:r>
        <w:rPr>
          <w:rFonts w:hint="eastAsia" w:ascii="Times New Roman" w:hAnsi="Times New Roman" w:eastAsia="仿宋" w:cs="Times New Roman"/>
          <w:color w:val="000000"/>
          <w:sz w:val="32"/>
          <w:szCs w:val="24"/>
        </w:rPr>
        <w:t>0</w:t>
      </w:r>
      <w:r>
        <w:rPr>
          <w:rFonts w:ascii="Times New Roman" w:hAnsi="Times New Roman" w:eastAsia="仿宋" w:cs="Times New Roman"/>
          <w:color w:val="000000"/>
          <w:sz w:val="32"/>
          <w:szCs w:val="24"/>
        </w:rPr>
        <w:t>万元。</w:t>
      </w:r>
    </w:p>
    <w:p>
      <w:pPr>
        <w:ind w:firstLine="640" w:firstLineChars="200"/>
        <w:jc w:val="center"/>
        <w:outlineLvl w:val="0"/>
        <w:rPr>
          <w:rFonts w:ascii="Times New Roman" w:hAnsi="宋体"/>
          <w:color w:val="000000"/>
          <w:sz w:val="32"/>
        </w:rPr>
      </w:pPr>
      <w:r>
        <w:rPr>
          <w:rFonts w:hint="eastAsia" w:ascii="方正小标宋_GBK" w:eastAsia="方正小标宋_GBK"/>
          <w:color w:val="000000"/>
          <w:sz w:val="32"/>
        </w:rPr>
        <w:t>部门政府采购预算</w:t>
      </w:r>
      <w:r>
        <w:rPr>
          <w:color w:val="000000"/>
        </w:rPr>
        <w:fldChar w:fldCharType="begin"/>
      </w:r>
      <w:r>
        <w:rPr>
          <w:rFonts w:ascii="方正小标宋_GBK" w:eastAsia="方正小标宋_GBK"/>
          <w:color w:val="000000"/>
          <w:sz w:val="32"/>
        </w:rPr>
        <w:instrText xml:space="preserve"> </w:instrText>
      </w:r>
      <w:r>
        <w:rPr>
          <w:rFonts w:hint="eastAsia" w:ascii="方正小标宋_GBK" w:eastAsia="方正小标宋_GBK"/>
          <w:color w:val="000000"/>
          <w:sz w:val="32"/>
        </w:rPr>
        <w:instrText xml:space="preserve">TC </w:instrText>
      </w:r>
      <w:bookmarkStart w:id="5" w:name="_Toc28848395"/>
      <w:r>
        <w:rPr>
          <w:rFonts w:hint="eastAsia" w:ascii="方正小标宋_GBK" w:eastAsia="方正小标宋_GBK"/>
          <w:color w:val="000000"/>
          <w:sz w:val="32"/>
        </w:rPr>
        <w:instrText xml:space="preserve">部门政府采购预算</w:instrText>
      </w:r>
      <w:bookmarkEnd w:id="5"/>
      <w:r>
        <w:rPr>
          <w:rFonts w:hint="eastAsia" w:ascii="方正小标宋_GBK" w:eastAsia="方正小标宋_GBK"/>
          <w:color w:val="000000"/>
          <w:sz w:val="32"/>
        </w:rPr>
        <w:instrText xml:space="preserve"> \f A \l 1</w:instrText>
      </w:r>
      <w:r>
        <w:rPr>
          <w:rFonts w:ascii="方正小标宋_GBK" w:eastAsia="方正小标宋_GBK"/>
          <w:color w:val="000000"/>
          <w:sz w:val="32"/>
        </w:rPr>
        <w:instrText xml:space="preserve"> </w:instrText>
      </w:r>
      <w:r>
        <w:rPr>
          <w:rFonts w:ascii="方正小标宋_GBK" w:eastAsia="方正小标宋_GBK"/>
          <w:color w:val="000000"/>
          <w:sz w:val="32"/>
        </w:rPr>
        <w:fldChar w:fldCharType="end"/>
      </w:r>
    </w:p>
    <w:tbl>
      <w:tblPr>
        <w:tblStyle w:val="7"/>
        <w:tblW w:w="114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5"/>
        <w:gridCol w:w="830"/>
        <w:gridCol w:w="1142"/>
        <w:gridCol w:w="1037"/>
        <w:gridCol w:w="519"/>
        <w:gridCol w:w="624"/>
        <w:gridCol w:w="726"/>
        <w:gridCol w:w="726"/>
        <w:gridCol w:w="726"/>
        <w:gridCol w:w="728"/>
        <w:gridCol w:w="830"/>
        <w:gridCol w:w="622"/>
        <w:gridCol w:w="6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tblHeader/>
          <w:jc w:val="center"/>
        </w:trPr>
        <w:tc>
          <w:tcPr>
            <w:tcW w:w="715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olor w:val="000000"/>
                <w:sz w:val="24"/>
              </w:rPr>
            </w:pPr>
            <w:r>
              <w:rPr>
                <w:rFonts w:hint="eastAsia" w:ascii="方正小标宋_GBK" w:eastAsia="方正小标宋_GBK"/>
                <w:color w:val="000000"/>
                <w:sz w:val="24"/>
              </w:rPr>
              <w:t>935郝庄乡人民政府</w:t>
            </w:r>
          </w:p>
        </w:tc>
        <w:tc>
          <w:tcPr>
            <w:tcW w:w="4287"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sz w:val="24"/>
              </w:rPr>
            </w:pPr>
            <w:r>
              <w:rPr>
                <w:rFonts w:hint="eastAsia" w:ascii="方正书宋_GBK" w:eastAsia="方正书宋_GBK"/>
                <w:color w:val="000000"/>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tblHeader/>
          <w:jc w:val="center"/>
        </w:trPr>
        <w:tc>
          <w:tcPr>
            <w:tcW w:w="3105" w:type="dxa"/>
            <w:gridSpan w:val="2"/>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政府采购项目来源</w:t>
            </w:r>
          </w:p>
        </w:tc>
        <w:tc>
          <w:tcPr>
            <w:tcW w:w="1142"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采购物品名称</w:t>
            </w:r>
          </w:p>
        </w:tc>
        <w:tc>
          <w:tcPr>
            <w:tcW w:w="1037"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政府采购目录序号</w:t>
            </w:r>
          </w:p>
        </w:tc>
        <w:tc>
          <w:tcPr>
            <w:tcW w:w="519"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计量  单位</w:t>
            </w:r>
          </w:p>
        </w:tc>
        <w:tc>
          <w:tcPr>
            <w:tcW w:w="624"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数量</w:t>
            </w:r>
          </w:p>
        </w:tc>
        <w:tc>
          <w:tcPr>
            <w:tcW w:w="726" w:type="dxa"/>
            <w:vMerge w:val="restart"/>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单价</w:t>
            </w:r>
          </w:p>
        </w:tc>
        <w:tc>
          <w:tcPr>
            <w:tcW w:w="4287" w:type="dxa"/>
            <w:gridSpan w:val="6"/>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44" w:hRule="atLeast"/>
          <w:tblHeader/>
          <w:jc w:val="center"/>
        </w:trPr>
        <w:tc>
          <w:tcPr>
            <w:tcW w:w="2275"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项目名称</w:t>
            </w:r>
          </w:p>
        </w:tc>
        <w:tc>
          <w:tcPr>
            <w:tcW w:w="830"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预算资金</w:t>
            </w:r>
          </w:p>
        </w:tc>
        <w:tc>
          <w:tcPr>
            <w:tcW w:w="1142" w:type="dxa"/>
            <w:vMerge w:val="continue"/>
            <w:vAlign w:val="center"/>
          </w:tcPr>
          <w:p>
            <w:pPr>
              <w:spacing w:line="300" w:lineRule="exact"/>
              <w:jc w:val="left"/>
              <w:outlineLvl w:val="0"/>
              <w:rPr>
                <w:rFonts w:ascii="Times New Roman" w:eastAsia="方正仿宋_GBK"/>
                <w:color w:val="000000"/>
                <w:sz w:val="28"/>
              </w:rPr>
            </w:pPr>
          </w:p>
        </w:tc>
        <w:tc>
          <w:tcPr>
            <w:tcW w:w="1037" w:type="dxa"/>
            <w:vMerge w:val="continue"/>
            <w:vAlign w:val="center"/>
          </w:tcPr>
          <w:p>
            <w:pPr>
              <w:spacing w:line="300" w:lineRule="exact"/>
              <w:jc w:val="left"/>
              <w:outlineLvl w:val="0"/>
              <w:rPr>
                <w:rFonts w:ascii="Times New Roman" w:eastAsia="方正仿宋_GBK"/>
                <w:color w:val="000000"/>
                <w:sz w:val="28"/>
              </w:rPr>
            </w:pPr>
          </w:p>
        </w:tc>
        <w:tc>
          <w:tcPr>
            <w:tcW w:w="519" w:type="dxa"/>
            <w:vMerge w:val="continue"/>
            <w:vAlign w:val="center"/>
          </w:tcPr>
          <w:p>
            <w:pPr>
              <w:spacing w:line="300" w:lineRule="exact"/>
              <w:jc w:val="left"/>
              <w:outlineLvl w:val="0"/>
              <w:rPr>
                <w:rFonts w:ascii="Times New Roman" w:eastAsia="方正仿宋_GBK"/>
                <w:color w:val="000000"/>
                <w:sz w:val="28"/>
              </w:rPr>
            </w:pPr>
          </w:p>
        </w:tc>
        <w:tc>
          <w:tcPr>
            <w:tcW w:w="624" w:type="dxa"/>
            <w:vMerge w:val="continue"/>
            <w:vAlign w:val="center"/>
          </w:tcPr>
          <w:p>
            <w:pPr>
              <w:spacing w:line="300" w:lineRule="exact"/>
              <w:jc w:val="left"/>
              <w:outlineLvl w:val="0"/>
              <w:rPr>
                <w:rFonts w:ascii="Times New Roman" w:eastAsia="方正仿宋_GBK"/>
                <w:color w:val="000000"/>
                <w:sz w:val="28"/>
              </w:rPr>
            </w:pPr>
          </w:p>
        </w:tc>
        <w:tc>
          <w:tcPr>
            <w:tcW w:w="726" w:type="dxa"/>
            <w:vMerge w:val="continue"/>
            <w:vAlign w:val="center"/>
          </w:tcPr>
          <w:p>
            <w:pPr>
              <w:spacing w:line="300" w:lineRule="exact"/>
              <w:jc w:val="left"/>
              <w:outlineLvl w:val="0"/>
              <w:rPr>
                <w:rFonts w:ascii="Times New Roman" w:eastAsia="方正仿宋_GBK"/>
                <w:color w:val="000000"/>
                <w:sz w:val="28"/>
              </w:rPr>
            </w:pPr>
          </w:p>
        </w:tc>
        <w:tc>
          <w:tcPr>
            <w:tcW w:w="726"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合计</w:t>
            </w:r>
          </w:p>
        </w:tc>
        <w:tc>
          <w:tcPr>
            <w:tcW w:w="726"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一般公共预算拨款</w:t>
            </w:r>
          </w:p>
        </w:tc>
        <w:tc>
          <w:tcPr>
            <w:tcW w:w="728"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基金预算拨款</w:t>
            </w:r>
          </w:p>
        </w:tc>
        <w:tc>
          <w:tcPr>
            <w:tcW w:w="830"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国有资本经营预算拨款</w:t>
            </w:r>
          </w:p>
        </w:tc>
        <w:tc>
          <w:tcPr>
            <w:tcW w:w="622"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财政专户核拨</w:t>
            </w:r>
          </w:p>
        </w:tc>
        <w:tc>
          <w:tcPr>
            <w:tcW w:w="655"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5" w:hRule="atLeast"/>
          <w:jc w:val="center"/>
        </w:trPr>
        <w:tc>
          <w:tcPr>
            <w:tcW w:w="2275" w:type="dxa"/>
            <w:vAlign w:val="center"/>
          </w:tcPr>
          <w:p>
            <w:pPr>
              <w:spacing w:line="300" w:lineRule="exact"/>
              <w:jc w:val="center"/>
              <w:rPr>
                <w:rFonts w:ascii="方正书宋_GBK" w:eastAsia="方正书宋_GBK"/>
                <w:b/>
                <w:color w:val="000000"/>
              </w:rPr>
            </w:pPr>
            <w:r>
              <w:rPr>
                <w:rFonts w:hint="eastAsia" w:ascii="方正书宋_GBK" w:eastAsia="方正书宋_GBK"/>
                <w:b/>
                <w:color w:val="000000"/>
              </w:rPr>
              <w:t>合　计</w:t>
            </w:r>
          </w:p>
        </w:tc>
        <w:tc>
          <w:tcPr>
            <w:tcW w:w="830" w:type="dxa"/>
            <w:vAlign w:val="center"/>
          </w:tcPr>
          <w:p>
            <w:pPr>
              <w:spacing w:line="300" w:lineRule="exact"/>
              <w:jc w:val="right"/>
              <w:rPr>
                <w:rFonts w:ascii="方正书宋_GBK" w:eastAsia="方正书宋_GBK"/>
                <w:b/>
                <w:color w:val="000000"/>
              </w:rPr>
            </w:pPr>
          </w:p>
        </w:tc>
        <w:tc>
          <w:tcPr>
            <w:tcW w:w="1142" w:type="dxa"/>
            <w:vAlign w:val="center"/>
          </w:tcPr>
          <w:p>
            <w:pPr>
              <w:spacing w:line="300" w:lineRule="exact"/>
              <w:jc w:val="left"/>
              <w:rPr>
                <w:rFonts w:ascii="方正书宋_GBK" w:eastAsia="方正书宋_GBK"/>
                <w:b/>
                <w:color w:val="000000"/>
              </w:rPr>
            </w:pPr>
          </w:p>
        </w:tc>
        <w:tc>
          <w:tcPr>
            <w:tcW w:w="1037" w:type="dxa"/>
            <w:vAlign w:val="center"/>
          </w:tcPr>
          <w:p>
            <w:pPr>
              <w:spacing w:line="300" w:lineRule="exact"/>
              <w:jc w:val="left"/>
              <w:rPr>
                <w:rFonts w:ascii="方正书宋_GBK" w:eastAsia="方正书宋_GBK"/>
                <w:b/>
                <w:color w:val="000000"/>
              </w:rPr>
            </w:pPr>
          </w:p>
        </w:tc>
        <w:tc>
          <w:tcPr>
            <w:tcW w:w="519" w:type="dxa"/>
            <w:vAlign w:val="center"/>
          </w:tcPr>
          <w:p>
            <w:pPr>
              <w:spacing w:line="300" w:lineRule="exact"/>
              <w:jc w:val="left"/>
              <w:rPr>
                <w:rFonts w:ascii="方正书宋_GBK" w:eastAsia="方正书宋_GBK"/>
                <w:b/>
                <w:color w:val="000000"/>
              </w:rPr>
            </w:pPr>
          </w:p>
        </w:tc>
        <w:tc>
          <w:tcPr>
            <w:tcW w:w="624" w:type="dxa"/>
            <w:vAlign w:val="center"/>
          </w:tcPr>
          <w:p>
            <w:pPr>
              <w:spacing w:line="300" w:lineRule="exact"/>
              <w:jc w:val="right"/>
              <w:rPr>
                <w:rFonts w:ascii="方正书宋_GBK" w:eastAsia="方正书宋_GBK"/>
                <w:b/>
                <w:color w:val="000000"/>
              </w:rPr>
            </w:pPr>
          </w:p>
        </w:tc>
        <w:tc>
          <w:tcPr>
            <w:tcW w:w="726" w:type="dxa"/>
            <w:vAlign w:val="center"/>
          </w:tcPr>
          <w:p>
            <w:pPr>
              <w:spacing w:line="300" w:lineRule="exact"/>
              <w:jc w:val="right"/>
              <w:rPr>
                <w:rFonts w:ascii="方正书宋_GBK" w:eastAsia="方正书宋_GBK"/>
                <w:b/>
                <w:color w:val="000000"/>
              </w:rPr>
            </w:pPr>
          </w:p>
        </w:tc>
        <w:tc>
          <w:tcPr>
            <w:tcW w:w="726"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0</w:t>
            </w:r>
          </w:p>
        </w:tc>
        <w:tc>
          <w:tcPr>
            <w:tcW w:w="726" w:type="dxa"/>
            <w:vAlign w:val="center"/>
          </w:tcPr>
          <w:p>
            <w:pPr>
              <w:adjustRightInd w:val="0"/>
              <w:snapToGrid w:val="0"/>
              <w:jc w:val="right"/>
              <w:rPr>
                <w:rFonts w:ascii="方正书宋_GBK" w:hAnsi="宋体" w:eastAsia="方正书宋_GBK" w:cs="宋体"/>
                <w:b/>
                <w:bCs/>
                <w:color w:val="000000"/>
                <w:szCs w:val="21"/>
              </w:rPr>
            </w:pPr>
          </w:p>
        </w:tc>
        <w:tc>
          <w:tcPr>
            <w:tcW w:w="728" w:type="dxa"/>
            <w:vAlign w:val="center"/>
          </w:tcPr>
          <w:p>
            <w:pPr>
              <w:spacing w:line="300" w:lineRule="exact"/>
              <w:jc w:val="right"/>
              <w:rPr>
                <w:rFonts w:ascii="方正书宋_GBK" w:eastAsia="方正书宋_GBK"/>
                <w:b/>
                <w:color w:val="000000"/>
              </w:rPr>
            </w:pPr>
          </w:p>
        </w:tc>
        <w:tc>
          <w:tcPr>
            <w:tcW w:w="830" w:type="dxa"/>
            <w:vAlign w:val="center"/>
          </w:tcPr>
          <w:p>
            <w:pPr>
              <w:spacing w:line="300" w:lineRule="exact"/>
              <w:jc w:val="right"/>
              <w:rPr>
                <w:rFonts w:ascii="方正书宋_GBK" w:eastAsia="方正书宋_GBK"/>
                <w:b/>
                <w:color w:val="000000"/>
              </w:rPr>
            </w:pPr>
          </w:p>
        </w:tc>
        <w:tc>
          <w:tcPr>
            <w:tcW w:w="622" w:type="dxa"/>
            <w:vAlign w:val="center"/>
          </w:tcPr>
          <w:p>
            <w:pPr>
              <w:spacing w:line="300" w:lineRule="exact"/>
              <w:jc w:val="right"/>
              <w:rPr>
                <w:rFonts w:ascii="方正书宋_GBK" w:eastAsia="方正书宋_GBK"/>
                <w:b/>
                <w:color w:val="000000"/>
              </w:rPr>
            </w:pPr>
          </w:p>
        </w:tc>
        <w:tc>
          <w:tcPr>
            <w:tcW w:w="655" w:type="dxa"/>
            <w:vAlign w:val="center"/>
          </w:tcPr>
          <w:p>
            <w:pPr>
              <w:spacing w:line="300" w:lineRule="exact"/>
              <w:jc w:val="right"/>
              <w:rPr>
                <w:rFonts w:ascii="方正书宋_GBK" w:eastAsia="方正书宋_GBK"/>
                <w:b/>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5" w:hRule="atLeast"/>
          <w:jc w:val="center"/>
        </w:trPr>
        <w:tc>
          <w:tcPr>
            <w:tcW w:w="2275" w:type="dxa"/>
            <w:vAlign w:val="center"/>
          </w:tcPr>
          <w:p>
            <w:pPr>
              <w:spacing w:line="300" w:lineRule="exact"/>
              <w:jc w:val="center"/>
              <w:rPr>
                <w:rFonts w:ascii="方正书宋_GBK" w:eastAsia="方正书宋_GBK"/>
                <w:b/>
                <w:color w:val="000000"/>
              </w:rPr>
            </w:pPr>
          </w:p>
        </w:tc>
        <w:tc>
          <w:tcPr>
            <w:tcW w:w="830" w:type="dxa"/>
            <w:vAlign w:val="center"/>
          </w:tcPr>
          <w:p>
            <w:pPr>
              <w:spacing w:line="300" w:lineRule="exact"/>
              <w:jc w:val="right"/>
              <w:rPr>
                <w:rFonts w:ascii="方正书宋_GBK" w:eastAsia="方正书宋_GBK"/>
                <w:b/>
                <w:color w:val="000000"/>
              </w:rPr>
            </w:pPr>
          </w:p>
        </w:tc>
        <w:tc>
          <w:tcPr>
            <w:tcW w:w="1142" w:type="dxa"/>
            <w:vAlign w:val="center"/>
          </w:tcPr>
          <w:p>
            <w:pPr>
              <w:spacing w:line="300" w:lineRule="exact"/>
              <w:jc w:val="left"/>
              <w:rPr>
                <w:rFonts w:ascii="方正书宋_GBK" w:eastAsia="方正书宋_GBK"/>
                <w:b/>
                <w:color w:val="000000"/>
              </w:rPr>
            </w:pPr>
          </w:p>
        </w:tc>
        <w:tc>
          <w:tcPr>
            <w:tcW w:w="1037" w:type="dxa"/>
            <w:vAlign w:val="center"/>
          </w:tcPr>
          <w:p>
            <w:pPr>
              <w:spacing w:line="300" w:lineRule="exact"/>
              <w:jc w:val="left"/>
              <w:rPr>
                <w:rFonts w:ascii="方正书宋_GBK" w:eastAsia="方正书宋_GBK"/>
                <w:b/>
                <w:color w:val="000000"/>
              </w:rPr>
            </w:pPr>
          </w:p>
        </w:tc>
        <w:tc>
          <w:tcPr>
            <w:tcW w:w="519" w:type="dxa"/>
            <w:vAlign w:val="center"/>
          </w:tcPr>
          <w:p>
            <w:pPr>
              <w:spacing w:line="300" w:lineRule="exact"/>
              <w:jc w:val="left"/>
              <w:rPr>
                <w:rFonts w:ascii="方正书宋_GBK" w:eastAsia="方正书宋_GBK"/>
                <w:b/>
                <w:color w:val="000000"/>
              </w:rPr>
            </w:pPr>
          </w:p>
        </w:tc>
        <w:tc>
          <w:tcPr>
            <w:tcW w:w="624" w:type="dxa"/>
            <w:vAlign w:val="center"/>
          </w:tcPr>
          <w:p>
            <w:pPr>
              <w:spacing w:line="300" w:lineRule="exact"/>
              <w:jc w:val="right"/>
              <w:rPr>
                <w:rFonts w:ascii="方正书宋_GBK" w:eastAsia="方正书宋_GBK"/>
                <w:b/>
                <w:color w:val="000000"/>
              </w:rPr>
            </w:pPr>
          </w:p>
        </w:tc>
        <w:tc>
          <w:tcPr>
            <w:tcW w:w="726" w:type="dxa"/>
            <w:vAlign w:val="center"/>
          </w:tcPr>
          <w:p>
            <w:pPr>
              <w:spacing w:line="300" w:lineRule="exact"/>
              <w:jc w:val="right"/>
              <w:rPr>
                <w:rFonts w:ascii="方正书宋_GBK" w:eastAsia="方正书宋_GBK"/>
                <w:b/>
                <w:color w:val="000000"/>
              </w:rPr>
            </w:pPr>
          </w:p>
        </w:tc>
        <w:tc>
          <w:tcPr>
            <w:tcW w:w="726" w:type="dxa"/>
            <w:vAlign w:val="center"/>
          </w:tcPr>
          <w:p>
            <w:pPr>
              <w:adjustRightInd w:val="0"/>
              <w:snapToGrid w:val="0"/>
              <w:jc w:val="right"/>
              <w:rPr>
                <w:rFonts w:ascii="方正书宋_GBK" w:hAnsi="宋体" w:eastAsia="方正书宋_GBK" w:cs="宋体"/>
                <w:b/>
                <w:bCs/>
                <w:color w:val="000000"/>
                <w:szCs w:val="21"/>
              </w:rPr>
            </w:pPr>
          </w:p>
        </w:tc>
        <w:tc>
          <w:tcPr>
            <w:tcW w:w="726" w:type="dxa"/>
            <w:vAlign w:val="center"/>
          </w:tcPr>
          <w:p>
            <w:pPr>
              <w:adjustRightInd w:val="0"/>
              <w:snapToGrid w:val="0"/>
              <w:jc w:val="center"/>
              <w:rPr>
                <w:rFonts w:ascii="方正书宋_GBK" w:hAnsi="宋体" w:eastAsia="方正书宋_GBK" w:cs="宋体"/>
                <w:b/>
                <w:bCs/>
                <w:color w:val="000000"/>
                <w:szCs w:val="21"/>
              </w:rPr>
            </w:pPr>
          </w:p>
        </w:tc>
        <w:tc>
          <w:tcPr>
            <w:tcW w:w="728" w:type="dxa"/>
            <w:vAlign w:val="center"/>
          </w:tcPr>
          <w:p>
            <w:pPr>
              <w:spacing w:line="300" w:lineRule="exact"/>
              <w:jc w:val="right"/>
              <w:rPr>
                <w:rFonts w:ascii="方正书宋_GBK" w:eastAsia="方正书宋_GBK"/>
                <w:b/>
                <w:color w:val="000000"/>
              </w:rPr>
            </w:pPr>
          </w:p>
        </w:tc>
        <w:tc>
          <w:tcPr>
            <w:tcW w:w="830" w:type="dxa"/>
            <w:vAlign w:val="center"/>
          </w:tcPr>
          <w:p>
            <w:pPr>
              <w:spacing w:line="300" w:lineRule="exact"/>
              <w:jc w:val="right"/>
              <w:rPr>
                <w:rFonts w:ascii="方正书宋_GBK" w:eastAsia="方正书宋_GBK"/>
                <w:b/>
                <w:color w:val="000000"/>
              </w:rPr>
            </w:pPr>
          </w:p>
        </w:tc>
        <w:tc>
          <w:tcPr>
            <w:tcW w:w="622" w:type="dxa"/>
            <w:vAlign w:val="center"/>
          </w:tcPr>
          <w:p>
            <w:pPr>
              <w:spacing w:line="300" w:lineRule="exact"/>
              <w:jc w:val="right"/>
              <w:rPr>
                <w:rFonts w:ascii="方正书宋_GBK" w:eastAsia="方正书宋_GBK"/>
                <w:b/>
                <w:color w:val="000000"/>
              </w:rPr>
            </w:pPr>
          </w:p>
        </w:tc>
        <w:tc>
          <w:tcPr>
            <w:tcW w:w="655" w:type="dxa"/>
            <w:vAlign w:val="center"/>
          </w:tcPr>
          <w:p>
            <w:pPr>
              <w:spacing w:line="300" w:lineRule="exact"/>
              <w:jc w:val="right"/>
              <w:rPr>
                <w:rFonts w:ascii="方正书宋_GBK" w:eastAsia="方正书宋_GBK"/>
                <w:b/>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center"/>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7" w:hRule="atLeast"/>
          <w:jc w:val="center"/>
        </w:trPr>
        <w:tc>
          <w:tcPr>
            <w:tcW w:w="2275" w:type="dxa"/>
            <w:vAlign w:val="center"/>
          </w:tcPr>
          <w:p>
            <w:pPr>
              <w:spacing w:line="300" w:lineRule="exact"/>
              <w:jc w:val="left"/>
              <w:rPr>
                <w:rFonts w:ascii="方正书宋_GBK" w:eastAsia="方正书宋_GBK"/>
                <w:color w:val="000000"/>
              </w:rPr>
            </w:pPr>
          </w:p>
        </w:tc>
        <w:tc>
          <w:tcPr>
            <w:tcW w:w="830" w:type="dxa"/>
            <w:vAlign w:val="center"/>
          </w:tcPr>
          <w:p>
            <w:pPr>
              <w:spacing w:line="300" w:lineRule="exact"/>
              <w:rPr>
                <w:rFonts w:ascii="方正书宋_GBK" w:eastAsia="方正书宋_GBK"/>
                <w:color w:val="000000"/>
              </w:rPr>
            </w:pPr>
          </w:p>
        </w:tc>
        <w:tc>
          <w:tcPr>
            <w:tcW w:w="1142" w:type="dxa"/>
            <w:vAlign w:val="center"/>
          </w:tcPr>
          <w:p>
            <w:pPr>
              <w:spacing w:line="300" w:lineRule="exact"/>
              <w:jc w:val="left"/>
              <w:rPr>
                <w:rFonts w:ascii="方正书宋_GBK" w:eastAsia="方正书宋_GBK"/>
                <w:color w:val="000000"/>
              </w:rPr>
            </w:pPr>
          </w:p>
        </w:tc>
        <w:tc>
          <w:tcPr>
            <w:tcW w:w="1037" w:type="dxa"/>
            <w:vAlign w:val="center"/>
          </w:tcPr>
          <w:p>
            <w:pPr>
              <w:spacing w:line="300" w:lineRule="exact"/>
              <w:jc w:val="left"/>
              <w:rPr>
                <w:rFonts w:ascii="方正书宋_GBK" w:eastAsia="方正书宋_GBK"/>
                <w:color w:val="000000"/>
              </w:rPr>
            </w:pPr>
          </w:p>
        </w:tc>
        <w:tc>
          <w:tcPr>
            <w:tcW w:w="519" w:type="dxa"/>
            <w:vAlign w:val="center"/>
          </w:tcPr>
          <w:p>
            <w:pPr>
              <w:spacing w:line="300" w:lineRule="exact"/>
              <w:jc w:val="left"/>
              <w:rPr>
                <w:rFonts w:ascii="方正书宋_GBK" w:eastAsia="方正书宋_GBK"/>
                <w:color w:val="000000"/>
              </w:rPr>
            </w:pPr>
          </w:p>
        </w:tc>
        <w:tc>
          <w:tcPr>
            <w:tcW w:w="624"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6" w:type="dxa"/>
            <w:vAlign w:val="center"/>
          </w:tcPr>
          <w:p>
            <w:pPr>
              <w:spacing w:line="300" w:lineRule="exact"/>
              <w:jc w:val="right"/>
              <w:rPr>
                <w:rFonts w:ascii="方正书宋_GBK" w:eastAsia="方正书宋_GBK"/>
                <w:color w:val="000000"/>
              </w:rPr>
            </w:pPr>
          </w:p>
        </w:tc>
        <w:tc>
          <w:tcPr>
            <w:tcW w:w="728" w:type="dxa"/>
            <w:vAlign w:val="center"/>
          </w:tcPr>
          <w:p>
            <w:pPr>
              <w:spacing w:line="300" w:lineRule="exact"/>
              <w:jc w:val="right"/>
              <w:rPr>
                <w:rFonts w:ascii="方正书宋_GBK" w:eastAsia="方正书宋_GBK"/>
                <w:color w:val="000000"/>
              </w:rPr>
            </w:pPr>
          </w:p>
        </w:tc>
        <w:tc>
          <w:tcPr>
            <w:tcW w:w="830" w:type="dxa"/>
            <w:vAlign w:val="center"/>
          </w:tcPr>
          <w:p>
            <w:pPr>
              <w:spacing w:line="300" w:lineRule="exact"/>
              <w:jc w:val="right"/>
              <w:rPr>
                <w:rFonts w:ascii="方正书宋_GBK" w:eastAsia="方正书宋_GBK"/>
                <w:color w:val="000000"/>
              </w:rPr>
            </w:pPr>
          </w:p>
        </w:tc>
        <w:tc>
          <w:tcPr>
            <w:tcW w:w="622" w:type="dxa"/>
            <w:vAlign w:val="center"/>
          </w:tcPr>
          <w:p>
            <w:pPr>
              <w:spacing w:line="300" w:lineRule="exact"/>
              <w:jc w:val="right"/>
              <w:rPr>
                <w:rFonts w:ascii="方正书宋_GBK" w:eastAsia="方正书宋_GBK"/>
                <w:color w:val="000000"/>
              </w:rPr>
            </w:pPr>
          </w:p>
        </w:tc>
        <w:tc>
          <w:tcPr>
            <w:tcW w:w="655" w:type="dxa"/>
            <w:vAlign w:val="center"/>
          </w:tcPr>
          <w:p>
            <w:pPr>
              <w:spacing w:line="300" w:lineRule="exact"/>
              <w:jc w:val="right"/>
              <w:rPr>
                <w:rFonts w:ascii="方正书宋_GBK" w:eastAsia="方正书宋_GBK"/>
                <w:color w:val="000000"/>
              </w:rPr>
            </w:pPr>
          </w:p>
        </w:tc>
      </w:tr>
    </w:tbl>
    <w:p>
      <w:pPr>
        <w:jc w:val="left"/>
        <w:rPr>
          <w:rFonts w:ascii="黑体" w:hAnsi="黑体" w:eastAsia="黑体" w:cs="Times New Roman"/>
          <w:color w:val="000000"/>
          <w:sz w:val="32"/>
          <w:szCs w:val="32"/>
        </w:rPr>
      </w:pPr>
      <w:r>
        <w:rPr>
          <w:rFonts w:hint="eastAsia" w:ascii="仿宋" w:hAnsi="仿宋" w:eastAsia="仿宋"/>
          <w:szCs w:val="32"/>
        </w:rPr>
        <w:t>注：我单位无政府采购，空表列示。</w:t>
      </w: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我部门上年末固定资产金额为265.69万元，其中：房屋10000平方米，价值240.83万元；车辆2辆，价值24.86万元。</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p>
    <w:tbl>
      <w:tblPr>
        <w:tblStyle w:val="7"/>
        <w:tblW w:w="9220" w:type="dxa"/>
        <w:tblInd w:w="93" w:type="dxa"/>
        <w:tblLayout w:type="fixed"/>
        <w:tblCellMar>
          <w:top w:w="0" w:type="dxa"/>
          <w:left w:w="108" w:type="dxa"/>
          <w:bottom w:w="0" w:type="dxa"/>
          <w:right w:w="108" w:type="dxa"/>
        </w:tblCellMar>
      </w:tblPr>
      <w:tblGrid>
        <w:gridCol w:w="3573"/>
        <w:gridCol w:w="2157"/>
        <w:gridCol w:w="3490"/>
      </w:tblGrid>
      <w:tr>
        <w:tblPrEx>
          <w:tblCellMar>
            <w:top w:w="0" w:type="dxa"/>
            <w:left w:w="108" w:type="dxa"/>
            <w:bottom w:w="0" w:type="dxa"/>
            <w:right w:w="108" w:type="dxa"/>
          </w:tblCellMar>
        </w:tblPrEx>
        <w:trPr>
          <w:trHeight w:val="687" w:hRule="atLeast"/>
        </w:trPr>
        <w:tc>
          <w:tcPr>
            <w:tcW w:w="9220"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郝庄乡固定资产占用情况表</w:t>
            </w:r>
          </w:p>
        </w:tc>
      </w:tr>
      <w:tr>
        <w:tblPrEx>
          <w:tblCellMar>
            <w:top w:w="0" w:type="dxa"/>
            <w:left w:w="108" w:type="dxa"/>
            <w:bottom w:w="0" w:type="dxa"/>
            <w:right w:w="108" w:type="dxa"/>
          </w:tblCellMar>
        </w:tblPrEx>
        <w:trPr>
          <w:trHeight w:val="497" w:hRule="atLeast"/>
        </w:trPr>
        <w:tc>
          <w:tcPr>
            <w:tcW w:w="5730"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郝庄乡人民政府</w:t>
            </w:r>
          </w:p>
        </w:tc>
        <w:tc>
          <w:tcPr>
            <w:tcW w:w="3490" w:type="dxa"/>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39" w:hRule="atLeast"/>
        </w:trPr>
        <w:tc>
          <w:tcPr>
            <w:tcW w:w="357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215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49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265.69</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10000</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240.83</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8500</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222.23</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24.86</w:t>
            </w:r>
          </w:p>
        </w:tc>
      </w:tr>
      <w:tr>
        <w:tblPrEx>
          <w:tblCellMar>
            <w:top w:w="0" w:type="dxa"/>
            <w:left w:w="108" w:type="dxa"/>
            <w:bottom w:w="0" w:type="dxa"/>
            <w:right w:w="108" w:type="dxa"/>
          </w:tblCellMar>
        </w:tblPrEx>
        <w:trPr>
          <w:trHeight w:val="639"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8" w:hRule="atLeast"/>
        </w:trPr>
        <w:tc>
          <w:tcPr>
            <w:tcW w:w="3573"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15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49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1850" w:h="16783"/>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11</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4"/>
    <w:multiLevelType w:val="singleLevel"/>
    <w:tmpl w:val="00000004"/>
    <w:lvl w:ilvl="0" w:tentative="0">
      <w:start w:val="3"/>
      <w:numFmt w:val="decimal"/>
      <w:suff w:val="nothing"/>
      <w:lvlText w:val="%1、"/>
      <w:lvlJc w:val="left"/>
    </w:lvl>
  </w:abstractNum>
  <w:abstractNum w:abstractNumId="1">
    <w:nsid w:val="0000000B"/>
    <w:multiLevelType w:val="singleLevel"/>
    <w:tmpl w:val="0000000B"/>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11215"/>
    <w:rsid w:val="000A0F64"/>
    <w:rsid w:val="00320B2D"/>
    <w:rsid w:val="005E3A5B"/>
    <w:rsid w:val="00711215"/>
    <w:rsid w:val="231E4613"/>
    <w:rsid w:val="7EDA6C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footnote reference"/>
    <w:uiPriority w:val="0"/>
    <w:rPr>
      <w:vertAlign w:val="superscript"/>
    </w:rPr>
  </w:style>
  <w:style w:type="character" w:customStyle="1" w:styleId="10">
    <w:name w:val="页脚 Char"/>
    <w:link w:val="2"/>
    <w:semiHidden/>
    <w:qFormat/>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paragraph" w:customStyle="1" w:styleId="12">
    <w:name w:val="Char"/>
    <w:basedOn w:val="1"/>
    <w:uiPriority w:val="0"/>
    <w:rPr>
      <w:rFonts w:ascii="Times New Roman" w:hAnsi="Times New Roman" w:cs="Times New Roman"/>
      <w:szCs w:val="24"/>
    </w:rPr>
  </w:style>
  <w:style w:type="character" w:customStyle="1" w:styleId="13">
    <w:name w:val="页码1"/>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11</Pages>
  <Words>763</Words>
  <Characters>4351</Characters>
  <Lines>36</Lines>
  <Paragraphs>10</Paragraphs>
  <TotalTime>2</TotalTime>
  <ScaleCrop>false</ScaleCrop>
  <LinksUpToDate>false</LinksUpToDate>
  <CharactersWithSpaces>5104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2024-06-20T13:59:55Z</dcterms:modified>
  <dc:title>期待、下一个春暖花开</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856F9F8EA06A4606A14264F588632912</vt:lpwstr>
  </property>
</Properties>
</file>