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5" w:name="_GoBack"/>
      <w:bookmarkEnd w:id="5"/>
      <w:r>
        <w:rPr>
          <w:rFonts w:hint="eastAsia" w:ascii="方正小标宋_GBK" w:hAnsi="Times New Roman" w:eastAsia="方正小标宋_GBK" w:cs="Times New Roman"/>
          <w:bCs/>
          <w:sz w:val="44"/>
          <w:szCs w:val="44"/>
        </w:rPr>
        <w:t>河北省无极县七汲镇</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按照《预算法》、《地方预决算公开操作规程》和《河北省县级预算公开办法》规定，现将无极县七汲镇2020年部门预算公开如下：</w:t>
      </w:r>
    </w:p>
    <w:p>
      <w:pPr>
        <w:adjustRightInd w:val="0"/>
        <w:snapToGrid w:val="0"/>
        <w:spacing w:line="560" w:lineRule="exact"/>
        <w:ind w:firstLine="627" w:firstLineChars="196"/>
        <w:outlineLvl w:val="0"/>
        <w:rPr>
          <w:rFonts w:ascii="黑体" w:hAnsi="黑体" w:eastAsia="黑体"/>
          <w:sz w:val="32"/>
          <w:szCs w:val="32"/>
        </w:rPr>
      </w:pPr>
      <w:r>
        <w:rPr>
          <w:rFonts w:hint="eastAsia" w:ascii="黑体" w:hAnsi="黑体" w:eastAsia="黑体"/>
          <w:sz w:val="32"/>
          <w:szCs w:val="32"/>
        </w:rPr>
        <w:t>一、部门职责及机构设置情况</w:t>
      </w:r>
    </w:p>
    <w:p>
      <w:pPr>
        <w:adjustRightInd w:val="0"/>
        <w:snapToGrid w:val="0"/>
        <w:spacing w:line="560" w:lineRule="exact"/>
        <w:ind w:left="630"/>
        <w:jc w:val="left"/>
        <w:rPr>
          <w:rFonts w:ascii="仿宋" w:hAnsi="仿宋" w:eastAsia="仿宋"/>
          <w:b/>
          <w:sz w:val="32"/>
          <w:szCs w:val="32"/>
        </w:rPr>
      </w:pPr>
      <w:r>
        <w:rPr>
          <w:rFonts w:hint="eastAsia" w:ascii="仿宋" w:hAnsi="仿宋" w:eastAsia="仿宋"/>
          <w:b/>
          <w:sz w:val="32"/>
          <w:szCs w:val="32"/>
        </w:rPr>
        <w:t>（一）部门职责</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宣传、贯彻、执行党的路线方针政策和国家的法律、法规,执行本级人民代表大会的决议和上级国家行政机关的决定和命令,其主要职能为:</w:t>
      </w:r>
    </w:p>
    <w:p>
      <w:pPr>
        <w:numPr>
          <w:ilvl w:val="0"/>
          <w:numId w:val="1"/>
        </w:numPr>
        <w:adjustRightInd w:val="0"/>
        <w:snapToGrid w:val="0"/>
        <w:spacing w:line="560" w:lineRule="exact"/>
        <w:jc w:val="left"/>
        <w:rPr>
          <w:rFonts w:ascii="仿宋_GB2312" w:hAnsi="仿宋" w:eastAsia="仿宋_GB2312"/>
          <w:sz w:val="32"/>
          <w:szCs w:val="32"/>
        </w:rPr>
      </w:pPr>
      <w:r>
        <w:rPr>
          <w:rFonts w:hint="eastAsia" w:ascii="仿宋_GB2312" w:hAnsi="仿宋" w:eastAsia="仿宋_GB2312"/>
          <w:sz w:val="32"/>
          <w:szCs w:val="32"/>
        </w:rPr>
        <w:t>促进经济发展</w:t>
      </w:r>
    </w:p>
    <w:p>
      <w:pPr>
        <w:adjustRightInd w:val="0"/>
        <w:snapToGrid w:val="0"/>
        <w:spacing w:line="56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2.加强社会管理</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3.提供公共服务</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4.维护农村稳定</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主要包括:（1）做好社会治安综合</w:t>
      </w:r>
      <w:r>
        <w:rPr>
          <w:rFonts w:hint="eastAsia" w:ascii="仿宋_GB2312" w:hAnsi="仿宋" w:eastAsia="仿宋_GB2312"/>
          <w:sz w:val="32"/>
          <w:szCs w:val="32"/>
          <w:lang w:eastAsia="zh-CN"/>
        </w:rPr>
        <w:t>治理</w:t>
      </w:r>
      <w:r>
        <w:rPr>
          <w:rFonts w:hint="eastAsia" w:ascii="仿宋_GB2312" w:hAnsi="仿宋"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adjustRightInd w:val="0"/>
        <w:snapToGrid w:val="0"/>
        <w:spacing w:line="560" w:lineRule="exact"/>
        <w:ind w:firstLine="630" w:firstLineChars="196"/>
        <w:jc w:val="left"/>
        <w:rPr>
          <w:rFonts w:ascii="仿宋_GB2312" w:hAnsi="仿宋" w:eastAsia="仿宋_GB2312"/>
          <w:b/>
          <w:sz w:val="32"/>
          <w:szCs w:val="32"/>
        </w:rPr>
      </w:pPr>
      <w:r>
        <w:rPr>
          <w:rFonts w:hint="eastAsia" w:ascii="仿宋_GB2312" w:hAnsi="仿宋" w:eastAsia="仿宋_GB2312"/>
          <w:b/>
          <w:sz w:val="32"/>
          <w:szCs w:val="32"/>
        </w:rPr>
        <w:t>（二）机构设置</w:t>
      </w:r>
    </w:p>
    <w:p>
      <w:pPr>
        <w:adjustRightInd w:val="0"/>
        <w:snapToGrid w:val="0"/>
        <w:spacing w:line="560" w:lineRule="exact"/>
        <w:ind w:firstLine="627" w:firstLineChars="196"/>
        <w:jc w:val="left"/>
        <w:rPr>
          <w:rFonts w:ascii="仿宋_GB2312" w:hAnsi="仿宋" w:eastAsia="仿宋_GB2312"/>
          <w:b/>
          <w:sz w:val="32"/>
          <w:szCs w:val="32"/>
        </w:rPr>
      </w:pPr>
      <w:r>
        <w:rPr>
          <w:rFonts w:hint="eastAsia" w:ascii="仿宋_GB2312" w:hAnsi="仿宋" w:eastAsia="仿宋_GB2312"/>
          <w:sz w:val="32"/>
          <w:szCs w:val="32"/>
        </w:rPr>
        <w:t>按照“三定”方案要求，本部门分别设置：无极县</w:t>
      </w:r>
      <w:r>
        <w:rPr>
          <w:rFonts w:hint="eastAsia" w:ascii="仿宋_GB2312" w:hAnsi="宋体" w:eastAsia="仿宋_GB2312"/>
          <w:sz w:val="32"/>
          <w:szCs w:val="32"/>
        </w:rPr>
        <w:t>七汲镇</w:t>
      </w:r>
      <w:r>
        <w:rPr>
          <w:rFonts w:hint="eastAsia" w:ascii="仿宋_GB2312" w:hAnsi="仿宋" w:eastAsia="仿宋_GB2312"/>
          <w:sz w:val="32"/>
          <w:szCs w:val="32"/>
        </w:rPr>
        <w:t>政府机关（行政）、无极县</w:t>
      </w:r>
      <w:r>
        <w:rPr>
          <w:rFonts w:hint="eastAsia" w:ascii="仿宋_GB2312" w:hAnsi="宋体" w:eastAsia="仿宋_GB2312"/>
          <w:sz w:val="32"/>
          <w:szCs w:val="32"/>
        </w:rPr>
        <w:t>七汲镇</w:t>
      </w:r>
      <w:r>
        <w:rPr>
          <w:rFonts w:hint="eastAsia" w:ascii="仿宋_GB2312" w:hAnsi="仿宋" w:eastAsia="仿宋_GB2312"/>
          <w:sz w:val="32"/>
          <w:szCs w:val="32"/>
        </w:rPr>
        <w:t>共产党机关（行政）、无极县</w:t>
      </w:r>
      <w:r>
        <w:rPr>
          <w:rFonts w:hint="eastAsia" w:ascii="仿宋_GB2312" w:hAnsi="宋体" w:eastAsia="仿宋_GB2312"/>
          <w:sz w:val="32"/>
          <w:szCs w:val="32"/>
        </w:rPr>
        <w:t>七汲镇</w:t>
      </w:r>
      <w:r>
        <w:rPr>
          <w:rFonts w:hint="eastAsia" w:ascii="仿宋_GB2312" w:hAnsi="仿宋" w:eastAsia="仿宋_GB2312"/>
          <w:sz w:val="32"/>
          <w:szCs w:val="32"/>
        </w:rPr>
        <w:t>财政部门（事业）、无极县</w:t>
      </w:r>
      <w:r>
        <w:rPr>
          <w:rFonts w:hint="eastAsia" w:ascii="仿宋_GB2312" w:hAnsi="宋体" w:eastAsia="仿宋_GB2312"/>
          <w:sz w:val="32"/>
          <w:szCs w:val="32"/>
        </w:rPr>
        <w:t>七汲镇</w:t>
      </w:r>
      <w:r>
        <w:rPr>
          <w:rFonts w:hint="eastAsia" w:ascii="仿宋_GB2312" w:hAnsi="仿宋" w:eastAsia="仿宋_GB2312"/>
          <w:sz w:val="32"/>
          <w:szCs w:val="32"/>
        </w:rPr>
        <w:t>计生部门（事业），以上均为全额拨款单位。</w:t>
      </w:r>
    </w:p>
    <w:p>
      <w:pPr>
        <w:adjustRightInd w:val="0"/>
        <w:snapToGrid w:val="0"/>
        <w:spacing w:line="560" w:lineRule="exact"/>
        <w:ind w:firstLine="480" w:firstLineChars="150"/>
        <w:jc w:val="left"/>
        <w:rPr>
          <w:rFonts w:ascii="仿宋_GB2312" w:hAnsi="宋体" w:eastAsia="仿宋_GB2312"/>
          <w:sz w:val="32"/>
          <w:szCs w:val="32"/>
        </w:rPr>
      </w:pPr>
      <w:r>
        <w:rPr>
          <w:rFonts w:hint="eastAsia" w:ascii="仿宋_GB2312" w:hAnsi="宋体" w:eastAsia="仿宋_GB2312"/>
          <w:sz w:val="32"/>
          <w:szCs w:val="32"/>
        </w:rPr>
        <w:t>七汲镇机构设置见下表：</w:t>
      </w:r>
    </w:p>
    <w:tbl>
      <w:tblPr>
        <w:tblStyle w:val="7"/>
        <w:tblW w:w="8760" w:type="dxa"/>
        <w:tblInd w:w="93" w:type="dxa"/>
        <w:tblLayout w:type="fixed"/>
        <w:tblCellMar>
          <w:top w:w="0" w:type="dxa"/>
          <w:left w:w="108" w:type="dxa"/>
          <w:bottom w:w="0" w:type="dxa"/>
          <w:right w:w="108" w:type="dxa"/>
        </w:tblCellMar>
      </w:tblPr>
      <w:tblGrid>
        <w:gridCol w:w="3481"/>
        <w:gridCol w:w="1099"/>
        <w:gridCol w:w="1320"/>
        <w:gridCol w:w="2860"/>
      </w:tblGrid>
      <w:tr>
        <w:tblPrEx>
          <w:tblCellMar>
            <w:top w:w="0" w:type="dxa"/>
            <w:left w:w="108" w:type="dxa"/>
            <w:bottom w:w="0" w:type="dxa"/>
            <w:right w:w="108" w:type="dxa"/>
          </w:tblCellMar>
        </w:tblPrEx>
        <w:trPr>
          <w:trHeight w:val="495" w:hRule="atLeast"/>
        </w:trPr>
        <w:tc>
          <w:tcPr>
            <w:tcW w:w="4580" w:type="dxa"/>
            <w:gridSpan w:val="2"/>
            <w:tcBorders>
              <w:top w:val="nil"/>
              <w:left w:val="nil"/>
              <w:bottom w:val="nil"/>
              <w:right w:val="nil"/>
            </w:tcBorders>
            <w:vAlign w:val="center"/>
          </w:tcPr>
          <w:p>
            <w:pPr>
              <w:widowControl/>
              <w:spacing w:line="560" w:lineRule="exact"/>
              <w:jc w:val="left"/>
              <w:rPr>
                <w:rFonts w:ascii="宋体" w:hAnsi="宋体" w:cs="宋体"/>
                <w:kern w:val="0"/>
                <w:sz w:val="24"/>
              </w:rPr>
            </w:pPr>
            <w:r>
              <w:rPr>
                <w:rFonts w:hint="eastAsia" w:ascii="宋体" w:hAnsi="宋体" w:cs="宋体"/>
                <w:kern w:val="0"/>
                <w:sz w:val="24"/>
              </w:rPr>
              <w:t xml:space="preserve">  </w:t>
            </w:r>
          </w:p>
        </w:tc>
        <w:tc>
          <w:tcPr>
            <w:tcW w:w="1320" w:type="dxa"/>
            <w:tcBorders>
              <w:top w:val="nil"/>
              <w:left w:val="nil"/>
              <w:bottom w:val="nil"/>
              <w:right w:val="nil"/>
            </w:tcBorders>
            <w:vAlign w:val="center"/>
          </w:tcPr>
          <w:p>
            <w:pPr>
              <w:widowControl/>
              <w:spacing w:line="560" w:lineRule="exact"/>
              <w:jc w:val="left"/>
              <w:rPr>
                <w:rFonts w:ascii="宋体" w:hAnsi="宋体" w:cs="宋体"/>
                <w:kern w:val="0"/>
                <w:sz w:val="24"/>
              </w:rPr>
            </w:pPr>
          </w:p>
        </w:tc>
        <w:tc>
          <w:tcPr>
            <w:tcW w:w="2860" w:type="dxa"/>
            <w:tcBorders>
              <w:top w:val="nil"/>
              <w:left w:val="nil"/>
              <w:bottom w:val="nil"/>
              <w:right w:val="nil"/>
            </w:tcBorders>
            <w:vAlign w:val="center"/>
          </w:tcPr>
          <w:p>
            <w:pPr>
              <w:widowControl/>
              <w:spacing w:line="560" w:lineRule="exact"/>
              <w:jc w:val="left"/>
              <w:rPr>
                <w:rFonts w:ascii="宋体" w:hAnsi="宋体" w:cs="宋体"/>
                <w:kern w:val="0"/>
                <w:sz w:val="24"/>
              </w:rPr>
            </w:pPr>
          </w:p>
        </w:tc>
      </w:tr>
      <w:tr>
        <w:tblPrEx>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vAlign w:val="center"/>
          </w:tcPr>
          <w:p>
            <w:pPr>
              <w:widowControl/>
              <w:spacing w:line="560" w:lineRule="exact"/>
              <w:jc w:val="center"/>
              <w:rPr>
                <w:rFonts w:ascii="宋体" w:hAnsi="宋体" w:cs="宋体"/>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099"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32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6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无极县七汲镇政府机关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无极县七汲镇共产党机关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无极县七汲镇财政部门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无极县七汲镇计生部门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750" w:hRule="atLeast"/>
        </w:trPr>
        <w:tc>
          <w:tcPr>
            <w:tcW w:w="8760" w:type="dxa"/>
            <w:gridSpan w:val="4"/>
            <w:tcBorders>
              <w:top w:val="nil"/>
              <w:left w:val="nil"/>
              <w:bottom w:val="nil"/>
              <w:right w:val="nil"/>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备注：乡镇没有下属单位，按职能划分为政府、党委、财政、计生等部门，预决算统一在政府编制。</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按照预算管理有关规定，目前我县部门预算的编制实行综合预算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无极县七汲镇</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反映本部门当年全部收入。2020年预算收入651.2万元，其中：一般公共预算收入651.2万元，基金预算收入0万元，财政专户核拨收入0万元，其他来源收入0万元。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河北省无极县七汲镇年度部门预算中支出预算的总体情况。2020年部门支出预算为651.2万元，其中基本支出651.2万元，包括人员经费491.2万元和日常公用经费64万元；主要为工资福利支出460.2万元，对个人和家庭的补助支出31万元，商品和服务支出64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651.2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较2019年减少197.08万元，其中：基本支出减少43.08万元，主要是人员减少，相应减少人员经费和日常公用经费；项目支出减少154万元，主要是2020年年初项目减少。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2020年，我部门机关运行经费共计安排64万元，主要用于保证机关正常运转的办公及水费、电费、邮电费、差旅费、专用材料、劳务费、工会经费、公务车运行维护费等支出。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2020年我镇财政拨款“三公”经费预算总额为3.2万元。因公出国（境）费为0，公务用车购置及运维费3万元，其中公务用车运行维护费3万元；公务用车购置费0万元。公务接待费为0.2万元，与去年减少0.8万元，</w:t>
      </w:r>
      <w:r>
        <w:rPr>
          <w:rFonts w:hint="eastAsia" w:ascii="仿宋" w:hAnsi="仿宋" w:eastAsia="仿宋" w:cs="仿宋_GB2312"/>
          <w:sz w:val="32"/>
          <w:szCs w:val="32"/>
        </w:rPr>
        <w:t>主要是因为我部门严格执行有关廉政法规、厉行节约</w:t>
      </w:r>
      <w:r>
        <w:rPr>
          <w:rFonts w:ascii="仿宋" w:hAnsi="仿宋" w:eastAsia="仿宋" w:cs="仿宋_GB2312"/>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60" w:lineRule="exact"/>
        <w:ind w:firstLine="560"/>
        <w:rPr>
          <w:rFonts w:ascii="仿宋_GB2312" w:hAnsi="仿宋" w:eastAsia="仿宋_GB2312"/>
          <w:sz w:val="32"/>
          <w:szCs w:val="32"/>
        </w:rPr>
      </w:pPr>
      <w:r>
        <w:rPr>
          <w:rFonts w:hint="eastAsia" w:ascii="仿宋_GB2312" w:hAnsi="仿宋" w:eastAsia="仿宋_GB2312"/>
          <w:sz w:val="32"/>
          <w:szCs w:val="32"/>
        </w:rPr>
        <w:t xml:space="preserve">1．进一步转变政府职能    </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完善乡镇政府管理体制。 进一步完善政府管理体制，合理划分和依法规范行政机关的职能、权限。加强乡镇政府在社会管理和公共服务方面的属地化管理职责，积极推进乡镇改革。</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2、努力提高行政效率 </w:t>
      </w:r>
    </w:p>
    <w:p>
      <w:pPr>
        <w:spacing w:line="560" w:lineRule="exact"/>
        <w:ind w:firstLine="560"/>
        <w:rPr>
          <w:rFonts w:ascii="仿宋_GB2312" w:hAnsi="仿宋" w:eastAsia="仿宋_GB2312"/>
          <w:sz w:val="32"/>
          <w:szCs w:val="32"/>
        </w:rPr>
      </w:pPr>
      <w:r>
        <w:rPr>
          <w:rFonts w:hint="eastAsia" w:ascii="仿宋_GB2312" w:hAnsi="仿宋" w:eastAsia="仿宋_GB2312"/>
          <w:sz w:val="32"/>
          <w:szCs w:val="32"/>
        </w:rP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spacing w:line="560" w:lineRule="exact"/>
        <w:ind w:firstLine="560"/>
        <w:rPr>
          <w:rFonts w:ascii="仿宋_GB2312" w:hAnsi="仿宋" w:eastAsia="仿宋_GB2312"/>
          <w:sz w:val="32"/>
          <w:szCs w:val="32"/>
        </w:rPr>
      </w:pPr>
      <w:r>
        <w:rPr>
          <w:rFonts w:hint="eastAsia" w:ascii="仿宋_GB2312" w:hAnsi="仿宋" w:eastAsia="仿宋_GB2312"/>
          <w:sz w:val="32"/>
          <w:szCs w:val="32"/>
        </w:rPr>
        <w:t xml:space="preserve">3、全面推进依法行政 </w:t>
      </w:r>
    </w:p>
    <w:p>
      <w:pPr>
        <w:spacing w:line="560" w:lineRule="exact"/>
        <w:ind w:firstLine="561"/>
        <w:rPr>
          <w:rFonts w:ascii="仿宋_GB2312" w:hAnsi="仿宋" w:eastAsia="仿宋_GB2312"/>
          <w:sz w:val="32"/>
          <w:szCs w:val="32"/>
        </w:rPr>
      </w:pPr>
      <w:r>
        <w:rPr>
          <w:rFonts w:hint="eastAsia" w:ascii="仿宋_GB2312" w:hAnsi="仿宋" w:eastAsia="仿宋_GB2312"/>
          <w:sz w:val="32"/>
          <w:szCs w:val="32"/>
        </w:rP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spacing w:line="560" w:lineRule="exact"/>
        <w:ind w:firstLine="660"/>
        <w:rPr>
          <w:rFonts w:ascii="仿宋" w:hAnsi="仿宋" w:eastAsia="仿宋"/>
          <w:sz w:val="32"/>
          <w:szCs w:val="32"/>
        </w:rPr>
      </w:pPr>
      <w:r>
        <w:rPr>
          <w:rFonts w:hint="eastAsia" w:ascii="仿宋_GB2312" w:hAnsi="仿宋" w:eastAsia="仿宋_GB2312"/>
          <w:sz w:val="32"/>
          <w:szCs w:val="32"/>
        </w:rPr>
        <w:t>深入推进政府信息公开。 按照“以公开为原则、不公开为例外 ” 的总体要求，深化政府信息公开制度建设，拓宽公开范围和渠道，建立和落实政府信息公开争议解决机制和监督机制，为社会提供公开、透明、高效的公共服务</w:t>
      </w:r>
      <w:r>
        <w:rPr>
          <w:rFonts w:ascii="仿宋" w:hAnsi="仿宋" w:eastAsia="仿宋"/>
          <w:sz w:val="32"/>
          <w:szCs w:val="32"/>
        </w:rPr>
        <w:t>。</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1、经济管理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绩效目标：搞好产业规划，组织做好招商引资工作，做好引进项目的跟踪服务后续工作，引导农村经济发展，配合民政、商务和供销社、农口等部门做好技术推广和服务工作。</w:t>
      </w:r>
    </w:p>
    <w:p>
      <w:pPr>
        <w:autoSpaceDE w:val="0"/>
        <w:autoSpaceDN w:val="0"/>
        <w:adjustRightInd w:val="0"/>
        <w:ind w:left="198" w:firstLine="640" w:firstLineChars="200"/>
        <w:jc w:val="left"/>
        <w:rPr>
          <w:rFonts w:ascii="方正书宋_GBK" w:eastAsia="方正书宋_GBK"/>
        </w:rPr>
      </w:pPr>
      <w:r>
        <w:rPr>
          <w:rFonts w:hint="eastAsia" w:ascii="Times New Roman" w:hAnsi="Times New Roman" w:eastAsia="仿宋" w:cs="Times New Roman"/>
          <w:sz w:val="32"/>
          <w:szCs w:val="32"/>
        </w:rPr>
        <w:t>绩效指标：同比增长率。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2、社会管理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绩效目标：基础工作做实，完成相关部门各项工作，促进经济社会又好又快发展，维护社会和谐稳定。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绩效指标：各项事务完成率，村民满意度。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3、公共服务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绩效目标：满足农民对公共服务的实际需求。</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绩效指标：村民满意度。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4、维护稳定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绩效目标：提高治安防范整体水平；预防和减少重大矛盾纠纷和群体性事件的发生，提高农民法律意识和法律素养。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绩效指标：安全隐患排查率、普法率等。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5、扶贫开发项目管理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绩效目标：按照精准扶贫、精准脱贫要求，大力实施扶贫工程和产业化扶贫项目，提高资金使用效益，保证扶贫帮困效果，确保贫困群众稳定增收，确保农村贫困人口按计划稳定脱贫。</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 工作完成率。</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autoSpaceDE w:val="0"/>
        <w:autoSpaceDN w:val="0"/>
        <w:adjustRightInd w:val="0"/>
        <w:jc w:val="left"/>
        <w:rPr>
          <w:rFonts w:ascii="方正仿宋_GBK" w:eastAsia="方正仿宋_GBK"/>
          <w:b/>
          <w:sz w:val="28"/>
        </w:rPr>
      </w:pPr>
      <w:r>
        <w:rPr>
          <w:rFonts w:hint="eastAsia" w:ascii="方正仿宋_GBK" w:eastAsia="方正仿宋_GBK"/>
          <w:b/>
          <w:sz w:val="28"/>
        </w:rPr>
        <w:t>一、经济管理</w:t>
      </w:r>
    </w:p>
    <w:tbl>
      <w:tblPr>
        <w:tblStyle w:val="7"/>
        <w:tblpPr w:leftFromText="180" w:rightFromText="180" w:vertAnchor="text" w:horzAnchor="page" w:tblpXSpec="center" w:tblpY="511"/>
        <w:tblOverlap w:val="never"/>
        <w:tblW w:w="94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0"/>
        <w:gridCol w:w="6728"/>
        <w:gridCol w:w="15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868"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567"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95"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1.搞好产业规划，组织做好招商引资工作，做好引进项目的跟踪服务后续工作。2.引导农村经济发展，配合民政、商务和供销社、农口等部门做好技术推广和服务工作。</w:t>
            </w:r>
          </w:p>
        </w:tc>
      </w:tr>
    </w:tbl>
    <w:tbl>
      <w:tblPr>
        <w:tblStyle w:val="7"/>
        <w:tblpPr w:leftFromText="180" w:rightFromText="180" w:vertAnchor="text" w:horzAnchor="page" w:tblpXSpec="center" w:tblpY="983"/>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计划完成数量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年制定目标第三方绩效评估工作的完成情况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资金绩效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通过第三方绩效评估，发现被评估的财政专项资金存在的问题，提高资金使用绩效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资金使用绩效提高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autoSpaceDE w:val="0"/>
        <w:autoSpaceDN w:val="0"/>
        <w:adjustRightInd w:val="0"/>
        <w:jc w:val="left"/>
        <w:rPr>
          <w:rFonts w:ascii="方正仿宋_GBK" w:eastAsia="方正仿宋_GBK"/>
          <w:b/>
          <w:sz w:val="28"/>
        </w:rPr>
      </w:pPr>
    </w:p>
    <w:p>
      <w:pPr>
        <w:numPr>
          <w:ilvl w:val="0"/>
          <w:numId w:val="2"/>
        </w:numPr>
        <w:autoSpaceDE w:val="0"/>
        <w:autoSpaceDN w:val="0"/>
        <w:adjustRightInd w:val="0"/>
        <w:jc w:val="left"/>
        <w:rPr>
          <w:rFonts w:ascii="方正仿宋_GBK" w:eastAsia="方正仿宋_GBK"/>
          <w:b/>
          <w:sz w:val="28"/>
        </w:rPr>
      </w:pPr>
      <w:r>
        <w:rPr>
          <w:rFonts w:hint="eastAsia" w:ascii="方正仿宋_GBK" w:eastAsia="方正仿宋_GBK"/>
          <w:b/>
          <w:sz w:val="28"/>
        </w:rPr>
        <w:t>社会管理</w:t>
      </w:r>
    </w:p>
    <w:p>
      <w:pPr>
        <w:numPr>
          <w:ilvl w:val="0"/>
          <w:numId w:val="2"/>
        </w:numPr>
        <w:autoSpaceDE w:val="0"/>
        <w:autoSpaceDN w:val="0"/>
        <w:adjustRightInd w:val="0"/>
        <w:jc w:val="left"/>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hint="eastAsia" w:ascii="方正书宋_GBK" w:eastAsia="方正书宋_GBK"/>
              </w:rPr>
              <w:t>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w:t>
            </w:r>
          </w:p>
        </w:tc>
      </w:tr>
    </w:tbl>
    <w:tbl>
      <w:tblPr>
        <w:tblStyle w:val="7"/>
        <w:tblpPr w:leftFromText="180" w:rightFromText="180" w:vertAnchor="text" w:horzAnchor="page" w:tblpXSpec="center" w:tblpY="17"/>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符合安全规定要求</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91"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项目完工时间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检查数量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安全检查数量比率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安全认知度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群众接受安全普法教育程度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安全认知度提高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企业人员满意度；群众满意度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抽查查的满意率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ascii="方正仿宋_GBK" w:eastAsia="方正仿宋_GBK"/>
          <w:b/>
          <w:sz w:val="28"/>
        </w:rPr>
      </w:pPr>
    </w:p>
    <w:p>
      <w:pPr>
        <w:jc w:val="left"/>
        <w:outlineLvl w:val="1"/>
        <w:rPr>
          <w:rFonts w:ascii="方正仿宋_GBK" w:eastAsia="方正仿宋_GBK"/>
          <w:b/>
          <w:sz w:val="28"/>
        </w:rPr>
      </w:pPr>
      <w:r>
        <w:rPr>
          <w:rFonts w:hint="eastAsia" w:ascii="方正仿宋_GBK" w:eastAsia="方正仿宋_GBK"/>
          <w:b/>
          <w:sz w:val="28"/>
        </w:rPr>
        <w:t>三、公共服务</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满足农民对公共服务的实际需求。</w:t>
            </w:r>
          </w:p>
        </w:tc>
      </w:tr>
    </w:tbl>
    <w:tbl>
      <w:tblPr>
        <w:tblStyle w:val="7"/>
        <w:tblpPr w:leftFromText="180" w:rightFromText="180" w:vertAnchor="text" w:horzAnchor="page" w:tblpXSpec="center" w:tblpY="6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计划完成数量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年制定目标第三方绩效评估工作的完成情况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满足人们对公共服务需求</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计划实施落实率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ascii="方正仿宋_GBK" w:eastAsia="方正仿宋_GBK"/>
          <w:b/>
          <w:sz w:val="28"/>
        </w:rPr>
      </w:pPr>
      <w:r>
        <w:rPr>
          <w:rFonts w:hint="eastAsia" w:ascii="方正仿宋_GBK" w:eastAsia="方正仿宋_GBK"/>
          <w:b/>
          <w:sz w:val="28"/>
        </w:rPr>
        <w:t xml:space="preserve">  </w:t>
      </w:r>
    </w:p>
    <w:p>
      <w:pPr>
        <w:tabs>
          <w:tab w:val="left" w:pos="1047"/>
        </w:tabs>
        <w:jc w:val="left"/>
        <w:rPr>
          <w:rFonts w:ascii="方正仿宋_GBK" w:eastAsia="方正仿宋_GBK"/>
          <w:b/>
          <w:sz w:val="28"/>
        </w:rPr>
      </w:pPr>
      <w:r>
        <w:rPr>
          <w:rFonts w:hint="eastAsia"/>
        </w:rPr>
        <w:t xml:space="preserve"> </w:t>
      </w:r>
      <w:r>
        <w:rPr>
          <w:rFonts w:hint="eastAsia" w:ascii="方正仿宋_GBK" w:eastAsia="方正仿宋_GBK"/>
          <w:b/>
          <w:sz w:val="28"/>
        </w:rPr>
        <w:t xml:space="preserve"> </w:t>
      </w:r>
    </w:p>
    <w:p>
      <w:pPr>
        <w:tabs>
          <w:tab w:val="left" w:pos="1047"/>
        </w:tabs>
        <w:jc w:val="left"/>
      </w:pPr>
      <w:r>
        <w:rPr>
          <w:rFonts w:hint="eastAsia" w:ascii="方正仿宋_GBK" w:eastAsia="方正仿宋_GBK"/>
          <w:b/>
          <w:sz w:val="28"/>
        </w:rPr>
        <w:t xml:space="preserve"> 四、维护稳定</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提高治安防范整体水平；预防和减少重大矛盾纠纷和群体性事件的发生，提高农民法律意识和法律素养。</w:t>
            </w:r>
          </w:p>
        </w:tc>
      </w:tr>
    </w:tbl>
    <w:tbl>
      <w:tblPr>
        <w:tblStyle w:val="7"/>
        <w:tblpPr w:leftFromText="180" w:rightFromText="180" w:vertAnchor="text" w:horzAnchor="page" w:tblpXSpec="center" w:tblpY="1316"/>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计划宣传数量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无重大事故发生</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2020年全年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法律意识、素养提升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计划实施落实率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tabs>
          <w:tab w:val="left" w:pos="1047"/>
        </w:tabs>
        <w:jc w:val="left"/>
      </w:pPr>
      <w:r>
        <w:rPr>
          <w:rFonts w:hint="eastAsia"/>
        </w:rPr>
        <w:t xml:space="preserve"> </w:t>
      </w:r>
    </w:p>
    <w:p/>
    <w:p/>
    <w:p/>
    <w:p>
      <w:pPr>
        <w:numPr>
          <w:ilvl w:val="0"/>
          <w:numId w:val="3"/>
        </w:numPr>
        <w:tabs>
          <w:tab w:val="left" w:pos="2053"/>
        </w:tabs>
        <w:spacing w:line="300" w:lineRule="exact"/>
        <w:jc w:val="left"/>
        <w:rPr>
          <w:rFonts w:ascii="方正仿宋_GBK" w:eastAsia="方正仿宋_GBK"/>
          <w:b/>
          <w:sz w:val="28"/>
        </w:rPr>
      </w:pPr>
      <w:r>
        <w:rPr>
          <w:rFonts w:hint="eastAsia" w:ascii="方正仿宋_GBK" w:eastAsia="方正仿宋_GBK"/>
          <w:b/>
          <w:sz w:val="28"/>
        </w:rPr>
        <w:t>扶贫开发项目管理</w:t>
      </w:r>
    </w:p>
    <w:p>
      <w:pPr>
        <w:tabs>
          <w:tab w:val="left" w:pos="2053"/>
        </w:tabs>
        <w:spacing w:line="300" w:lineRule="exact"/>
        <w:jc w:val="left"/>
        <w:rPr>
          <w:rFonts w:ascii="方正仿宋_GBK" w:eastAsia="方正仿宋_GBK"/>
          <w:b/>
          <w:sz w:val="28"/>
        </w:rPr>
      </w:pPr>
    </w:p>
    <w:tbl>
      <w:tblPr>
        <w:tblStyle w:val="7"/>
        <w:tblpPr w:leftFromText="180" w:rightFromText="180" w:vertAnchor="text" w:horzAnchor="page" w:tblpXSpec="center" w:tblpY="286"/>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按照精准扶贫、精准脱贫要求，大力实施扶贫工程和产业化扶贫项目，提高资金使用效益，保证扶贫帮困效果，确保贫困群众稳定增收，确保农村贫困人口按计划稳定脱贫、。</w:t>
            </w:r>
          </w:p>
        </w:tc>
      </w:tr>
    </w:tbl>
    <w:tbl>
      <w:tblPr>
        <w:tblStyle w:val="7"/>
        <w:tblpPr w:leftFromText="180" w:rightFromText="180" w:vertAnchor="text" w:horzAnchor="page" w:tblpXSpec="right" w:tblpY="91"/>
        <w:tblOverlap w:val="never"/>
        <w:tblW w:w="9412" w:type="dxa"/>
        <w:jc w:val="right"/>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right"/>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计划脱贫数量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帮扶责任人落实率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确保真实脱贫率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年9月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全员脱贫</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计划实施落实率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w:t>
            </w:r>
          </w:p>
        </w:tc>
      </w:tr>
      <w:bookmarkEnd w:id="0"/>
    </w:tbl>
    <w:p>
      <w:pPr>
        <w:tabs>
          <w:tab w:val="left" w:pos="867"/>
        </w:tabs>
        <w:jc w:val="left"/>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4"/>
    </w:p>
    <w:p>
      <w:pPr>
        <w:jc w:val="center"/>
        <w:outlineLvl w:val="0"/>
        <w:rPr>
          <w:rFonts w:ascii="方正小标宋_GBK" w:eastAsia="方正小标宋_GBK"/>
          <w:sz w:val="32"/>
        </w:rPr>
      </w:pPr>
      <w:r>
        <w:rPr>
          <w:rFonts w:hint="eastAsia" w:ascii="方正小标宋_GBK" w:eastAsia="方正小标宋_GBK"/>
          <w:sz w:val="32"/>
        </w:rPr>
        <w:t>部门政府采购预算</w:t>
      </w:r>
    </w:p>
    <w:tbl>
      <w:tblPr>
        <w:tblStyle w:val="7"/>
        <w:tblW w:w="14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1134"/>
        <w:gridCol w:w="963"/>
        <w:gridCol w:w="1019"/>
        <w:gridCol w:w="793"/>
        <w:gridCol w:w="793"/>
        <w:gridCol w:w="850"/>
        <w:gridCol w:w="963"/>
        <w:gridCol w:w="963"/>
        <w:gridCol w:w="963"/>
        <w:gridCol w:w="963"/>
        <w:gridCol w:w="963"/>
        <w:gridCol w:w="975"/>
        <w:gridCol w:w="9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1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9</w:t>
            </w:r>
            <w:r>
              <w:rPr>
                <w:rFonts w:hint="eastAsia" w:ascii="方正小标宋_GBK" w:eastAsia="方正小标宋_GBK"/>
                <w:sz w:val="24"/>
              </w:rPr>
              <w:t>31七汲镇</w:t>
            </w:r>
          </w:p>
        </w:tc>
        <w:tc>
          <w:tcPr>
            <w:tcW w:w="6753"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685"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63"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019"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93"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93"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753"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63" w:type="dxa"/>
            <w:vMerge w:val="continue"/>
            <w:vAlign w:val="center"/>
          </w:tcPr>
          <w:p>
            <w:pPr>
              <w:spacing w:line="300" w:lineRule="exact"/>
              <w:jc w:val="left"/>
              <w:outlineLvl w:val="0"/>
            </w:pPr>
          </w:p>
        </w:tc>
        <w:tc>
          <w:tcPr>
            <w:tcW w:w="1019" w:type="dxa"/>
            <w:vMerge w:val="continue"/>
            <w:vAlign w:val="center"/>
          </w:tcPr>
          <w:p>
            <w:pPr>
              <w:spacing w:line="300" w:lineRule="exact"/>
              <w:jc w:val="left"/>
              <w:outlineLvl w:val="0"/>
            </w:pPr>
          </w:p>
        </w:tc>
        <w:tc>
          <w:tcPr>
            <w:tcW w:w="793" w:type="dxa"/>
            <w:vMerge w:val="continue"/>
            <w:vAlign w:val="center"/>
          </w:tcPr>
          <w:p>
            <w:pPr>
              <w:spacing w:line="300" w:lineRule="exact"/>
              <w:jc w:val="left"/>
              <w:outlineLvl w:val="0"/>
            </w:pPr>
          </w:p>
        </w:tc>
        <w:tc>
          <w:tcPr>
            <w:tcW w:w="793" w:type="dxa"/>
            <w:vMerge w:val="continue"/>
            <w:vAlign w:val="center"/>
          </w:tcPr>
          <w:p>
            <w:pPr>
              <w:spacing w:line="300" w:lineRule="exact"/>
              <w:jc w:val="left"/>
              <w:outlineLvl w:val="0"/>
            </w:pPr>
          </w:p>
        </w:tc>
        <w:tc>
          <w:tcPr>
            <w:tcW w:w="850" w:type="dxa"/>
            <w:vMerge w:val="continue"/>
            <w:vAlign w:val="center"/>
          </w:tcPr>
          <w:p>
            <w:pPr>
              <w:spacing w:line="300" w:lineRule="exact"/>
              <w:jc w:val="left"/>
              <w:outlineLvl w:val="0"/>
            </w:pPr>
          </w:p>
        </w:tc>
        <w:tc>
          <w:tcPr>
            <w:tcW w:w="963"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27"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63"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51"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963" w:type="dxa"/>
            <w:vMerge w:val="continue"/>
            <w:vAlign w:val="center"/>
          </w:tcPr>
          <w:p>
            <w:pPr>
              <w:spacing w:line="300" w:lineRule="exact"/>
              <w:jc w:val="left"/>
              <w:outlineLvl w:val="0"/>
            </w:pPr>
          </w:p>
        </w:tc>
        <w:tc>
          <w:tcPr>
            <w:tcW w:w="1019" w:type="dxa"/>
            <w:vMerge w:val="continue"/>
            <w:vAlign w:val="center"/>
          </w:tcPr>
          <w:p>
            <w:pPr>
              <w:spacing w:line="300" w:lineRule="exact"/>
              <w:jc w:val="left"/>
              <w:outlineLvl w:val="0"/>
            </w:pPr>
          </w:p>
        </w:tc>
        <w:tc>
          <w:tcPr>
            <w:tcW w:w="793" w:type="dxa"/>
            <w:vMerge w:val="continue"/>
            <w:vAlign w:val="center"/>
          </w:tcPr>
          <w:p>
            <w:pPr>
              <w:spacing w:line="300" w:lineRule="exact"/>
              <w:jc w:val="left"/>
              <w:outlineLvl w:val="0"/>
            </w:pPr>
          </w:p>
        </w:tc>
        <w:tc>
          <w:tcPr>
            <w:tcW w:w="793" w:type="dxa"/>
            <w:vMerge w:val="continue"/>
            <w:vAlign w:val="center"/>
          </w:tcPr>
          <w:p>
            <w:pPr>
              <w:spacing w:line="300" w:lineRule="exact"/>
              <w:jc w:val="left"/>
              <w:outlineLvl w:val="0"/>
            </w:pPr>
          </w:p>
        </w:tc>
        <w:tc>
          <w:tcPr>
            <w:tcW w:w="850" w:type="dxa"/>
            <w:vMerge w:val="continue"/>
            <w:vAlign w:val="center"/>
          </w:tcPr>
          <w:p>
            <w:pPr>
              <w:spacing w:line="300" w:lineRule="exact"/>
              <w:jc w:val="left"/>
              <w:outlineLvl w:val="0"/>
            </w:pPr>
          </w:p>
        </w:tc>
        <w:tc>
          <w:tcPr>
            <w:tcW w:w="963" w:type="dxa"/>
            <w:vMerge w:val="continue"/>
            <w:vAlign w:val="center"/>
          </w:tcPr>
          <w:p>
            <w:pPr>
              <w:spacing w:line="300" w:lineRule="exact"/>
              <w:jc w:val="left"/>
              <w:outlineLvl w:val="0"/>
            </w:pPr>
          </w:p>
        </w:tc>
        <w:tc>
          <w:tcPr>
            <w:tcW w:w="963"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63"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6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63"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75"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6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963" w:type="dxa"/>
            <w:vAlign w:val="center"/>
          </w:tcPr>
          <w:p>
            <w:pPr>
              <w:spacing w:line="300" w:lineRule="exact"/>
              <w:jc w:val="left"/>
              <w:rPr>
                <w:rFonts w:ascii="方正书宋_GBK" w:eastAsia="方正书宋_GBK"/>
                <w:b/>
              </w:rPr>
            </w:pPr>
          </w:p>
        </w:tc>
        <w:tc>
          <w:tcPr>
            <w:tcW w:w="1019" w:type="dxa"/>
            <w:vAlign w:val="center"/>
          </w:tcPr>
          <w:p>
            <w:pPr>
              <w:spacing w:line="300" w:lineRule="exact"/>
              <w:jc w:val="left"/>
              <w:rPr>
                <w:rFonts w:ascii="方正书宋_GBK" w:eastAsia="方正书宋_GBK"/>
                <w:b/>
              </w:rPr>
            </w:pPr>
          </w:p>
        </w:tc>
        <w:tc>
          <w:tcPr>
            <w:tcW w:w="793" w:type="dxa"/>
            <w:vAlign w:val="center"/>
          </w:tcPr>
          <w:p>
            <w:pPr>
              <w:spacing w:line="300" w:lineRule="exact"/>
              <w:jc w:val="left"/>
              <w:rPr>
                <w:rFonts w:ascii="方正书宋_GBK" w:eastAsia="方正书宋_GBK"/>
                <w:b/>
              </w:rPr>
            </w:pPr>
          </w:p>
        </w:tc>
        <w:tc>
          <w:tcPr>
            <w:tcW w:w="793"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75"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963" w:type="dxa"/>
            <w:vAlign w:val="center"/>
          </w:tcPr>
          <w:p>
            <w:pPr>
              <w:spacing w:line="300" w:lineRule="exact"/>
              <w:jc w:val="left"/>
              <w:rPr>
                <w:rFonts w:ascii="方正书宋_GBK" w:eastAsia="方正书宋_GBK"/>
                <w:b/>
              </w:rPr>
            </w:pPr>
          </w:p>
        </w:tc>
        <w:tc>
          <w:tcPr>
            <w:tcW w:w="1019" w:type="dxa"/>
            <w:vAlign w:val="center"/>
          </w:tcPr>
          <w:p>
            <w:pPr>
              <w:spacing w:line="300" w:lineRule="exact"/>
              <w:jc w:val="left"/>
              <w:rPr>
                <w:rFonts w:ascii="方正书宋_GBK" w:eastAsia="方正书宋_GBK"/>
                <w:b/>
              </w:rPr>
            </w:pPr>
          </w:p>
        </w:tc>
        <w:tc>
          <w:tcPr>
            <w:tcW w:w="793" w:type="dxa"/>
            <w:vAlign w:val="center"/>
          </w:tcPr>
          <w:p>
            <w:pPr>
              <w:spacing w:line="300" w:lineRule="exact"/>
              <w:jc w:val="left"/>
              <w:rPr>
                <w:rFonts w:ascii="方正书宋_GBK" w:eastAsia="方正书宋_GBK"/>
                <w:b/>
              </w:rPr>
            </w:pPr>
          </w:p>
        </w:tc>
        <w:tc>
          <w:tcPr>
            <w:tcW w:w="793"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c>
          <w:tcPr>
            <w:tcW w:w="975" w:type="dxa"/>
            <w:vAlign w:val="center"/>
          </w:tcPr>
          <w:p>
            <w:pPr>
              <w:spacing w:line="300" w:lineRule="exact"/>
              <w:jc w:val="right"/>
              <w:rPr>
                <w:rFonts w:ascii="方正书宋_GBK" w:eastAsia="方正书宋_GBK"/>
                <w:b/>
              </w:rPr>
            </w:pPr>
          </w:p>
        </w:tc>
        <w:tc>
          <w:tcPr>
            <w:tcW w:w="96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963" w:type="dxa"/>
            <w:vAlign w:val="center"/>
          </w:tcPr>
          <w:p>
            <w:pPr>
              <w:spacing w:line="300" w:lineRule="exact"/>
              <w:jc w:val="left"/>
              <w:rPr>
                <w:rFonts w:ascii="方正书宋_GBK" w:eastAsia="方正书宋_GBK"/>
              </w:rPr>
            </w:pPr>
          </w:p>
        </w:tc>
        <w:tc>
          <w:tcPr>
            <w:tcW w:w="1019" w:type="dxa"/>
            <w:vAlign w:val="center"/>
          </w:tcPr>
          <w:p>
            <w:pPr>
              <w:spacing w:line="300" w:lineRule="exact"/>
              <w:jc w:val="left"/>
              <w:rPr>
                <w:rFonts w:ascii="方正书宋_GBK" w:eastAsia="方正书宋_GBK"/>
              </w:rPr>
            </w:pPr>
          </w:p>
        </w:tc>
        <w:tc>
          <w:tcPr>
            <w:tcW w:w="793" w:type="dxa"/>
            <w:vAlign w:val="center"/>
          </w:tcPr>
          <w:p>
            <w:pPr>
              <w:spacing w:line="300" w:lineRule="exact"/>
              <w:jc w:val="left"/>
              <w:rPr>
                <w:rFonts w:ascii="方正书宋_GBK" w:eastAsia="方正书宋_GBK"/>
              </w:rPr>
            </w:pPr>
          </w:p>
        </w:tc>
        <w:tc>
          <w:tcPr>
            <w:tcW w:w="793"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963" w:type="dxa"/>
            <w:vAlign w:val="center"/>
          </w:tcPr>
          <w:p>
            <w:pPr>
              <w:spacing w:line="300" w:lineRule="exact"/>
              <w:jc w:val="right"/>
              <w:rPr>
                <w:rFonts w:ascii="方正书宋_GBK" w:eastAsia="方正书宋_GBK"/>
              </w:rPr>
            </w:pPr>
          </w:p>
        </w:tc>
        <w:tc>
          <w:tcPr>
            <w:tcW w:w="963" w:type="dxa"/>
            <w:vAlign w:val="center"/>
          </w:tcPr>
          <w:p>
            <w:pPr>
              <w:spacing w:line="300" w:lineRule="exact"/>
              <w:jc w:val="right"/>
              <w:rPr>
                <w:rFonts w:ascii="方正书宋_GBK" w:eastAsia="方正书宋_GBK"/>
              </w:rPr>
            </w:pPr>
          </w:p>
        </w:tc>
        <w:tc>
          <w:tcPr>
            <w:tcW w:w="963" w:type="dxa"/>
            <w:vAlign w:val="center"/>
          </w:tcPr>
          <w:p>
            <w:pPr>
              <w:spacing w:line="300" w:lineRule="exact"/>
              <w:jc w:val="right"/>
              <w:rPr>
                <w:rFonts w:ascii="方正书宋_GBK" w:eastAsia="方正书宋_GBK"/>
              </w:rPr>
            </w:pPr>
          </w:p>
        </w:tc>
        <w:tc>
          <w:tcPr>
            <w:tcW w:w="963" w:type="dxa"/>
            <w:vAlign w:val="center"/>
          </w:tcPr>
          <w:p>
            <w:pPr>
              <w:spacing w:line="300" w:lineRule="exact"/>
              <w:jc w:val="right"/>
              <w:rPr>
                <w:rFonts w:ascii="方正书宋_GBK" w:eastAsia="方正书宋_GBK"/>
              </w:rPr>
            </w:pPr>
          </w:p>
        </w:tc>
        <w:tc>
          <w:tcPr>
            <w:tcW w:w="963" w:type="dxa"/>
            <w:vAlign w:val="center"/>
          </w:tcPr>
          <w:p>
            <w:pPr>
              <w:spacing w:line="300" w:lineRule="exact"/>
              <w:jc w:val="right"/>
              <w:rPr>
                <w:rFonts w:ascii="方正书宋_GBK" w:eastAsia="方正书宋_GBK"/>
              </w:rPr>
            </w:pPr>
          </w:p>
        </w:tc>
        <w:tc>
          <w:tcPr>
            <w:tcW w:w="975" w:type="dxa"/>
            <w:vAlign w:val="center"/>
          </w:tcPr>
          <w:p>
            <w:pPr>
              <w:spacing w:line="300" w:lineRule="exact"/>
              <w:jc w:val="right"/>
              <w:rPr>
                <w:rFonts w:ascii="方正书宋_GBK" w:eastAsia="方正书宋_GBK"/>
              </w:rPr>
            </w:pPr>
          </w:p>
        </w:tc>
        <w:tc>
          <w:tcPr>
            <w:tcW w:w="963" w:type="dxa"/>
            <w:vAlign w:val="center"/>
          </w:tcPr>
          <w:p>
            <w:pPr>
              <w:spacing w:line="300" w:lineRule="exact"/>
              <w:jc w:val="right"/>
              <w:rPr>
                <w:rFonts w:ascii="方正书宋_GBK" w:eastAsia="方正书宋_GBK"/>
              </w:rPr>
            </w:pPr>
          </w:p>
        </w:tc>
      </w:tr>
    </w:tbl>
    <w:p>
      <w:pPr>
        <w:spacing w:line="300" w:lineRule="exact"/>
        <w:jc w:val="left"/>
        <w:outlineLvl w:val="0"/>
        <w:sectPr>
          <w:headerReference r:id="rId4" w:type="default"/>
          <w:pgSz w:w="16839" w:h="11907" w:orient="landscape"/>
          <w:pgMar w:top="1361" w:right="1020" w:bottom="1361" w:left="1020" w:header="851" w:footer="992" w:gutter="0"/>
          <w:cols w:space="720" w:num="1"/>
          <w:docGrid w:type="lines" w:linePitch="312" w:charSpace="0"/>
        </w:sectPr>
      </w:pPr>
      <w:r>
        <w:rPr>
          <w:rFonts w:hint="eastAsia"/>
        </w:rPr>
        <w:t>注:我单位无政府采购，空表列示。</w:t>
      </w:r>
    </w:p>
    <w:p>
      <w:pPr>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七汲镇2019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 xml:space="preserve">463.59 </w:t>
      </w:r>
      <w:r>
        <w:rPr>
          <w:rFonts w:ascii="Times New Roman" w:hAnsi="Times New Roman" w:eastAsia="仿宋" w:cs="Times New Roman"/>
          <w:color w:val="000000"/>
          <w:sz w:val="32"/>
          <w:szCs w:val="32"/>
        </w:rPr>
        <w:t>万元（详见下表），本年度</w:t>
      </w:r>
      <w:r>
        <w:rPr>
          <w:rFonts w:hint="eastAsia" w:ascii="Times New Roman" w:hAnsi="Times New Roman" w:eastAsia="仿宋" w:cs="Times New Roman"/>
          <w:color w:val="000000"/>
          <w:sz w:val="32"/>
          <w:szCs w:val="32"/>
        </w:rPr>
        <w:t>无</w:t>
      </w:r>
      <w:r>
        <w:rPr>
          <w:rFonts w:ascii="Times New Roman" w:hAnsi="Times New Roman" w:eastAsia="仿宋" w:cs="Times New Roman"/>
          <w:color w:val="000000"/>
          <w:sz w:val="32"/>
          <w:szCs w:val="32"/>
        </w:rPr>
        <w:t>购置固定资产预算</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8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七汲镇</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463.59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6000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292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35.97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95.62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multilevel"/>
    <w:tmpl w:val="00000002"/>
    <w:lvl w:ilvl="0" w:tentative="0">
      <w:start w:val="1"/>
      <w:numFmt w:val="decimal"/>
      <w:lvlText w:val="%1."/>
      <w:lvlJc w:val="left"/>
      <w:pPr>
        <w:tabs>
          <w:tab w:val="left" w:pos="1047"/>
        </w:tabs>
        <w:ind w:left="1047" w:hanging="420"/>
      </w:pPr>
    </w:lvl>
    <w:lvl w:ilvl="1" w:tentative="0">
      <w:start w:val="1"/>
      <w:numFmt w:val="lowerLetter"/>
      <w:lvlText w:val="%2)"/>
      <w:lvlJc w:val="left"/>
      <w:pPr>
        <w:tabs>
          <w:tab w:val="left" w:pos="1467"/>
        </w:tabs>
        <w:ind w:left="1467" w:hanging="420"/>
      </w:pPr>
    </w:lvl>
    <w:lvl w:ilvl="2" w:tentative="0">
      <w:start w:val="1"/>
      <w:numFmt w:val="lowerRoman"/>
      <w:lvlText w:val="%3."/>
      <w:lvlJc w:val="right"/>
      <w:pPr>
        <w:tabs>
          <w:tab w:val="left" w:pos="1887"/>
        </w:tabs>
        <w:ind w:left="1887" w:hanging="420"/>
      </w:pPr>
    </w:lvl>
    <w:lvl w:ilvl="3" w:tentative="0">
      <w:start w:val="1"/>
      <w:numFmt w:val="decimal"/>
      <w:lvlText w:val="%4."/>
      <w:lvlJc w:val="left"/>
      <w:pPr>
        <w:tabs>
          <w:tab w:val="left" w:pos="2307"/>
        </w:tabs>
        <w:ind w:left="2307" w:hanging="420"/>
      </w:pPr>
    </w:lvl>
    <w:lvl w:ilvl="4" w:tentative="0">
      <w:start w:val="1"/>
      <w:numFmt w:val="lowerLetter"/>
      <w:lvlText w:val="%5)"/>
      <w:lvlJc w:val="left"/>
      <w:pPr>
        <w:tabs>
          <w:tab w:val="left" w:pos="2727"/>
        </w:tabs>
        <w:ind w:left="2727" w:hanging="420"/>
      </w:pPr>
    </w:lvl>
    <w:lvl w:ilvl="5" w:tentative="0">
      <w:start w:val="1"/>
      <w:numFmt w:val="lowerRoman"/>
      <w:lvlText w:val="%6."/>
      <w:lvlJc w:val="right"/>
      <w:pPr>
        <w:tabs>
          <w:tab w:val="left" w:pos="3147"/>
        </w:tabs>
        <w:ind w:left="3147" w:hanging="420"/>
      </w:pPr>
    </w:lvl>
    <w:lvl w:ilvl="6" w:tentative="0">
      <w:start w:val="1"/>
      <w:numFmt w:val="decimal"/>
      <w:lvlText w:val="%7."/>
      <w:lvlJc w:val="left"/>
      <w:pPr>
        <w:tabs>
          <w:tab w:val="left" w:pos="3567"/>
        </w:tabs>
        <w:ind w:left="3567" w:hanging="420"/>
      </w:pPr>
    </w:lvl>
    <w:lvl w:ilvl="7" w:tentative="0">
      <w:start w:val="1"/>
      <w:numFmt w:val="lowerLetter"/>
      <w:lvlText w:val="%8)"/>
      <w:lvlJc w:val="left"/>
      <w:pPr>
        <w:tabs>
          <w:tab w:val="left" w:pos="3987"/>
        </w:tabs>
        <w:ind w:left="3987" w:hanging="420"/>
      </w:pPr>
    </w:lvl>
    <w:lvl w:ilvl="8" w:tentative="0">
      <w:start w:val="1"/>
      <w:numFmt w:val="lowerRoman"/>
      <w:lvlText w:val="%9."/>
      <w:lvlJc w:val="right"/>
      <w:pPr>
        <w:tabs>
          <w:tab w:val="left" w:pos="4407"/>
        </w:tabs>
        <w:ind w:left="4407" w:hanging="420"/>
      </w:pPr>
    </w:lvl>
  </w:abstractNum>
  <w:abstractNum w:abstractNumId="1">
    <w:nsid w:val="0000000C"/>
    <w:multiLevelType w:val="singleLevel"/>
    <w:tmpl w:val="0000000C"/>
    <w:lvl w:ilvl="0" w:tentative="0">
      <w:start w:val="5"/>
      <w:numFmt w:val="chineseCounting"/>
      <w:suff w:val="nothing"/>
      <w:lvlText w:val="%1、"/>
      <w:lvlJc w:val="left"/>
    </w:lvl>
  </w:abstractNum>
  <w:abstractNum w:abstractNumId="2">
    <w:nsid w:val="0053208E"/>
    <w:multiLevelType w:val="singleLevel"/>
    <w:tmpl w:val="0053208E"/>
    <w:lvl w:ilvl="0" w:tentative="0">
      <w:start w:val="2"/>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D27"/>
    <w:rsid w:val="00731D27"/>
    <w:rsid w:val="009B0769"/>
    <w:rsid w:val="00E67636"/>
    <w:rsid w:val="063A03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14</Pages>
  <Words>965</Words>
  <Characters>5502</Characters>
  <Lines>45</Lines>
  <Paragraphs>12</Paragraphs>
  <TotalTime>2</TotalTime>
  <ScaleCrop>false</ScaleCrop>
  <LinksUpToDate>false</LinksUpToDate>
  <CharactersWithSpaces>6455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雾野sama公子白?</cp:lastModifiedBy>
  <cp:lastPrinted>2020-01-11T15:53:00Z</cp:lastPrinted>
  <dcterms:modified xsi:type="dcterms:W3CDTF">2024-01-04T05:51:59Z</dcterms:modified>
  <dc:title>AI霓</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0E9B92D32C6549F39D983C36D617FD3E</vt:lpwstr>
  </property>
</Properties>
</file>