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0" w:name="_GoBack"/>
      <w:bookmarkEnd w:id="0"/>
    </w:p>
    <w:p>
      <w:pPr>
        <w:ind w:firstLine="4996" w:firstLineChars="1131"/>
        <w:rPr>
          <w:rFonts w:ascii="宋体" w:cs="宋体"/>
          <w:b/>
          <w:bCs/>
          <w:sz w:val="44"/>
          <w:szCs w:val="44"/>
        </w:rPr>
      </w:pPr>
      <w:r>
        <w:rPr>
          <w:rFonts w:hint="eastAsia" w:ascii="宋体" w:hAnsi="宋体" w:cs="宋体"/>
          <w:b/>
          <w:bCs/>
          <w:sz w:val="44"/>
          <w:szCs w:val="44"/>
        </w:rPr>
        <w:t>无极县机关事务管理局</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、《地方预决算公开操作规程》和《河北省省级预算公开办法》规定，现将无极县机关事务管理局</w:t>
      </w:r>
      <w:r>
        <w:rPr>
          <w:rFonts w:ascii="仿宋_GB2312" w:hAnsi="仿宋" w:eastAsia="仿宋_GB2312" w:cs="仿宋"/>
          <w:sz w:val="32"/>
          <w:szCs w:val="32"/>
        </w:rPr>
        <w:t>2017</w:t>
      </w:r>
      <w:r>
        <w:rPr>
          <w:rFonts w:hint="eastAsia" w:ascii="仿宋_GB2312" w:hAnsi="仿宋" w:eastAsia="仿宋_GB2312"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560"/>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_GB2312" w:eastAsia="仿宋_GB2312"/>
          <w:sz w:val="28"/>
        </w:rPr>
      </w:pPr>
      <w:r>
        <w:rPr>
          <w:rFonts w:ascii="仿宋_GB2312" w:hAnsi="楷体" w:eastAsia="仿宋_GB2312" w:cs="仿宋_GB2312"/>
          <w:sz w:val="32"/>
          <w:szCs w:val="32"/>
        </w:rPr>
        <w:t>1</w:t>
      </w:r>
      <w:r>
        <w:rPr>
          <w:rFonts w:hint="eastAsia" w:ascii="仿宋_GB2312" w:hAnsi="楷体" w:eastAsia="仿宋_GB2312" w:cs="仿宋_GB2312"/>
          <w:sz w:val="32"/>
          <w:szCs w:val="32"/>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大院的安全保</w:t>
      </w:r>
      <w:r>
        <w:rPr>
          <w:rFonts w:hint="eastAsia" w:ascii="仿宋_GB2312" w:hAnsi="宋体" w:eastAsia="仿宋_GB2312" w:cs="宋体"/>
          <w:sz w:val="28"/>
        </w:rPr>
        <w:t>卫</w:t>
      </w:r>
      <w:r>
        <w:rPr>
          <w:rFonts w:hint="eastAsia" w:ascii="仿宋_GB2312" w:hAnsi="Batang" w:eastAsia="仿宋_GB2312" w:cs="Batang"/>
          <w:sz w:val="28"/>
        </w:rPr>
        <w:t>工作。</w:t>
      </w:r>
    </w:p>
    <w:p>
      <w:pPr>
        <w:ind w:firstLine="560"/>
        <w:rPr>
          <w:rFonts w:ascii="仿宋_GB2312" w:eastAsia="仿宋_GB2312"/>
          <w:sz w:val="28"/>
        </w:rPr>
      </w:pPr>
      <w:r>
        <w:rPr>
          <w:rFonts w:ascii="仿宋_GB2312" w:hAnsi="宋体" w:eastAsia="仿宋_GB2312" w:cs="宋体"/>
          <w:sz w:val="28"/>
        </w:rPr>
        <w:t>2</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大院的机</w:t>
      </w:r>
      <w:r>
        <w:rPr>
          <w:rFonts w:hint="eastAsia" w:ascii="仿宋_GB2312" w:hAnsi="宋体" w:eastAsia="仿宋_GB2312" w:cs="宋体"/>
          <w:sz w:val="28"/>
        </w:rPr>
        <w:t>关</w:t>
      </w:r>
      <w:r>
        <w:rPr>
          <w:rFonts w:hint="eastAsia" w:ascii="仿宋_GB2312" w:hAnsi="Batang" w:eastAsia="仿宋_GB2312" w:cs="Batang"/>
          <w:sz w:val="28"/>
        </w:rPr>
        <w:t>食堂的管理。</w:t>
      </w:r>
    </w:p>
    <w:p>
      <w:pPr>
        <w:ind w:firstLine="560"/>
        <w:rPr>
          <w:rFonts w:ascii="仿宋_GB2312" w:eastAsia="仿宋_GB2312"/>
          <w:sz w:val="28"/>
        </w:rPr>
      </w:pPr>
      <w:r>
        <w:rPr>
          <w:rFonts w:ascii="仿宋_GB2312" w:eastAsia="仿宋_GB2312"/>
          <w:sz w:val="28"/>
        </w:rPr>
        <w:t>3</w:t>
      </w:r>
      <w:r>
        <w:rPr>
          <w:rFonts w:hint="eastAsia" w:ascii="仿宋_GB2312" w:eastAsia="仿宋_GB2312"/>
          <w:sz w:val="28"/>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水、</w:t>
      </w:r>
      <w:r>
        <w:rPr>
          <w:rFonts w:hint="eastAsia" w:ascii="仿宋_GB2312" w:hAnsi="宋体" w:eastAsia="仿宋_GB2312" w:cs="宋体"/>
          <w:sz w:val="28"/>
        </w:rPr>
        <w:t>电</w:t>
      </w:r>
      <w:r>
        <w:rPr>
          <w:rFonts w:hint="eastAsia" w:ascii="仿宋_GB2312" w:hAnsi="Batang" w:eastAsia="仿宋_GB2312" w:cs="Batang"/>
          <w:sz w:val="28"/>
        </w:rPr>
        <w:t>、暖的供</w:t>
      </w:r>
      <w:r>
        <w:rPr>
          <w:rFonts w:hint="eastAsia" w:ascii="仿宋_GB2312" w:hAnsi="宋体" w:eastAsia="仿宋_GB2312" w:cs="宋体"/>
          <w:sz w:val="28"/>
        </w:rPr>
        <w:t>应</w:t>
      </w:r>
      <w:r>
        <w:rPr>
          <w:rFonts w:hint="eastAsia" w:ascii="仿宋_GB2312" w:hAnsi="Batang" w:eastAsia="仿宋_GB2312" w:cs="Batang"/>
          <w:sz w:val="28"/>
        </w:rPr>
        <w:t>及</w:t>
      </w:r>
      <w:r>
        <w:rPr>
          <w:rFonts w:hint="eastAsia" w:ascii="仿宋_GB2312" w:hAnsi="宋体" w:eastAsia="仿宋_GB2312" w:cs="宋体"/>
          <w:sz w:val="28"/>
        </w:rPr>
        <w:t>维</w:t>
      </w:r>
      <w:r>
        <w:rPr>
          <w:rFonts w:hint="eastAsia" w:ascii="仿宋_GB2312" w:hAnsi="Batang" w:eastAsia="仿宋_GB2312" w:cs="Batang"/>
          <w:sz w:val="28"/>
        </w:rPr>
        <w:t>修工作。</w:t>
      </w:r>
    </w:p>
    <w:p>
      <w:pPr>
        <w:ind w:firstLine="560"/>
        <w:rPr>
          <w:rFonts w:ascii="仿宋_GB2312" w:eastAsia="仿宋_GB2312"/>
          <w:sz w:val="28"/>
        </w:rPr>
      </w:pPr>
      <w:r>
        <w:rPr>
          <w:rFonts w:ascii="仿宋_GB2312" w:eastAsia="仿宋_GB2312"/>
          <w:sz w:val="28"/>
        </w:rPr>
        <w:t>4</w:t>
      </w:r>
      <w:r>
        <w:rPr>
          <w:rFonts w:hint="eastAsia" w:ascii="仿宋_GB2312" w:eastAsia="仿宋_GB2312"/>
          <w:sz w:val="28"/>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w:t>
      </w:r>
      <w:r>
        <w:rPr>
          <w:rFonts w:hint="eastAsia" w:ascii="仿宋_GB2312" w:hAnsi="宋体" w:eastAsia="仿宋_GB2312" w:cs="宋体"/>
          <w:sz w:val="28"/>
        </w:rPr>
        <w:t>办</w:t>
      </w:r>
      <w:r>
        <w:rPr>
          <w:rFonts w:hint="eastAsia" w:ascii="仿宋_GB2312" w:hAnsi="Batang" w:eastAsia="仿宋_GB2312" w:cs="Batang"/>
          <w:sz w:val="28"/>
        </w:rPr>
        <w:t>公房屋承建及修</w:t>
      </w:r>
      <w:r>
        <w:rPr>
          <w:rFonts w:hint="eastAsia" w:ascii="仿宋_GB2312" w:hAnsi="宋体" w:eastAsia="仿宋_GB2312" w:cs="宋体"/>
          <w:sz w:val="28"/>
        </w:rPr>
        <w:t>缮</w:t>
      </w:r>
      <w:r>
        <w:rPr>
          <w:rFonts w:hint="eastAsia" w:ascii="仿宋_GB2312" w:hAnsi="Batang" w:eastAsia="仿宋_GB2312" w:cs="Batang"/>
          <w:sz w:val="28"/>
        </w:rPr>
        <w:t>管理工作。</w:t>
      </w:r>
    </w:p>
    <w:p>
      <w:pPr>
        <w:rPr>
          <w:rFonts w:ascii="楷体" w:hAnsi="楷体" w:eastAsia="楷体" w:cs="仿宋_GB2312"/>
          <w:sz w:val="32"/>
          <w:szCs w:val="32"/>
        </w:rPr>
      </w:pPr>
      <w:r>
        <w:rPr>
          <w:rFonts w:hint="eastAsia" w:ascii="仿宋_GB2312" w:eastAsia="仿宋_GB2312"/>
          <w:sz w:val="28"/>
        </w:rPr>
        <w:t xml:space="preserve">    </w:t>
      </w:r>
      <w:r>
        <w:rPr>
          <w:rFonts w:ascii="仿宋_GB2312" w:eastAsia="仿宋_GB2312"/>
          <w:sz w:val="28"/>
        </w:rPr>
        <w:t>5</w:t>
      </w:r>
      <w:r>
        <w:rPr>
          <w:rFonts w:hint="eastAsia" w:ascii="仿宋_GB2312" w:eastAsia="仿宋_GB2312"/>
          <w:sz w:val="28"/>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w:t>
      </w:r>
      <w:r>
        <w:rPr>
          <w:rFonts w:hint="eastAsia" w:ascii="仿宋_GB2312" w:hAnsi="宋体" w:eastAsia="仿宋_GB2312" w:cs="宋体"/>
          <w:sz w:val="28"/>
        </w:rPr>
        <w:t>环</w:t>
      </w:r>
      <w:r>
        <w:rPr>
          <w:rFonts w:hint="eastAsia" w:ascii="仿宋_GB2312" w:hAnsi="Batang" w:eastAsia="仿宋_GB2312" w:cs="Batang"/>
          <w:sz w:val="28"/>
        </w:rPr>
        <w:t>境</w:t>
      </w:r>
      <w:r>
        <w:rPr>
          <w:rFonts w:hint="eastAsia" w:ascii="仿宋_GB2312" w:hAnsi="宋体" w:eastAsia="仿宋_GB2312" w:cs="宋体"/>
          <w:sz w:val="28"/>
        </w:rPr>
        <w:t>卫</w:t>
      </w:r>
      <w:r>
        <w:rPr>
          <w:rFonts w:hint="eastAsia" w:ascii="仿宋_GB2312" w:hAnsi="Batang" w:eastAsia="仿宋_GB2312" w:cs="Batang"/>
          <w:sz w:val="28"/>
        </w:rPr>
        <w:t>生、美化亮化工作。</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p>
    <w:p>
      <w:pPr>
        <w:jc w:val="center"/>
        <w:rPr>
          <w:rFonts w:ascii="仿宋" w:hAnsi="仿宋" w:eastAsia="仿宋"/>
          <w:sz w:val="32"/>
          <w:szCs w:val="32"/>
        </w:rPr>
      </w:pP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0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27"/>
        <w:gridCol w:w="1656"/>
        <w:gridCol w:w="1530"/>
        <w:gridCol w:w="3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527"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单位名称</w:t>
            </w:r>
          </w:p>
        </w:tc>
        <w:tc>
          <w:tcPr>
            <w:tcW w:w="165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单位性质</w:t>
            </w:r>
          </w:p>
        </w:tc>
        <w:tc>
          <w:tcPr>
            <w:tcW w:w="1530"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单位规格</w:t>
            </w:r>
          </w:p>
        </w:tc>
        <w:tc>
          <w:tcPr>
            <w:tcW w:w="3195"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tblHeader/>
          <w:jc w:val="center"/>
        </w:trPr>
        <w:tc>
          <w:tcPr>
            <w:tcW w:w="4527" w:type="dxa"/>
            <w:vMerge w:val="continue"/>
            <w:vAlign w:val="center"/>
          </w:tcPr>
          <w:p>
            <w:pPr>
              <w:spacing w:line="300" w:lineRule="exact"/>
              <w:jc w:val="left"/>
              <w:outlineLvl w:val="0"/>
              <w:rPr>
                <w:rFonts w:ascii="仿宋_GB2312" w:eastAsia="仿宋_GB2312"/>
                <w:sz w:val="32"/>
                <w:szCs w:val="32"/>
              </w:rPr>
            </w:pPr>
          </w:p>
        </w:tc>
        <w:tc>
          <w:tcPr>
            <w:tcW w:w="1656" w:type="dxa"/>
            <w:vMerge w:val="continue"/>
            <w:vAlign w:val="center"/>
          </w:tcPr>
          <w:p>
            <w:pPr>
              <w:spacing w:line="300" w:lineRule="exact"/>
              <w:jc w:val="left"/>
              <w:outlineLvl w:val="0"/>
              <w:rPr>
                <w:rFonts w:ascii="仿宋_GB2312" w:eastAsia="仿宋_GB2312"/>
                <w:sz w:val="32"/>
                <w:szCs w:val="32"/>
              </w:rPr>
            </w:pPr>
          </w:p>
        </w:tc>
        <w:tc>
          <w:tcPr>
            <w:tcW w:w="1530" w:type="dxa"/>
            <w:vMerge w:val="continue"/>
            <w:vAlign w:val="center"/>
          </w:tcPr>
          <w:p>
            <w:pPr>
              <w:spacing w:line="300" w:lineRule="exact"/>
              <w:jc w:val="left"/>
              <w:outlineLvl w:val="0"/>
              <w:rPr>
                <w:rFonts w:ascii="仿宋_GB2312" w:eastAsia="仿宋_GB2312"/>
                <w:sz w:val="32"/>
                <w:szCs w:val="32"/>
              </w:rPr>
            </w:pPr>
          </w:p>
        </w:tc>
        <w:tc>
          <w:tcPr>
            <w:tcW w:w="3195" w:type="dxa"/>
            <w:vMerge w:val="continue"/>
            <w:vAlign w:val="center"/>
          </w:tcPr>
          <w:p>
            <w:pPr>
              <w:spacing w:line="300" w:lineRule="exact"/>
              <w:jc w:val="left"/>
              <w:outlineLvl w:val="0"/>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452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无极县机关事务管理局</w:t>
            </w:r>
          </w:p>
        </w:tc>
        <w:tc>
          <w:tcPr>
            <w:tcW w:w="1656"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事业</w:t>
            </w:r>
          </w:p>
        </w:tc>
        <w:tc>
          <w:tcPr>
            <w:tcW w:w="1530"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正科级</w:t>
            </w:r>
          </w:p>
        </w:tc>
        <w:tc>
          <w:tcPr>
            <w:tcW w:w="3195"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财政性资金基本保证</w:t>
            </w:r>
          </w:p>
        </w:tc>
      </w:tr>
    </w:tbl>
    <w:p>
      <w:pP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adjustRightInd w:val="0"/>
        <w:snapToGrid w:val="0"/>
        <w:spacing w:line="600" w:lineRule="exact"/>
        <w:ind w:firstLine="600" w:firstLineChars="200"/>
        <w:jc w:val="left"/>
        <w:rPr>
          <w:rFonts w:ascii="楷体" w:hAnsi="楷体" w:eastAsia="楷体" w:cs="仿宋_GB2312"/>
          <w:sz w:val="30"/>
          <w:szCs w:val="30"/>
        </w:rPr>
      </w:pPr>
      <w:r>
        <w:rPr>
          <w:rFonts w:hint="eastAsia" w:ascii="楷体" w:hAnsi="楷体" w:eastAsia="楷体" w:cs="仿宋_GB2312"/>
          <w:sz w:val="30"/>
          <w:szCs w:val="30"/>
        </w:rPr>
        <w:t>（一）收入说明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无极县机关事务局</w:t>
      </w:r>
      <w:r>
        <w:rPr>
          <w:rFonts w:ascii="仿宋_GB2312" w:eastAsia="仿宋_GB2312" w:cs="仿宋_GB2312"/>
          <w:bCs/>
          <w:sz w:val="32"/>
          <w:szCs w:val="32"/>
        </w:rPr>
        <w:t>2017</w:t>
      </w:r>
      <w:r>
        <w:rPr>
          <w:rFonts w:hint="eastAsia" w:ascii="仿宋_GB2312" w:eastAsia="仿宋_GB2312" w:cs="仿宋_GB2312"/>
          <w:bCs/>
          <w:sz w:val="32"/>
          <w:szCs w:val="32"/>
        </w:rPr>
        <w:t>年预算收入总计</w:t>
      </w:r>
      <w:r>
        <w:rPr>
          <w:rFonts w:ascii="仿宋_GB2312" w:eastAsia="仿宋_GB2312" w:cs="仿宋_GB2312"/>
          <w:bCs/>
          <w:sz w:val="32"/>
          <w:szCs w:val="32"/>
        </w:rPr>
        <w:t>445.47</w:t>
      </w:r>
      <w:r>
        <w:rPr>
          <w:rFonts w:hint="eastAsia" w:ascii="仿宋_GB2312" w:eastAsia="仿宋_GB2312" w:cs="仿宋_GB2312"/>
          <w:bCs/>
          <w:sz w:val="32"/>
          <w:szCs w:val="32"/>
        </w:rPr>
        <w:t>万元，与</w:t>
      </w:r>
      <w:r>
        <w:rPr>
          <w:rFonts w:ascii="仿宋_GB2312" w:eastAsia="仿宋_GB2312" w:cs="仿宋_GB2312"/>
          <w:bCs/>
          <w:sz w:val="32"/>
          <w:szCs w:val="32"/>
        </w:rPr>
        <w:t>2016</w:t>
      </w:r>
      <w:r>
        <w:rPr>
          <w:rFonts w:hint="eastAsia" w:ascii="仿宋_GB2312" w:eastAsia="仿宋_GB2312" w:cs="仿宋_GB2312"/>
          <w:bCs/>
          <w:sz w:val="32"/>
          <w:szCs w:val="32"/>
        </w:rPr>
        <w:t>年相比增加</w:t>
      </w:r>
      <w:r>
        <w:rPr>
          <w:rFonts w:ascii="仿宋_GB2312" w:eastAsia="仿宋_GB2312" w:cs="仿宋_GB2312"/>
          <w:bCs/>
          <w:sz w:val="32"/>
          <w:szCs w:val="32"/>
        </w:rPr>
        <w:t>70.39</w:t>
      </w:r>
      <w:r>
        <w:rPr>
          <w:rFonts w:hint="eastAsia" w:ascii="仿宋_GB2312" w:eastAsia="仿宋_GB2312" w:cs="仿宋_GB2312"/>
          <w:bCs/>
          <w:sz w:val="32"/>
          <w:szCs w:val="32"/>
        </w:rPr>
        <w:t>万元。其中，一般公共预算收入</w:t>
      </w:r>
      <w:r>
        <w:rPr>
          <w:rFonts w:ascii="仿宋_GB2312" w:eastAsia="仿宋_GB2312" w:cs="仿宋_GB2312"/>
          <w:bCs/>
          <w:sz w:val="32"/>
          <w:szCs w:val="32"/>
        </w:rPr>
        <w:t>445.47</w:t>
      </w:r>
      <w:r>
        <w:rPr>
          <w:rFonts w:hint="eastAsia" w:ascii="仿宋_GB2312" w:eastAsia="仿宋_GB2312" w:cs="仿宋_GB2312"/>
          <w:bCs/>
          <w:sz w:val="32"/>
          <w:szCs w:val="32"/>
        </w:rPr>
        <w:t>万元、政府性基金收入</w:t>
      </w:r>
      <w:r>
        <w:rPr>
          <w:rFonts w:ascii="仿宋_GB2312" w:eastAsia="仿宋_GB2312" w:cs="仿宋_GB2312"/>
          <w:bCs/>
          <w:sz w:val="32"/>
          <w:szCs w:val="32"/>
        </w:rPr>
        <w:t>0</w:t>
      </w:r>
      <w:r>
        <w:rPr>
          <w:rFonts w:hint="eastAsia" w:ascii="仿宋_GB2312" w:eastAsia="仿宋_GB2312" w:cs="仿宋_GB2312"/>
          <w:bCs/>
          <w:sz w:val="32"/>
          <w:szCs w:val="32"/>
        </w:rPr>
        <w:t>万元、财政专户核拨收入</w:t>
      </w:r>
      <w:r>
        <w:rPr>
          <w:rFonts w:ascii="仿宋_GB2312" w:eastAsia="仿宋_GB2312" w:cs="仿宋_GB2312"/>
          <w:bCs/>
          <w:sz w:val="32"/>
          <w:szCs w:val="32"/>
        </w:rPr>
        <w:t>0</w:t>
      </w:r>
      <w:r>
        <w:rPr>
          <w:rFonts w:hint="eastAsia" w:ascii="仿宋_GB2312" w:eastAsia="仿宋_GB2312" w:cs="仿宋_GB2312"/>
          <w:bCs/>
          <w:sz w:val="32"/>
          <w:szCs w:val="32"/>
        </w:rPr>
        <w:t>万元，其他来源收入</w:t>
      </w:r>
      <w:r>
        <w:rPr>
          <w:rFonts w:ascii="仿宋_GB2312" w:eastAsia="仿宋_GB2312" w:cs="仿宋_GB2312"/>
          <w:bCs/>
          <w:sz w:val="32"/>
          <w:szCs w:val="32"/>
        </w:rPr>
        <w:t>0</w:t>
      </w:r>
      <w:r>
        <w:rPr>
          <w:rFonts w:hint="eastAsia" w:ascii="仿宋_GB2312" w:eastAsia="仿宋_GB2312" w:cs="仿宋_GB2312"/>
          <w:bCs/>
          <w:sz w:val="32"/>
          <w:szCs w:val="32"/>
        </w:rPr>
        <w:t>万元。</w:t>
      </w:r>
    </w:p>
    <w:p>
      <w:pPr>
        <w:adjustRightInd w:val="0"/>
        <w:snapToGrid w:val="0"/>
        <w:spacing w:line="600" w:lineRule="exact"/>
        <w:ind w:firstLine="640" w:firstLineChars="200"/>
        <w:jc w:val="left"/>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ascii="仿宋_GB2312" w:eastAsia="仿宋_GB2312" w:cs="仿宋_GB2312"/>
          <w:bCs/>
          <w:sz w:val="32"/>
          <w:szCs w:val="32"/>
        </w:rPr>
        <w:t>2017</w:t>
      </w:r>
      <w:r>
        <w:rPr>
          <w:rFonts w:hint="eastAsia" w:ascii="仿宋_GB2312" w:eastAsia="仿宋_GB2312" w:cs="仿宋_GB2312"/>
          <w:bCs/>
          <w:sz w:val="32"/>
          <w:szCs w:val="32"/>
        </w:rPr>
        <w:t>年预算支出</w:t>
      </w:r>
      <w:r>
        <w:rPr>
          <w:rFonts w:ascii="仿宋_GB2312" w:eastAsia="仿宋_GB2312" w:cs="仿宋_GB2312"/>
          <w:bCs/>
          <w:sz w:val="32"/>
          <w:szCs w:val="32"/>
        </w:rPr>
        <w:t>445.47</w:t>
      </w:r>
      <w:r>
        <w:rPr>
          <w:rFonts w:hint="eastAsia" w:ascii="仿宋_GB2312" w:eastAsia="仿宋_GB2312" w:cs="仿宋_GB2312"/>
          <w:bCs/>
          <w:sz w:val="32"/>
          <w:szCs w:val="32"/>
        </w:rPr>
        <w:t>万元。其中，人员经费支出</w:t>
      </w:r>
      <w:r>
        <w:rPr>
          <w:rFonts w:ascii="仿宋_GB2312" w:eastAsia="仿宋_GB2312" w:cs="仿宋_GB2312"/>
          <w:bCs/>
          <w:sz w:val="32"/>
          <w:szCs w:val="32"/>
        </w:rPr>
        <w:t>192.28</w:t>
      </w:r>
      <w:r>
        <w:rPr>
          <w:rFonts w:hint="eastAsia" w:ascii="仿宋_GB2312" w:eastAsia="仿宋_GB2312" w:cs="仿宋_GB2312"/>
          <w:bCs/>
          <w:sz w:val="32"/>
          <w:szCs w:val="32"/>
        </w:rPr>
        <w:t>万元，正常公用经费</w:t>
      </w:r>
      <w:r>
        <w:rPr>
          <w:rFonts w:ascii="仿宋_GB2312" w:eastAsia="仿宋_GB2312" w:cs="仿宋_GB2312"/>
          <w:bCs/>
          <w:sz w:val="32"/>
          <w:szCs w:val="32"/>
        </w:rPr>
        <w:t>16.5</w:t>
      </w:r>
      <w:r>
        <w:rPr>
          <w:rFonts w:hint="eastAsia" w:ascii="仿宋_GB2312" w:eastAsia="仿宋_GB2312" w:cs="仿宋_GB2312"/>
          <w:bCs/>
          <w:sz w:val="32"/>
          <w:szCs w:val="32"/>
        </w:rPr>
        <w:t>万元，项目支出</w:t>
      </w:r>
      <w:r>
        <w:rPr>
          <w:rFonts w:ascii="仿宋_GB2312" w:eastAsia="仿宋_GB2312" w:cs="仿宋_GB2312"/>
          <w:bCs/>
          <w:sz w:val="32"/>
          <w:szCs w:val="32"/>
        </w:rPr>
        <w:t>236.69</w:t>
      </w:r>
      <w:r>
        <w:rPr>
          <w:rFonts w:hint="eastAsia" w:ascii="仿宋_GB2312" w:eastAsia="仿宋_GB2312" w:cs="仿宋_GB2312"/>
          <w:bCs/>
          <w:sz w:val="32"/>
          <w:szCs w:val="32"/>
        </w:rPr>
        <w:t>万元。</w:t>
      </w:r>
    </w:p>
    <w:p>
      <w:pPr>
        <w:ind w:firstLine="480" w:firstLineChars="150"/>
        <w:rPr>
          <w:rFonts w:ascii="仿宋" w:hAnsi="仿宋" w:eastAsia="仿宋"/>
          <w:sz w:val="32"/>
          <w:szCs w:val="32"/>
        </w:rPr>
      </w:pPr>
      <w:r>
        <w:rPr>
          <w:rFonts w:hint="eastAsia" w:ascii="楷体" w:hAnsi="楷体" w:eastAsia="楷体"/>
          <w:sz w:val="32"/>
          <w:szCs w:val="32"/>
        </w:rPr>
        <w:t>（三）比上年增减情况</w:t>
      </w:r>
      <w:r>
        <w:rPr>
          <w:rFonts w:ascii="仿宋" w:hAnsi="仿宋" w:eastAsia="仿宋"/>
          <w:sz w:val="32"/>
          <w:szCs w:val="32"/>
        </w:rPr>
        <w:t xml:space="preserve"> </w:t>
      </w:r>
    </w:p>
    <w:p>
      <w:pPr>
        <w:ind w:firstLine="160" w:firstLineChars="50"/>
        <w:rPr>
          <w:rFonts w:ascii="仿宋" w:hAnsi="仿宋" w:eastAsia="仿宋"/>
          <w:sz w:val="32"/>
          <w:szCs w:val="32"/>
        </w:rPr>
      </w:pPr>
      <w:r>
        <w:rPr>
          <w:rFonts w:ascii="仿宋" w:hAnsi="仿宋" w:eastAsia="仿宋"/>
          <w:sz w:val="32"/>
          <w:szCs w:val="32"/>
        </w:rPr>
        <w:t xml:space="preserve">  </w:t>
      </w:r>
      <w:r>
        <w:rPr>
          <w:rFonts w:ascii="仿宋_GB2312" w:eastAsia="仿宋_GB2312" w:cs="仿宋_GB2312"/>
          <w:bCs/>
          <w:sz w:val="32"/>
          <w:szCs w:val="32"/>
        </w:rPr>
        <w:t>2017</w:t>
      </w:r>
      <w:r>
        <w:rPr>
          <w:rFonts w:hint="eastAsia" w:ascii="仿宋_GB2312" w:eastAsia="仿宋_GB2312" w:cs="仿宋_GB2312"/>
          <w:bCs/>
          <w:sz w:val="32"/>
          <w:szCs w:val="32"/>
        </w:rPr>
        <w:t>年预算收入总计</w:t>
      </w:r>
      <w:r>
        <w:rPr>
          <w:rFonts w:ascii="仿宋_GB2312" w:eastAsia="仿宋_GB2312" w:cs="仿宋_GB2312"/>
          <w:bCs/>
          <w:sz w:val="32"/>
          <w:szCs w:val="32"/>
        </w:rPr>
        <w:t>445.47</w:t>
      </w:r>
      <w:r>
        <w:rPr>
          <w:rFonts w:hint="eastAsia" w:ascii="仿宋_GB2312" w:eastAsia="仿宋_GB2312" w:cs="仿宋_GB2312"/>
          <w:bCs/>
          <w:sz w:val="32"/>
          <w:szCs w:val="32"/>
        </w:rPr>
        <w:t>万元，与</w:t>
      </w:r>
      <w:r>
        <w:rPr>
          <w:rFonts w:ascii="仿宋_GB2312" w:eastAsia="仿宋_GB2312" w:cs="仿宋_GB2312"/>
          <w:bCs/>
          <w:sz w:val="32"/>
          <w:szCs w:val="32"/>
        </w:rPr>
        <w:t>2016</w:t>
      </w:r>
      <w:r>
        <w:rPr>
          <w:rFonts w:hint="eastAsia" w:ascii="仿宋_GB2312" w:eastAsia="仿宋_GB2312" w:cs="仿宋_GB2312"/>
          <w:bCs/>
          <w:sz w:val="32"/>
          <w:szCs w:val="32"/>
        </w:rPr>
        <w:t>年相比增加</w:t>
      </w:r>
      <w:r>
        <w:rPr>
          <w:rFonts w:ascii="仿宋_GB2312" w:eastAsia="仿宋_GB2312" w:cs="仿宋_GB2312"/>
          <w:bCs/>
          <w:sz w:val="32"/>
          <w:szCs w:val="32"/>
        </w:rPr>
        <w:t>70.39</w:t>
      </w:r>
      <w:r>
        <w:rPr>
          <w:rFonts w:hint="eastAsia" w:ascii="仿宋_GB2312" w:eastAsia="仿宋_GB2312" w:cs="仿宋_GB2312"/>
          <w:bCs/>
          <w:sz w:val="32"/>
          <w:szCs w:val="32"/>
        </w:rPr>
        <w:t>万元，增加的原因为项目支出增加。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djustRightInd w:val="0"/>
        <w:snapToGrid w:val="0"/>
        <w:spacing w:line="600" w:lineRule="exact"/>
        <w:ind w:firstLine="640" w:firstLineChars="200"/>
        <w:jc w:val="left"/>
        <w:rPr>
          <w:rFonts w:ascii="仿宋_GB2312" w:eastAsia="仿宋_GB2312" w:cs="仿宋_GB2312"/>
          <w:bCs/>
          <w:sz w:val="32"/>
          <w:szCs w:val="32"/>
          <w:highlight w:val="yellow"/>
        </w:rPr>
      </w:pPr>
      <w:r>
        <w:rPr>
          <w:rFonts w:ascii="仿宋_GB2312" w:eastAsia="仿宋_GB2312" w:cs="仿宋_GB2312"/>
          <w:bCs/>
          <w:sz w:val="32"/>
          <w:szCs w:val="32"/>
        </w:rPr>
        <w:t>2017</w:t>
      </w:r>
      <w:r>
        <w:rPr>
          <w:rFonts w:hint="eastAsia" w:ascii="仿宋_GB2312" w:eastAsia="仿宋_GB2312" w:cs="仿宋_GB2312"/>
          <w:bCs/>
          <w:sz w:val="32"/>
          <w:szCs w:val="32"/>
        </w:rPr>
        <w:t>年“三公”经费支出</w:t>
      </w:r>
      <w:r>
        <w:rPr>
          <w:rFonts w:ascii="仿宋_GB2312" w:eastAsia="仿宋_GB2312" w:cs="仿宋_GB2312"/>
          <w:bCs/>
          <w:sz w:val="32"/>
          <w:szCs w:val="32"/>
        </w:rPr>
        <w:t>3</w:t>
      </w:r>
      <w:r>
        <w:rPr>
          <w:rFonts w:hint="eastAsia" w:ascii="仿宋_GB2312" w:eastAsia="仿宋_GB2312" w:cs="仿宋_GB2312"/>
          <w:bCs/>
          <w:sz w:val="32"/>
          <w:szCs w:val="32"/>
        </w:rPr>
        <w:t>万元。与上年持平无变化，无增减变化。其中，因公出国（境）费</w:t>
      </w:r>
      <w:r>
        <w:rPr>
          <w:rFonts w:ascii="仿宋_GB2312" w:eastAsia="仿宋_GB2312" w:cs="仿宋_GB2312"/>
          <w:bCs/>
          <w:sz w:val="32"/>
          <w:szCs w:val="32"/>
        </w:rPr>
        <w:t>0</w:t>
      </w:r>
      <w:r>
        <w:rPr>
          <w:rFonts w:hint="eastAsia" w:ascii="仿宋_GB2312" w:eastAsia="仿宋_GB2312" w:cs="仿宋_GB2312"/>
          <w:bCs/>
          <w:sz w:val="32"/>
          <w:szCs w:val="32"/>
        </w:rPr>
        <w:t>万元；公务用车购置</w:t>
      </w:r>
      <w:r>
        <w:rPr>
          <w:rFonts w:ascii="仿宋_GB2312" w:eastAsia="仿宋_GB2312" w:cs="仿宋_GB2312"/>
          <w:bCs/>
          <w:sz w:val="32"/>
          <w:szCs w:val="32"/>
        </w:rPr>
        <w:t>0</w:t>
      </w:r>
      <w:r>
        <w:rPr>
          <w:rFonts w:hint="eastAsia" w:ascii="仿宋_GB2312" w:eastAsia="仿宋_GB2312" w:cs="仿宋_GB2312"/>
          <w:bCs/>
          <w:sz w:val="32"/>
          <w:szCs w:val="32"/>
        </w:rPr>
        <w:t>万元，公务用车运行维护费</w:t>
      </w:r>
      <w:r>
        <w:rPr>
          <w:rFonts w:ascii="仿宋_GB2312" w:eastAsia="仿宋_GB2312" w:cs="仿宋_GB2312"/>
          <w:bCs/>
          <w:sz w:val="32"/>
          <w:szCs w:val="32"/>
        </w:rPr>
        <w:t>3</w:t>
      </w:r>
      <w:r>
        <w:rPr>
          <w:rFonts w:hint="eastAsia" w:ascii="仿宋_GB2312" w:eastAsia="仿宋_GB2312" w:cs="仿宋_GB2312"/>
          <w:bCs/>
          <w:sz w:val="32"/>
          <w:szCs w:val="32"/>
        </w:rPr>
        <w:t>万元；公务接待费</w:t>
      </w:r>
      <w:r>
        <w:rPr>
          <w:rFonts w:ascii="仿宋_GB2312" w:eastAsia="仿宋_GB2312" w:cs="仿宋_GB2312"/>
          <w:bCs/>
          <w:sz w:val="32"/>
          <w:szCs w:val="32"/>
        </w:rPr>
        <w:t>0</w:t>
      </w:r>
      <w:r>
        <w:rPr>
          <w:rFonts w:hint="eastAsia" w:ascii="仿宋_GB2312" w:eastAsia="仿宋_GB2312" w:cs="仿宋_GB2312"/>
          <w:bCs/>
          <w:sz w:val="32"/>
          <w:szCs w:val="32"/>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1、负责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、人大、政协机关大院的安全保卫工作。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、人大、政协机关大院的机关食堂的管理。</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、人大、政协机关水、电、暖的供应及维修工作。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4、负责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、人大、政协机关大院的办公房屋承建及修缮管理工作。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5、负责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、人大、政协机关大院的环境卫生、美化亮化工作</w:t>
      </w:r>
    </w:p>
    <w:p>
      <w:pPr>
        <w:ind w:firstLine="560"/>
        <w:rPr>
          <w:rFonts w:ascii="楷体" w:hAnsi="楷体" w:eastAsia="楷体"/>
          <w:sz w:val="32"/>
          <w:szCs w:val="32"/>
        </w:rPr>
      </w:pPr>
      <w:r>
        <w:rPr>
          <w:rFonts w:hint="eastAsia" w:ascii="楷体" w:hAnsi="楷体" w:eastAsia="楷体"/>
          <w:sz w:val="32"/>
          <w:szCs w:val="32"/>
        </w:rPr>
        <w:t>（二）职责分类绩效目标</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1、机关办公用房管理、公务用车的统计、上报工作。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2、管理局机关网络建设、运转维护和电子政务；机关标准化建设、保密、档案以及政务接待、会务。</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tbl>
      <w:tblPr>
        <w:tblStyle w:val="4"/>
        <w:tblW w:w="13934"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430</w:t>
            </w:r>
            <w:r>
              <w:rPr>
                <w:rFonts w:hint="eastAsia" w:ascii="方正小标宋_GBK" w:eastAsia="方正小标宋_GBK"/>
                <w:sz w:val="24"/>
              </w:rPr>
              <w:t>机关事务局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sz w:val="24"/>
              </w:rPr>
            </w:pPr>
            <w:r>
              <w:rPr>
                <w:rFonts w:ascii="????_GBK" w:eastAsia="Times New Roman"/>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2341"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职责活动</w:t>
            </w:r>
          </w:p>
        </w:tc>
        <w:tc>
          <w:tcPr>
            <w:tcW w:w="12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年度预算数</w:t>
            </w:r>
          </w:p>
        </w:tc>
        <w:tc>
          <w:tcPr>
            <w:tcW w:w="29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内容描述</w:t>
            </w:r>
          </w:p>
        </w:tc>
        <w:tc>
          <w:tcPr>
            <w:tcW w:w="29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绩效目标</w:t>
            </w:r>
          </w:p>
        </w:tc>
        <w:tc>
          <w:tcPr>
            <w:tcW w:w="1417"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绩效指标</w:t>
            </w:r>
          </w:p>
        </w:tc>
        <w:tc>
          <w:tcPr>
            <w:tcW w:w="2948" w:type="dxa"/>
            <w:gridSpan w:val="4"/>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2341" w:type="dxa"/>
            <w:vMerge w:val="continue"/>
            <w:vAlign w:val="center"/>
          </w:tcPr>
          <w:p>
            <w:pPr>
              <w:spacing w:line="300" w:lineRule="exact"/>
              <w:jc w:val="left"/>
              <w:outlineLvl w:val="0"/>
              <w:rPr>
                <w:rFonts w:ascii="仿宋_GB2312" w:eastAsia="仿宋_GB2312"/>
                <w:sz w:val="32"/>
                <w:szCs w:val="32"/>
              </w:rPr>
            </w:pPr>
          </w:p>
        </w:tc>
        <w:tc>
          <w:tcPr>
            <w:tcW w:w="1276" w:type="dxa"/>
            <w:vMerge w:val="continue"/>
            <w:vAlign w:val="center"/>
          </w:tcPr>
          <w:p>
            <w:pPr>
              <w:spacing w:line="300" w:lineRule="exact"/>
              <w:jc w:val="left"/>
              <w:outlineLvl w:val="0"/>
              <w:rPr>
                <w:rFonts w:ascii="仿宋_GB2312" w:eastAsia="仿宋_GB2312"/>
                <w:sz w:val="32"/>
                <w:szCs w:val="32"/>
              </w:rPr>
            </w:pPr>
          </w:p>
        </w:tc>
        <w:tc>
          <w:tcPr>
            <w:tcW w:w="2976" w:type="dxa"/>
            <w:vMerge w:val="continue"/>
            <w:vAlign w:val="center"/>
          </w:tcPr>
          <w:p>
            <w:pPr>
              <w:spacing w:line="300" w:lineRule="exact"/>
              <w:jc w:val="left"/>
              <w:outlineLvl w:val="0"/>
              <w:rPr>
                <w:rFonts w:ascii="仿宋_GB2312" w:eastAsia="仿宋_GB2312"/>
                <w:sz w:val="32"/>
                <w:szCs w:val="32"/>
              </w:rPr>
            </w:pPr>
          </w:p>
        </w:tc>
        <w:tc>
          <w:tcPr>
            <w:tcW w:w="2976" w:type="dxa"/>
            <w:vMerge w:val="continue"/>
            <w:vAlign w:val="center"/>
          </w:tcPr>
          <w:p>
            <w:pPr>
              <w:spacing w:line="300" w:lineRule="exact"/>
              <w:jc w:val="left"/>
              <w:outlineLvl w:val="0"/>
              <w:rPr>
                <w:rFonts w:ascii="仿宋_GB2312" w:eastAsia="仿宋_GB2312"/>
                <w:sz w:val="32"/>
                <w:szCs w:val="32"/>
              </w:rPr>
            </w:pPr>
          </w:p>
        </w:tc>
        <w:tc>
          <w:tcPr>
            <w:tcW w:w="1417" w:type="dxa"/>
            <w:vMerge w:val="continue"/>
            <w:vAlign w:val="center"/>
          </w:tcPr>
          <w:p>
            <w:pPr>
              <w:spacing w:line="300" w:lineRule="exact"/>
              <w:jc w:val="left"/>
              <w:outlineLvl w:val="0"/>
              <w:rPr>
                <w:rFonts w:ascii="仿宋_GB2312" w:eastAsia="仿宋_GB2312"/>
                <w:sz w:val="32"/>
                <w:szCs w:val="32"/>
              </w:rPr>
            </w:pP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优</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良</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中</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机关事务管理</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县直房地产管理，资产、节能管理。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规范管理、合理使用县直房地产；加强县直住房改革保障管理工作；搞好县级住宅小区和统管住宅区维修服务；加强县直国有资产管理，维护国有资产安全；深入推进全县公共机构节能工作，降低运行成本，建设节约型机关。</w:t>
            </w:r>
          </w:p>
        </w:tc>
        <w:tc>
          <w:tcPr>
            <w:tcW w:w="1417" w:type="dxa"/>
            <w:vAlign w:val="center"/>
          </w:tcPr>
          <w:p>
            <w:pPr>
              <w:spacing w:line="300" w:lineRule="exact"/>
              <w:jc w:val="left"/>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restart"/>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县直房地产管理、资产、节能管理</w:t>
            </w:r>
          </w:p>
        </w:tc>
        <w:tc>
          <w:tcPr>
            <w:tcW w:w="1276" w:type="dxa"/>
            <w:vMerge w:val="restart"/>
            <w:vAlign w:val="center"/>
          </w:tcPr>
          <w:p>
            <w:pPr>
              <w:spacing w:line="300" w:lineRule="exact"/>
              <w:jc w:val="left"/>
              <w:rPr>
                <w:rFonts w:ascii="仿宋_GB2312" w:eastAsia="仿宋_GB2312"/>
                <w:sz w:val="32"/>
                <w:szCs w:val="32"/>
              </w:rPr>
            </w:pP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县直行政用房规划、建设、管理；县直房地产管理和办公用房修缮管理；县直住房改革与住房保障；县级住宅区和县直统管住宅区维修服务；重大工程项目管理。县直机关、直属（部门）事业机构和县直部门机关后勤服务中心国有资产监督管理；县直机关公务用车的配备、更新、处置工作；承担县直公务用车购置经费管理工作；县公共机构节能管理。</w:t>
            </w: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规范管理，合理使用，保障房屋安全；加强产权产籍管理和县直住房改革保障管理，确保各种设施、设备运转正常。为县直广大干部职工提供优质、高效服务。加强县直行政机关国有资产管理，维护国有资产安全和完整。深入推进全县公共机构节能工作，对既有建筑制定节能改造计划。</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公车统计报告率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公共机构节能推进率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办公用房修缮改造完成率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房地产登记率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集中供热改造完成率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综合服务保障</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县直通信保障、幼教管理；县级领导生活服务管理。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搞好各种服务保障</w:t>
            </w:r>
            <w:r>
              <w:rPr>
                <w:rFonts w:ascii="仿宋_GB2312" w:eastAsia="仿宋_GB2312"/>
                <w:sz w:val="32"/>
                <w:szCs w:val="32"/>
              </w:rPr>
              <w:t>,</w:t>
            </w:r>
            <w:r>
              <w:rPr>
                <w:rFonts w:hint="eastAsia" w:ascii="仿宋_GB2312" w:eastAsia="仿宋_GB2312"/>
                <w:sz w:val="32"/>
                <w:szCs w:val="32"/>
              </w:rPr>
              <w:t>确保通信畅通</w:t>
            </w:r>
            <w:r>
              <w:rPr>
                <w:rFonts w:ascii="仿宋_GB2312" w:eastAsia="仿宋_GB2312"/>
                <w:sz w:val="32"/>
                <w:szCs w:val="32"/>
              </w:rPr>
              <w:t>,</w:t>
            </w:r>
            <w:r>
              <w:rPr>
                <w:rFonts w:hint="eastAsia" w:ascii="仿宋_GB2312" w:eastAsia="仿宋_GB2312"/>
                <w:sz w:val="32"/>
                <w:szCs w:val="32"/>
              </w:rPr>
              <w:t>幼教管理高标准、服务周到。</w:t>
            </w:r>
          </w:p>
        </w:tc>
        <w:tc>
          <w:tcPr>
            <w:tcW w:w="1417" w:type="dxa"/>
            <w:vAlign w:val="center"/>
          </w:tcPr>
          <w:p>
            <w:pPr>
              <w:spacing w:line="300" w:lineRule="exact"/>
              <w:jc w:val="left"/>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restart"/>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县直通信管理和保障</w:t>
            </w:r>
          </w:p>
        </w:tc>
        <w:tc>
          <w:tcPr>
            <w:tcW w:w="1276" w:type="dxa"/>
            <w:vMerge w:val="restart"/>
            <w:vAlign w:val="center"/>
          </w:tcPr>
          <w:p>
            <w:pPr>
              <w:spacing w:line="300" w:lineRule="exact"/>
              <w:jc w:val="left"/>
              <w:rPr>
                <w:rFonts w:ascii="仿宋_GB2312" w:eastAsia="仿宋_GB2312"/>
                <w:sz w:val="32"/>
                <w:szCs w:val="32"/>
              </w:rPr>
            </w:pP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负责县委、县人大常委会、县政府、县政协、县法院、县检察院机关及部分县直单位的通信管理和保障工作。承担县级领导一号台通信保障。负责线路维修和通信综合楼管理。</w:t>
            </w: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提升一号台功能建设，扩大服务范围；加强线路改造；完善、拓展县直通信固话、宽带网络建设；确保通信联络畅通。</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一号台通信畅通率</w:t>
            </w:r>
          </w:p>
        </w:tc>
        <w:tc>
          <w:tcPr>
            <w:tcW w:w="737" w:type="dxa"/>
            <w:vAlign w:val="center"/>
          </w:tcPr>
          <w:p>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lang w:eastAsia="zh-CN"/>
              </w:rPr>
              <w:t>通讯</w:t>
            </w:r>
            <w:r>
              <w:rPr>
                <w:rFonts w:hint="eastAsia" w:ascii="仿宋_GB2312" w:eastAsia="仿宋_GB2312"/>
                <w:sz w:val="32"/>
                <w:szCs w:val="32"/>
              </w:rPr>
              <w:t>网络故障率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0.3%</w:t>
            </w: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县级领导生活服务管理</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县级领导同志、已退出领导岗位的县级领导同志及有关服务对象的生活服务管理。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进一步提高生活服务管理水平，让领导满意。</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领导满意率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政务管理</w:t>
            </w:r>
          </w:p>
        </w:tc>
        <w:tc>
          <w:tcPr>
            <w:tcW w:w="1276" w:type="dxa"/>
            <w:vAlign w:val="center"/>
          </w:tcPr>
          <w:p>
            <w:pPr>
              <w:spacing w:line="300" w:lineRule="exact"/>
              <w:jc w:val="left"/>
              <w:rPr>
                <w:rFonts w:ascii="仿宋_GB2312" w:eastAsia="仿宋_GB2312"/>
                <w:sz w:val="32"/>
                <w:szCs w:val="32"/>
              </w:rPr>
            </w:pPr>
            <w:r>
              <w:rPr>
                <w:rFonts w:ascii="仿宋_GB2312" w:eastAsia="仿宋_GB2312"/>
                <w:sz w:val="32"/>
                <w:szCs w:val="32"/>
              </w:rPr>
              <w:t>236.69</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承担系统综合业务管理和部门综合事务管理。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促进全县机关事务管理工作科学发展。</w:t>
            </w:r>
          </w:p>
        </w:tc>
        <w:tc>
          <w:tcPr>
            <w:tcW w:w="1417" w:type="dxa"/>
            <w:vAlign w:val="center"/>
          </w:tcPr>
          <w:p>
            <w:pPr>
              <w:spacing w:line="300" w:lineRule="exact"/>
              <w:jc w:val="left"/>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综合业务管理</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指导全县机关后勤工作；开展全县机关事务工作人员业务培训；按规定对县直机关事业单位工人岗位技术等级考核；指导、协调县直机关事业单位绿化、爱国卫生、交通安全、环境综合整治等社会事务。</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推进全县机关事务管理工作科学发展；提高管理、保障、服务水平；协调推进改革进程，理顺全县机关事务管理工作体制。</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综合业务管理工作完成率</w:t>
            </w:r>
          </w:p>
        </w:tc>
        <w:tc>
          <w:tcPr>
            <w:tcW w:w="737" w:type="dxa"/>
            <w:vAlign w:val="center"/>
          </w:tcPr>
          <w:p>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综合事务管理</w:t>
            </w:r>
          </w:p>
        </w:tc>
        <w:tc>
          <w:tcPr>
            <w:tcW w:w="1276" w:type="dxa"/>
            <w:vAlign w:val="center"/>
          </w:tcPr>
          <w:p>
            <w:pPr>
              <w:spacing w:line="300" w:lineRule="exact"/>
              <w:jc w:val="left"/>
              <w:rPr>
                <w:rFonts w:ascii="仿宋_GB2312" w:eastAsia="仿宋_GB2312"/>
                <w:sz w:val="32"/>
                <w:szCs w:val="32"/>
              </w:rPr>
            </w:pPr>
            <w:r>
              <w:rPr>
                <w:rFonts w:ascii="仿宋_GB2312" w:eastAsia="仿宋_GB2312"/>
                <w:sz w:val="32"/>
                <w:szCs w:val="32"/>
              </w:rPr>
              <w:t>236.69</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管理局机关网络建设、运转维护和电子政务；机关标准化建设、保密、档案以及政务接待、会务。办公楼物业管理和机关食堂管理；机关办公楼修缮、供水、供电、供暖以及机关环境绿化美化、卫生保洁、安全保卫。离退休干部慰问。党组织活动。机关事业单位财务管理工作及内部审计工作。</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提高人员素质；推进县直机关事业单位办公环境改善。搞好服务保障，为广大干部职工提供安全、快捷、细致、周到的工作环境；加强财务管理，确保资金安全，提高财政资金使用效益。</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综合事务管理工作完成率</w:t>
            </w:r>
          </w:p>
        </w:tc>
        <w:tc>
          <w:tcPr>
            <w:tcW w:w="737" w:type="dxa"/>
            <w:vAlign w:val="center"/>
          </w:tcPr>
          <w:p>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ascii="仿宋_GB2312" w:eastAsia="仿宋_GB2312"/>
          <w:sz w:val="30"/>
          <w:szCs w:val="30"/>
        </w:rPr>
        <w:t>2017</w:t>
      </w:r>
      <w:r>
        <w:rPr>
          <w:rFonts w:hint="eastAsia" w:ascii="仿宋_GB2312" w:eastAsia="仿宋_GB2312"/>
          <w:sz w:val="30"/>
          <w:szCs w:val="30"/>
        </w:rPr>
        <w:t>年我部门安排政府采购预算</w:t>
      </w:r>
      <w:r>
        <w:rPr>
          <w:rFonts w:ascii="仿宋_GB2312" w:eastAsia="仿宋_GB2312"/>
          <w:sz w:val="30"/>
          <w:szCs w:val="30"/>
        </w:rPr>
        <w:t>0</w:t>
      </w:r>
      <w:r>
        <w:rPr>
          <w:rFonts w:hint="eastAsia" w:ascii="仿宋_GB2312" w:eastAsia="仿宋_GB2312"/>
          <w:sz w:val="30"/>
          <w:szCs w:val="30"/>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 w:eastAsia="仿宋_GB2312" w:cs="仿宋"/>
          <w:sz w:val="32"/>
          <w:szCs w:val="32"/>
        </w:rPr>
      </w:pPr>
      <w:r>
        <w:rPr>
          <w:rFonts w:hint="eastAsia" w:ascii="仿宋_GB2312" w:hAnsi="仿宋" w:eastAsia="仿宋_GB2312" w:cs="仿宋"/>
          <w:sz w:val="32"/>
          <w:szCs w:val="32"/>
        </w:rPr>
        <w:t>无极县机关事务管理局上年末固定资产金额为</w:t>
      </w:r>
      <w:r>
        <w:rPr>
          <w:rFonts w:ascii="仿宋_GB2312" w:hAnsi="仿宋" w:eastAsia="仿宋_GB2312" w:cs="仿宋"/>
          <w:sz w:val="32"/>
          <w:szCs w:val="32"/>
        </w:rPr>
        <w:t xml:space="preserve"> 97.8</w:t>
      </w:r>
      <w:r>
        <w:rPr>
          <w:rFonts w:hint="eastAsia" w:ascii="仿宋_GB2312" w:hAnsi="仿宋" w:eastAsia="仿宋_GB2312" w:cs="仿宋"/>
          <w:sz w:val="32"/>
          <w:szCs w:val="32"/>
        </w:rPr>
        <w:t>万元（详见下表）。本年度拟购置固定资产金额为</w:t>
      </w:r>
      <w:r>
        <w:rPr>
          <w:rFonts w:ascii="仿宋_GB2312" w:hAnsi="仿宋" w:eastAsia="仿宋_GB2312" w:cs="仿宋"/>
          <w:sz w:val="32"/>
          <w:szCs w:val="32"/>
        </w:rPr>
        <w:t>0</w:t>
      </w:r>
      <w:r>
        <w:rPr>
          <w:rFonts w:hint="eastAsia" w:ascii="仿宋_GB2312" w:hAnsi="仿宋" w:eastAsia="仿宋_GB2312" w:cs="仿宋"/>
          <w:sz w:val="32"/>
          <w:szCs w:val="32"/>
        </w:rPr>
        <w:t>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无极县机关事务管理局固定资产占用情况表</w:t>
      </w:r>
    </w:p>
    <w:tbl>
      <w:tblPr>
        <w:tblStyle w:val="4"/>
        <w:tblW w:w="10410" w:type="dxa"/>
        <w:tblInd w:w="1001" w:type="dxa"/>
        <w:tblLayout w:type="fixed"/>
        <w:tblCellMar>
          <w:top w:w="0" w:type="dxa"/>
          <w:left w:w="108" w:type="dxa"/>
          <w:bottom w:w="0" w:type="dxa"/>
          <w:right w:w="108" w:type="dxa"/>
        </w:tblCellMar>
      </w:tblPr>
      <w:tblGrid>
        <w:gridCol w:w="3315"/>
        <w:gridCol w:w="2055"/>
        <w:gridCol w:w="5040"/>
      </w:tblGrid>
      <w:tr>
        <w:tblPrEx>
          <w:tblCellMar>
            <w:top w:w="0" w:type="dxa"/>
            <w:left w:w="108" w:type="dxa"/>
            <w:bottom w:w="0" w:type="dxa"/>
            <w:right w:w="108" w:type="dxa"/>
          </w:tblCellMar>
        </w:tblPrEx>
        <w:trPr>
          <w:trHeight w:val="510" w:hRule="atLeast"/>
        </w:trPr>
        <w:tc>
          <w:tcPr>
            <w:tcW w:w="5370" w:type="dxa"/>
            <w:gridSpan w:val="2"/>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编制部门：</w:t>
            </w:r>
            <w:r>
              <w:rPr>
                <w:rFonts w:hint="eastAsia" w:cs="宋体"/>
              </w:rPr>
              <w:t>无极县机关事务局</w:t>
            </w:r>
          </w:p>
        </w:tc>
        <w:tc>
          <w:tcPr>
            <w:tcW w:w="5040" w:type="dxa"/>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截止时间：</w:t>
            </w:r>
            <w:r>
              <w:rPr>
                <w:rFonts w:ascii="宋体" w:hAnsi="宋体" w:cs="宋体"/>
                <w:kern w:val="0"/>
                <w:sz w:val="22"/>
              </w:rPr>
              <w:t>2016</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502" w:hRule="atLeast"/>
        </w:trPr>
        <w:tc>
          <w:tcPr>
            <w:tcW w:w="33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05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数量</w:t>
            </w:r>
          </w:p>
        </w:tc>
        <w:tc>
          <w:tcPr>
            <w:tcW w:w="504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458" w:hRule="atLeast"/>
        </w:trPr>
        <w:tc>
          <w:tcPr>
            <w:tcW w:w="3315"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rPr>
            </w:pPr>
            <w:r>
              <w:rPr>
                <w:rFonts w:hint="eastAsia" w:ascii="宋体" w:hAnsi="宋体" w:cs="宋体"/>
                <w:kern w:val="0"/>
                <w:sz w:val="22"/>
              </w:rPr>
              <w:t>资产总额</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97.8</w:t>
            </w:r>
          </w:p>
        </w:tc>
      </w:tr>
      <w:tr>
        <w:tblPrEx>
          <w:tblCellMar>
            <w:top w:w="0" w:type="dxa"/>
            <w:left w:w="108" w:type="dxa"/>
            <w:bottom w:w="0" w:type="dxa"/>
            <w:right w:w="108" w:type="dxa"/>
          </w:tblCellMar>
        </w:tblPrEx>
        <w:trPr>
          <w:trHeight w:val="560"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1</w:t>
            </w:r>
            <w:r>
              <w:rPr>
                <w:rFonts w:hint="eastAsia" w:ascii="宋体" w:hAnsi="宋体" w:cs="宋体"/>
                <w:kern w:val="0"/>
                <w:sz w:val="22"/>
              </w:rPr>
              <w:t>、房屋（平方米）</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54"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62"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2</w:t>
            </w:r>
            <w:r>
              <w:rPr>
                <w:rFonts w:hint="eastAsia" w:ascii="宋体" w:hAnsi="宋体" w:cs="宋体"/>
                <w:kern w:val="0"/>
                <w:sz w:val="22"/>
              </w:rPr>
              <w:t>、车辆（台、辆）</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4</w:t>
            </w:r>
            <w:r>
              <w:rPr>
                <w:rFonts w:hint="eastAsia" w:ascii="宋体" w:hAnsi="宋体" w:cs="宋体"/>
                <w:kern w:val="0"/>
                <w:sz w:val="22"/>
              </w:rPr>
              <w:t>、其他固定资产</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97.8</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ind w:firstLine="720"/>
        <w:rPr>
          <w:rFonts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ind w:firstLine="720"/>
        <w:rPr>
          <w:rFonts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Batang">
    <w:panose1 w:val="02030600000101010101"/>
    <w:charset w:val="81"/>
    <w:family w:val="roman"/>
    <w:pitch w:val="default"/>
    <w:sig w:usb0="B00002AF" w:usb1="69D77CFB" w:usb2="00000030" w:usb3="00000000" w:csb0="4008009F" w:csb1="DFD70000"/>
  </w:font>
  <w:font w:name="方正小标宋_GBK">
    <w:altName w:val="微软雅黑"/>
    <w:panose1 w:val="02000000000000000000"/>
    <w:charset w:val="86"/>
    <w:family w:val="auto"/>
    <w:pitch w:val="default"/>
    <w:sig w:usb0="00000000" w:usb1="00000000" w:usb2="00000000" w:usb3="00000000" w:csb0="00040000" w:csb1="00000000"/>
  </w:font>
  <w:font w:name="????_GBK">
    <w:altName w:val="Segoe Print"/>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775D"/>
    <w:rsid w:val="0097775D"/>
    <w:rsid w:val="00B35A73"/>
    <w:rsid w:val="00FD2A7F"/>
    <w:rsid w:val="586775E9"/>
    <w:rsid w:val="F7D5AE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0"/>
    <w:pPr>
      <w:ind w:firstLine="420" w:firstLineChars="200"/>
    </w:pPr>
  </w:style>
  <w:style w:type="paragraph" w:customStyle="1" w:styleId="7">
    <w:name w:val="[Normal]"/>
    <w:qFormat/>
    <w:uiPriority w:val="0"/>
    <w:rPr>
      <w:rFonts w:ascii="宋体" w:hAnsi="Times New Roman" w:eastAsia="宋体" w:cs="Calibri"/>
      <w:sz w:val="24"/>
      <w:lang w:val="en-US" w:eastAsia="en-US" w:bidi="ar-SA"/>
    </w:rPr>
  </w:style>
  <w:style w:type="character" w:customStyle="1" w:styleId="8">
    <w:name w:val="页眉 Char"/>
    <w:link w:val="3"/>
    <w:semiHidden/>
    <w:qFormat/>
    <w:uiPriority w:val="0"/>
    <w:rPr>
      <w:rFonts w:ascii="Times New Roman" w:hAnsi="Times New Roman" w:eastAsia="宋体" w:cs="Times New Roman"/>
      <w:sz w:val="18"/>
      <w:szCs w:val="18"/>
    </w:rPr>
  </w:style>
  <w:style w:type="character" w:customStyle="1" w:styleId="9">
    <w:name w:val="页脚 Char"/>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554</Words>
  <Characters>3159</Characters>
  <Lines>26</Lines>
  <Paragraphs>7</Paragraphs>
  <TotalTime>2</TotalTime>
  <ScaleCrop>false</ScaleCrop>
  <LinksUpToDate>false</LinksUpToDate>
  <CharactersWithSpaces>3706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Administrator</cp:lastModifiedBy>
  <dcterms:modified xsi:type="dcterms:W3CDTF">2024-01-31T02:27:58Z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E7730E05746E2332214796657084CE48</vt:lpwstr>
  </property>
</Properties>
</file>