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center"/>
        <w:rPr>
          <w:rFonts w:ascii="宋体" w:cs="宋体"/>
          <w:sz w:val="44"/>
          <w:szCs w:val="44"/>
        </w:rPr>
      </w:pPr>
      <w:bookmarkStart w:id="3" w:name="_GoBack"/>
      <w:bookmarkEnd w:id="3"/>
      <w:r>
        <w:rPr>
          <w:rFonts w:hint="eastAsia" w:ascii="宋体" w:hAnsi="宋体" w:cs="宋体"/>
          <w:sz w:val="44"/>
          <w:szCs w:val="44"/>
        </w:rPr>
        <w:t>无极镇人民政府</w:t>
      </w:r>
    </w:p>
    <w:p>
      <w:pPr>
        <w:adjustRightInd w:val="0"/>
        <w:snapToGrid w:val="0"/>
        <w:jc w:val="center"/>
        <w:rPr>
          <w:rFonts w:ascii="宋体" w:cs="宋体"/>
          <w:sz w:val="44"/>
          <w:szCs w:val="44"/>
        </w:rPr>
      </w:pPr>
      <w:r>
        <w:rPr>
          <w:rFonts w:ascii="宋体" w:hAnsi="宋体" w:cs="宋体"/>
          <w:sz w:val="44"/>
          <w:szCs w:val="44"/>
        </w:rPr>
        <w:t>2020</w:t>
      </w:r>
      <w:r>
        <w:rPr>
          <w:rFonts w:hint="eastAsia" w:ascii="宋体" w:hAnsi="宋体" w:cs="宋体"/>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仿宋_GB2312" w:hAnsi="Times New Roman" w:eastAsia="仿宋_GB2312" w:cs="Times New Roman"/>
          <w:sz w:val="32"/>
          <w:szCs w:val="32"/>
        </w:rPr>
      </w:pPr>
      <w:r>
        <w:rPr>
          <w:rFonts w:hint="eastAsia" w:ascii="仿宋_GB2312" w:hAnsi="Times New Roman" w:eastAsia="仿宋_GB2312" w:cs="仿宋_GB2312"/>
          <w:sz w:val="32"/>
          <w:szCs w:val="32"/>
        </w:rPr>
        <w:t>按照《预算法》、《地方预决算公开操作规程》和《河北省县级预算公开办法》规定，现将</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adjustRightInd w:val="0"/>
        <w:snapToGrid w:val="0"/>
        <w:spacing w:line="560" w:lineRule="exact"/>
        <w:ind w:left="630"/>
        <w:jc w:val="left"/>
        <w:rPr>
          <w:rFonts w:ascii="仿宋" w:hAnsi="仿宋" w:eastAsia="仿宋" w:cs="Times New Roman"/>
          <w:b/>
          <w:bCs/>
          <w:sz w:val="32"/>
          <w:szCs w:val="32"/>
        </w:rPr>
      </w:pPr>
      <w:r>
        <w:rPr>
          <w:rFonts w:hint="eastAsia" w:ascii="仿宋" w:hAnsi="仿宋" w:eastAsia="仿宋" w:cs="仿宋"/>
          <w:b/>
          <w:bCs/>
          <w:sz w:val="32"/>
          <w:szCs w:val="32"/>
        </w:rPr>
        <w:t>（一）部门职责</w:t>
      </w:r>
    </w:p>
    <w:p>
      <w:pPr>
        <w:adjustRightInd w:val="0"/>
        <w:snapToGrid w:val="0"/>
        <w:spacing w:line="560" w:lineRule="exact"/>
        <w:ind w:firstLine="627" w:firstLineChars="196"/>
        <w:jc w:val="left"/>
        <w:rPr>
          <w:rFonts w:ascii="仿宋_GB2312" w:hAnsi="仿宋" w:eastAsia="仿宋_GB2312" w:cs="仿宋_GB2312"/>
          <w:sz w:val="32"/>
          <w:szCs w:val="32"/>
        </w:rPr>
      </w:pPr>
      <w:r>
        <w:rPr>
          <w:rFonts w:hint="eastAsia" w:ascii="仿宋_GB2312" w:hAnsi="仿宋" w:eastAsia="仿宋_GB2312" w:cs="仿宋_GB2312"/>
          <w:sz w:val="32"/>
          <w:szCs w:val="32"/>
        </w:rPr>
        <w:t>宣传、贯彻、执行党的路线方针政策和国家的法律、法规</w:t>
      </w:r>
      <w:r>
        <w:rPr>
          <w:rFonts w:ascii="仿宋_GB2312" w:hAnsi="仿宋" w:eastAsia="仿宋_GB2312" w:cs="仿宋_GB2312"/>
          <w:sz w:val="32"/>
          <w:szCs w:val="32"/>
        </w:rPr>
        <w:t>,</w:t>
      </w:r>
      <w:r>
        <w:rPr>
          <w:rFonts w:hint="eastAsia" w:ascii="仿宋_GB2312" w:hAnsi="仿宋" w:eastAsia="仿宋_GB2312" w:cs="仿宋_GB2312"/>
          <w:sz w:val="32"/>
          <w:szCs w:val="32"/>
        </w:rPr>
        <w:t>执行本级人民代表大会的决议和上级国家行政机关的决定和命令</w:t>
      </w:r>
      <w:r>
        <w:rPr>
          <w:rFonts w:ascii="仿宋_GB2312" w:hAnsi="仿宋" w:eastAsia="仿宋_GB2312" w:cs="仿宋_GB2312"/>
          <w:sz w:val="32"/>
          <w:szCs w:val="32"/>
        </w:rPr>
        <w:t>,</w:t>
      </w:r>
      <w:r>
        <w:rPr>
          <w:rFonts w:hint="eastAsia" w:ascii="仿宋_GB2312" w:hAnsi="仿宋" w:eastAsia="仿宋_GB2312" w:cs="仿宋_GB2312"/>
          <w:sz w:val="32"/>
          <w:szCs w:val="32"/>
        </w:rPr>
        <w:t>其主要职能为</w:t>
      </w:r>
      <w:r>
        <w:rPr>
          <w:rFonts w:ascii="仿宋_GB2312" w:hAnsi="仿宋" w:eastAsia="仿宋_GB2312" w:cs="仿宋_GB2312"/>
          <w:sz w:val="32"/>
          <w:szCs w:val="32"/>
        </w:rPr>
        <w:t>:</w:t>
      </w:r>
    </w:p>
    <w:p>
      <w:pPr>
        <w:numPr>
          <w:ilvl w:val="0"/>
          <w:numId w:val="1"/>
        </w:numPr>
        <w:adjustRightInd w:val="0"/>
        <w:snapToGrid w:val="0"/>
        <w:spacing w:line="560" w:lineRule="exact"/>
        <w:jc w:val="left"/>
        <w:rPr>
          <w:rFonts w:ascii="仿宋_GB2312" w:hAnsi="仿宋" w:eastAsia="仿宋_GB2312" w:cs="Times New Roman"/>
          <w:sz w:val="32"/>
          <w:szCs w:val="32"/>
        </w:rPr>
      </w:pPr>
      <w:r>
        <w:rPr>
          <w:rFonts w:hint="eastAsia" w:ascii="仿宋_GB2312" w:hAnsi="仿宋" w:eastAsia="仿宋_GB2312" w:cs="仿宋_GB2312"/>
          <w:sz w:val="32"/>
          <w:szCs w:val="32"/>
        </w:rPr>
        <w:t>促进经济发展</w:t>
      </w:r>
    </w:p>
    <w:p>
      <w:pPr>
        <w:adjustRightInd w:val="0"/>
        <w:snapToGrid w:val="0"/>
        <w:spacing w:line="560" w:lineRule="exact"/>
        <w:ind w:firstLine="640" w:firstLineChars="200"/>
        <w:jc w:val="left"/>
        <w:rPr>
          <w:rFonts w:ascii="仿宋_GB2312" w:hAnsi="仿宋" w:eastAsia="仿宋_GB2312" w:cs="Times New Roman"/>
          <w:sz w:val="32"/>
          <w:szCs w:val="32"/>
        </w:rPr>
      </w:pPr>
      <w:r>
        <w:rPr>
          <w:rFonts w:hint="eastAsia" w:ascii="仿宋_GB2312" w:hAnsi="仿宋" w:eastAsia="仿宋_GB2312" w:cs="仿宋_GB2312"/>
          <w:sz w:val="32"/>
          <w:szCs w:val="32"/>
        </w:rPr>
        <w:t>主要包括</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1</w:t>
      </w:r>
      <w:r>
        <w:rPr>
          <w:rFonts w:hint="eastAsia" w:ascii="仿宋_GB2312" w:hAnsi="仿宋" w:eastAsia="仿宋_GB2312" w:cs="仿宋_GB2312"/>
          <w:sz w:val="32"/>
          <w:szCs w:val="32"/>
        </w:rPr>
        <w:t>）搞好本乡镇产业发展规划</w:t>
      </w:r>
      <w:r>
        <w:rPr>
          <w:rFonts w:ascii="仿宋_GB2312" w:hAnsi="仿宋" w:eastAsia="仿宋_GB2312" w:cs="仿宋_GB2312"/>
          <w:sz w:val="32"/>
          <w:szCs w:val="32"/>
        </w:rPr>
        <w:t>,</w:t>
      </w:r>
      <w:r>
        <w:rPr>
          <w:rFonts w:hint="eastAsia" w:ascii="仿宋_GB2312" w:hAnsi="仿宋" w:eastAsia="仿宋_GB2312" w:cs="仿宋_GB2312"/>
          <w:sz w:val="32"/>
          <w:szCs w:val="32"/>
        </w:rPr>
        <w:t>引导农民立足自身资源和区位条件</w:t>
      </w:r>
      <w:r>
        <w:rPr>
          <w:rFonts w:ascii="仿宋_GB2312" w:hAnsi="仿宋" w:eastAsia="仿宋_GB2312" w:cs="仿宋_GB2312"/>
          <w:sz w:val="32"/>
          <w:szCs w:val="32"/>
        </w:rPr>
        <w:t>,</w:t>
      </w:r>
      <w:r>
        <w:rPr>
          <w:rFonts w:hint="eastAsia" w:ascii="仿宋_GB2312" w:hAnsi="仿宋" w:eastAsia="仿宋_GB2312" w:cs="仿宋_GB2312"/>
          <w:sz w:val="32"/>
          <w:szCs w:val="32"/>
        </w:rPr>
        <w:t>发展优势</w:t>
      </w:r>
      <w:r>
        <w:rPr>
          <w:rFonts w:ascii="仿宋_GB2312" w:hAnsi="仿宋" w:eastAsia="仿宋_GB2312" w:cs="仿宋_GB2312"/>
          <w:sz w:val="32"/>
          <w:szCs w:val="32"/>
        </w:rPr>
        <w:t>,</w:t>
      </w:r>
      <w:r>
        <w:rPr>
          <w:rFonts w:hint="eastAsia" w:ascii="仿宋_GB2312" w:hAnsi="仿宋" w:eastAsia="仿宋_GB2312" w:cs="仿宋_GB2312"/>
          <w:sz w:val="32"/>
          <w:szCs w:val="32"/>
        </w:rPr>
        <w:t>大力发展区域特色经济。为农民提供政策、信息等服务</w:t>
      </w:r>
      <w:r>
        <w:rPr>
          <w:rFonts w:ascii="仿宋_GB2312" w:hAnsi="仿宋" w:eastAsia="仿宋_GB2312" w:cs="仿宋_GB2312"/>
          <w:sz w:val="32"/>
          <w:szCs w:val="32"/>
        </w:rPr>
        <w:t>,</w:t>
      </w:r>
      <w:r>
        <w:rPr>
          <w:rFonts w:hint="eastAsia" w:ascii="仿宋_GB2312" w:hAnsi="仿宋" w:eastAsia="仿宋_GB2312" w:cs="仿宋_GB2312"/>
          <w:sz w:val="32"/>
          <w:szCs w:val="32"/>
        </w:rPr>
        <w:t>促进农民脱贫致富。（</w:t>
      </w:r>
      <w:r>
        <w:rPr>
          <w:rFonts w:ascii="仿宋_GB2312" w:hAnsi="仿宋" w:eastAsia="仿宋_GB2312" w:cs="仿宋_GB2312"/>
          <w:sz w:val="32"/>
          <w:szCs w:val="32"/>
        </w:rPr>
        <w:t>2</w:t>
      </w:r>
      <w:r>
        <w:rPr>
          <w:rFonts w:hint="eastAsia" w:ascii="仿宋_GB2312" w:hAnsi="仿宋" w:eastAsia="仿宋_GB2312" w:cs="仿宋_GB2312"/>
          <w:sz w:val="32"/>
          <w:szCs w:val="32"/>
        </w:rPr>
        <w:t>）加强工业经济管理</w:t>
      </w:r>
      <w:r>
        <w:rPr>
          <w:rFonts w:ascii="仿宋_GB2312" w:hAnsi="仿宋" w:eastAsia="仿宋_GB2312" w:cs="仿宋_GB2312"/>
          <w:sz w:val="32"/>
          <w:szCs w:val="32"/>
        </w:rPr>
        <w:t>,</w:t>
      </w:r>
      <w:r>
        <w:rPr>
          <w:rFonts w:hint="eastAsia" w:ascii="仿宋_GB2312" w:hAnsi="仿宋" w:eastAsia="仿宋_GB2312" w:cs="仿宋_GB2312"/>
          <w:sz w:val="32"/>
          <w:szCs w:val="32"/>
        </w:rPr>
        <w:t>为招商引资营造良好环境</w:t>
      </w:r>
      <w:r>
        <w:rPr>
          <w:rFonts w:ascii="仿宋_GB2312" w:hAnsi="仿宋" w:eastAsia="仿宋_GB2312" w:cs="仿宋_GB2312"/>
          <w:sz w:val="32"/>
          <w:szCs w:val="32"/>
        </w:rPr>
        <w:t>(</w:t>
      </w:r>
      <w:r>
        <w:rPr>
          <w:rFonts w:hint="eastAsia" w:ascii="仿宋_GB2312" w:hAnsi="仿宋" w:eastAsia="仿宋_GB2312" w:cs="仿宋_GB2312"/>
          <w:sz w:val="32"/>
          <w:szCs w:val="32"/>
        </w:rPr>
        <w:t>投资环境、社会环境</w:t>
      </w:r>
      <w:r>
        <w:rPr>
          <w:rFonts w:ascii="仿宋_GB2312" w:hAnsi="仿宋" w:eastAsia="仿宋_GB2312" w:cs="仿宋_GB2312"/>
          <w:sz w:val="32"/>
          <w:szCs w:val="32"/>
        </w:rPr>
        <w:t>)</w:t>
      </w:r>
      <w:r>
        <w:rPr>
          <w:rFonts w:hint="eastAsia" w:ascii="仿宋_GB2312" w:hAnsi="仿宋" w:eastAsia="仿宋_GB2312" w:cs="仿宋_GB2312"/>
          <w:sz w:val="32"/>
          <w:szCs w:val="32"/>
        </w:rPr>
        <w:t>大力发展第二、第三产业</w:t>
      </w:r>
      <w:r>
        <w:rPr>
          <w:rFonts w:ascii="仿宋_GB2312" w:hAnsi="仿宋" w:eastAsia="仿宋_GB2312" w:cs="仿宋_GB2312"/>
          <w:sz w:val="32"/>
          <w:szCs w:val="32"/>
        </w:rPr>
        <w:t>,</w:t>
      </w:r>
      <w:r>
        <w:rPr>
          <w:rFonts w:hint="eastAsia" w:ascii="仿宋_GB2312" w:hAnsi="仿宋" w:eastAsia="仿宋_GB2312" w:cs="仿宋_GB2312"/>
          <w:sz w:val="32"/>
          <w:szCs w:val="32"/>
        </w:rPr>
        <w:t>加快城镇化进程</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3</w:t>
      </w:r>
      <w:r>
        <w:rPr>
          <w:rFonts w:hint="eastAsia" w:ascii="仿宋_GB2312" w:hAnsi="仿宋" w:eastAsia="仿宋_GB2312" w:cs="仿宋_GB2312"/>
          <w:sz w:val="32"/>
          <w:szCs w:val="32"/>
        </w:rPr>
        <w:t>）配合民政、商务和供销社等部门</w:t>
      </w:r>
      <w:r>
        <w:rPr>
          <w:rFonts w:ascii="仿宋_GB2312" w:hAnsi="仿宋" w:eastAsia="仿宋_GB2312" w:cs="仿宋_GB2312"/>
          <w:sz w:val="32"/>
          <w:szCs w:val="32"/>
        </w:rPr>
        <w:t>,</w:t>
      </w:r>
      <w:r>
        <w:rPr>
          <w:rFonts w:hint="eastAsia" w:ascii="仿宋_GB2312" w:hAnsi="仿宋" w:eastAsia="仿宋_GB2312" w:cs="仿宋_GB2312"/>
          <w:sz w:val="32"/>
          <w:szCs w:val="32"/>
        </w:rPr>
        <w:t>培育和发展农村经济合作组织</w:t>
      </w:r>
      <w:r>
        <w:rPr>
          <w:rFonts w:ascii="仿宋_GB2312" w:hAnsi="仿宋" w:eastAsia="仿宋_GB2312" w:cs="仿宋_GB2312"/>
          <w:sz w:val="32"/>
          <w:szCs w:val="32"/>
        </w:rPr>
        <w:t>(</w:t>
      </w:r>
      <w:r>
        <w:rPr>
          <w:rFonts w:hint="eastAsia" w:ascii="仿宋_GB2312" w:hAnsi="仿宋" w:eastAsia="仿宋_GB2312" w:cs="仿宋_GB2312"/>
          <w:sz w:val="32"/>
          <w:szCs w:val="32"/>
        </w:rPr>
        <w:t>各种协会及中介组织</w:t>
      </w:r>
      <w:r>
        <w:rPr>
          <w:rFonts w:ascii="仿宋_GB2312" w:hAnsi="仿宋" w:eastAsia="仿宋_GB2312" w:cs="仿宋_GB2312"/>
          <w:sz w:val="32"/>
          <w:szCs w:val="32"/>
        </w:rPr>
        <w:t>);</w:t>
      </w:r>
      <w:r>
        <w:rPr>
          <w:rFonts w:hint="eastAsia" w:ascii="仿宋_GB2312" w:hAnsi="仿宋" w:eastAsia="仿宋_GB2312" w:cs="仿宋_GB2312"/>
          <w:sz w:val="32"/>
          <w:szCs w:val="32"/>
        </w:rPr>
        <w:t>配合农口部门做好农业技术推广和服务工作</w:t>
      </w:r>
    </w:p>
    <w:p>
      <w:pPr>
        <w:adjustRightInd w:val="0"/>
        <w:snapToGrid w:val="0"/>
        <w:spacing w:line="560" w:lineRule="exact"/>
        <w:ind w:firstLine="627" w:firstLineChars="196"/>
        <w:jc w:val="left"/>
        <w:rPr>
          <w:rFonts w:ascii="仿宋_GB2312" w:hAnsi="仿宋" w:eastAsia="仿宋_GB2312" w:cs="Times New Roman"/>
          <w:sz w:val="32"/>
          <w:szCs w:val="32"/>
        </w:rPr>
      </w:pPr>
      <w:r>
        <w:rPr>
          <w:rFonts w:ascii="仿宋_GB2312" w:hAnsi="仿宋" w:eastAsia="仿宋_GB2312" w:cs="仿宋_GB2312"/>
          <w:sz w:val="32"/>
          <w:szCs w:val="32"/>
        </w:rPr>
        <w:t>2.</w:t>
      </w:r>
      <w:r>
        <w:rPr>
          <w:rFonts w:hint="eastAsia" w:ascii="仿宋_GB2312" w:hAnsi="仿宋" w:eastAsia="仿宋_GB2312" w:cs="仿宋_GB2312"/>
          <w:sz w:val="32"/>
          <w:szCs w:val="32"/>
        </w:rPr>
        <w:t>加强社会管理</w:t>
      </w:r>
    </w:p>
    <w:p>
      <w:pPr>
        <w:adjustRightInd w:val="0"/>
        <w:snapToGrid w:val="0"/>
        <w:spacing w:line="560" w:lineRule="exact"/>
        <w:ind w:firstLine="627" w:firstLineChars="196"/>
        <w:jc w:val="left"/>
        <w:rPr>
          <w:rFonts w:ascii="仿宋_GB2312" w:hAnsi="仿宋" w:eastAsia="仿宋_GB2312" w:cs="Times New Roman"/>
          <w:sz w:val="32"/>
          <w:szCs w:val="32"/>
        </w:rPr>
      </w:pPr>
      <w:r>
        <w:rPr>
          <w:rFonts w:hint="eastAsia" w:ascii="仿宋_GB2312" w:hAnsi="仿宋" w:eastAsia="仿宋_GB2312" w:cs="仿宋_GB2312"/>
          <w:sz w:val="32"/>
          <w:szCs w:val="32"/>
        </w:rPr>
        <w:t>主要包括</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1</w:t>
      </w:r>
      <w:r>
        <w:rPr>
          <w:rFonts w:hint="eastAsia" w:ascii="仿宋_GB2312" w:hAnsi="仿宋" w:eastAsia="仿宋_GB2312" w:cs="仿宋_GB2312"/>
          <w:sz w:val="32"/>
          <w:szCs w:val="32"/>
        </w:rPr>
        <w:t>）加强乡村财政资金监督管理、农村合同管理及农民减负工作</w:t>
      </w:r>
      <w:r>
        <w:rPr>
          <w:rFonts w:ascii="仿宋_GB2312" w:hAnsi="仿宋" w:eastAsia="仿宋_GB2312" w:cs="仿宋_GB2312"/>
          <w:sz w:val="32"/>
          <w:szCs w:val="32"/>
        </w:rPr>
        <w:t>;</w:t>
      </w:r>
      <w:r>
        <w:rPr>
          <w:rFonts w:hint="eastAsia" w:ascii="仿宋_GB2312" w:hAnsi="仿宋" w:eastAsia="仿宋_GB2312" w:cs="仿宋_GB2312"/>
          <w:sz w:val="32"/>
          <w:szCs w:val="32"/>
        </w:rPr>
        <w:t>做好乡镇统计、审计等工作。（</w:t>
      </w:r>
      <w:r>
        <w:rPr>
          <w:rFonts w:ascii="仿宋_GB2312" w:hAnsi="仿宋" w:eastAsia="仿宋_GB2312" w:cs="仿宋_GB2312"/>
          <w:sz w:val="32"/>
          <w:szCs w:val="32"/>
        </w:rPr>
        <w:t>2</w:t>
      </w:r>
      <w:r>
        <w:rPr>
          <w:rFonts w:hint="eastAsia" w:ascii="仿宋_GB2312" w:hAnsi="仿宋" w:eastAsia="仿宋_GB2312" w:cs="仿宋_GB2312"/>
          <w:sz w:val="32"/>
          <w:szCs w:val="32"/>
        </w:rPr>
        <w:t>）做好人口和计划生育管理工作及计划生育协会工作。加强流动人口生育管理和计划生育技术服务站等工作。（</w:t>
      </w:r>
      <w:r>
        <w:rPr>
          <w:rFonts w:ascii="仿宋_GB2312" w:hAnsi="仿宋" w:eastAsia="仿宋_GB2312" w:cs="仿宋_GB2312"/>
          <w:sz w:val="32"/>
          <w:szCs w:val="32"/>
        </w:rPr>
        <w:t>3</w:t>
      </w:r>
      <w:r>
        <w:rPr>
          <w:rFonts w:hint="eastAsia" w:ascii="仿宋_GB2312" w:hAnsi="仿宋" w:eastAsia="仿宋_GB2312" w:cs="仿宋_GB2312"/>
          <w:sz w:val="32"/>
          <w:szCs w:val="32"/>
        </w:rPr>
        <w:t>）推进农村民主政治建设和村民自治</w:t>
      </w:r>
      <w:r>
        <w:rPr>
          <w:rFonts w:ascii="仿宋_GB2312" w:hAnsi="仿宋" w:eastAsia="仿宋_GB2312" w:cs="仿宋_GB2312"/>
          <w:sz w:val="32"/>
          <w:szCs w:val="32"/>
        </w:rPr>
        <w:t>,</w:t>
      </w:r>
      <w:r>
        <w:rPr>
          <w:rFonts w:hint="eastAsia" w:ascii="仿宋_GB2312" w:hAnsi="仿宋" w:eastAsia="仿宋_GB2312" w:cs="仿宋_GB2312"/>
          <w:sz w:val="32"/>
          <w:szCs w:val="32"/>
        </w:rPr>
        <w:t>加强农村基层组织建设</w:t>
      </w:r>
      <w:r>
        <w:rPr>
          <w:rFonts w:ascii="仿宋_GB2312" w:hAnsi="仿宋" w:eastAsia="仿宋_GB2312" w:cs="仿宋_GB2312"/>
          <w:sz w:val="32"/>
          <w:szCs w:val="32"/>
        </w:rPr>
        <w:t>,</w:t>
      </w:r>
      <w:r>
        <w:rPr>
          <w:rFonts w:hint="eastAsia" w:ascii="仿宋_GB2312" w:hAnsi="仿宋" w:eastAsia="仿宋_GB2312" w:cs="仿宋_GB2312"/>
          <w:sz w:val="32"/>
          <w:szCs w:val="32"/>
        </w:rPr>
        <w:t>为实现公民在选举、决策、管理等方面的民主权利创造条件。（</w:t>
      </w:r>
      <w:r>
        <w:rPr>
          <w:rFonts w:ascii="仿宋_GB2312" w:hAnsi="仿宋" w:eastAsia="仿宋_GB2312" w:cs="仿宋_GB2312"/>
          <w:sz w:val="32"/>
          <w:szCs w:val="32"/>
        </w:rPr>
        <w:t>4</w:t>
      </w:r>
      <w:r>
        <w:rPr>
          <w:rFonts w:hint="eastAsia" w:ascii="仿宋_GB2312" w:hAnsi="仿宋" w:eastAsia="仿宋_GB2312" w:cs="仿宋_GB2312"/>
          <w:sz w:val="32"/>
          <w:szCs w:val="32"/>
        </w:rPr>
        <w:t>）加强农村精神文明建设和生态文明村建设</w:t>
      </w:r>
      <w:r>
        <w:rPr>
          <w:rFonts w:ascii="仿宋_GB2312" w:hAnsi="仿宋" w:eastAsia="仿宋_GB2312" w:cs="仿宋_GB2312"/>
          <w:sz w:val="32"/>
          <w:szCs w:val="32"/>
        </w:rPr>
        <w:t>,</w:t>
      </w:r>
      <w:r>
        <w:rPr>
          <w:rFonts w:hint="eastAsia" w:ascii="仿宋_GB2312" w:hAnsi="仿宋" w:eastAsia="仿宋_GB2312" w:cs="仿宋_GB2312"/>
          <w:sz w:val="32"/>
          <w:szCs w:val="32"/>
        </w:rPr>
        <w:t>制定构建和谐社会的具体措施</w:t>
      </w:r>
      <w:r>
        <w:rPr>
          <w:rFonts w:ascii="仿宋_GB2312" w:hAnsi="仿宋" w:eastAsia="仿宋_GB2312" w:cs="仿宋_GB2312"/>
          <w:sz w:val="32"/>
          <w:szCs w:val="32"/>
        </w:rPr>
        <w:t>,</w:t>
      </w:r>
      <w:r>
        <w:rPr>
          <w:rFonts w:hint="eastAsia" w:ascii="仿宋_GB2312" w:hAnsi="仿宋" w:eastAsia="仿宋_GB2312" w:cs="仿宋_GB2312"/>
          <w:sz w:val="32"/>
          <w:szCs w:val="32"/>
        </w:rPr>
        <w:t>并抓好组织实施。（</w:t>
      </w:r>
      <w:r>
        <w:rPr>
          <w:rFonts w:ascii="仿宋_GB2312" w:hAnsi="仿宋" w:eastAsia="仿宋_GB2312" w:cs="仿宋_GB2312"/>
          <w:sz w:val="32"/>
          <w:szCs w:val="32"/>
        </w:rPr>
        <w:t>5</w:t>
      </w:r>
      <w:r>
        <w:rPr>
          <w:rFonts w:hint="eastAsia" w:ascii="仿宋_GB2312" w:hAnsi="仿宋" w:eastAsia="仿宋_GB2312" w:cs="仿宋_GB2312"/>
          <w:sz w:val="32"/>
          <w:szCs w:val="32"/>
        </w:rPr>
        <w:t>）配合城建、国土资源部门做好镇村建设规划、保护耕地工作。（</w:t>
      </w:r>
      <w:r>
        <w:rPr>
          <w:rFonts w:ascii="仿宋_GB2312" w:hAnsi="仿宋" w:eastAsia="仿宋_GB2312" w:cs="仿宋_GB2312"/>
          <w:sz w:val="32"/>
          <w:szCs w:val="32"/>
        </w:rPr>
        <w:t>6</w:t>
      </w:r>
      <w:r>
        <w:rPr>
          <w:rFonts w:hint="eastAsia" w:ascii="仿宋_GB2312" w:hAnsi="仿宋" w:eastAsia="仿宋_GB2312" w:cs="仿宋_GB2312"/>
          <w:sz w:val="32"/>
          <w:szCs w:val="32"/>
        </w:rPr>
        <w:t>）配合安全生产监督管理部门做好安全生产监督管理工作。（</w:t>
      </w:r>
      <w:r>
        <w:rPr>
          <w:rFonts w:ascii="仿宋_GB2312" w:hAnsi="仿宋" w:eastAsia="仿宋_GB2312" w:cs="仿宋_GB2312"/>
          <w:sz w:val="32"/>
          <w:szCs w:val="32"/>
        </w:rPr>
        <w:t>7</w:t>
      </w:r>
      <w:r>
        <w:rPr>
          <w:rFonts w:hint="eastAsia" w:ascii="仿宋_GB2312" w:hAnsi="仿宋" w:eastAsia="仿宋_GB2312" w:cs="仿宋_GB2312"/>
          <w:sz w:val="32"/>
          <w:szCs w:val="32"/>
        </w:rPr>
        <w:t>）配合武装部做好征兵工作及民兵工作。（</w:t>
      </w:r>
      <w:r>
        <w:rPr>
          <w:rFonts w:ascii="仿宋_GB2312" w:hAnsi="仿宋" w:eastAsia="仿宋_GB2312" w:cs="仿宋_GB2312"/>
          <w:sz w:val="32"/>
          <w:szCs w:val="32"/>
        </w:rPr>
        <w:t>8</w:t>
      </w:r>
      <w:r>
        <w:rPr>
          <w:rFonts w:hint="eastAsia" w:ascii="仿宋_GB2312" w:hAnsi="仿宋" w:eastAsia="仿宋_GB2312" w:cs="仿宋_GB2312"/>
          <w:sz w:val="32"/>
          <w:szCs w:val="32"/>
        </w:rPr>
        <w:t>）配合环保部门做好保护环境</w:t>
      </w:r>
      <w:r>
        <w:rPr>
          <w:rFonts w:ascii="仿宋_GB2312" w:hAnsi="仿宋" w:eastAsia="仿宋_GB2312" w:cs="仿宋_GB2312"/>
          <w:sz w:val="32"/>
          <w:szCs w:val="32"/>
        </w:rPr>
        <w:t>,</w:t>
      </w:r>
      <w:r>
        <w:rPr>
          <w:rFonts w:hint="eastAsia" w:ascii="仿宋_GB2312" w:hAnsi="仿宋" w:eastAsia="仿宋_GB2312" w:cs="仿宋_GB2312"/>
          <w:sz w:val="32"/>
          <w:szCs w:val="32"/>
        </w:rPr>
        <w:t>改善生态环境工作</w:t>
      </w:r>
      <w:r>
        <w:rPr>
          <w:rFonts w:ascii="仿宋_GB2312" w:hAnsi="仿宋" w:eastAsia="仿宋_GB2312" w:cs="仿宋_GB2312"/>
          <w:sz w:val="32"/>
          <w:szCs w:val="32"/>
        </w:rPr>
        <w:t>,</w:t>
      </w:r>
      <w:r>
        <w:rPr>
          <w:rFonts w:hint="eastAsia" w:ascii="仿宋_GB2312" w:hAnsi="仿宋" w:eastAsia="仿宋_GB2312" w:cs="仿宋_GB2312"/>
          <w:sz w:val="32"/>
          <w:szCs w:val="32"/>
        </w:rPr>
        <w:t>提高资源利用率</w:t>
      </w:r>
    </w:p>
    <w:p>
      <w:pPr>
        <w:adjustRightInd w:val="0"/>
        <w:snapToGrid w:val="0"/>
        <w:spacing w:line="560" w:lineRule="exact"/>
        <w:ind w:firstLine="627" w:firstLineChars="196"/>
        <w:jc w:val="left"/>
        <w:rPr>
          <w:rFonts w:ascii="仿宋_GB2312" w:hAnsi="仿宋" w:eastAsia="仿宋_GB2312" w:cs="Times New Roman"/>
          <w:sz w:val="32"/>
          <w:szCs w:val="32"/>
        </w:rPr>
      </w:pPr>
      <w:r>
        <w:rPr>
          <w:rFonts w:ascii="仿宋_GB2312" w:hAnsi="仿宋" w:eastAsia="仿宋_GB2312" w:cs="仿宋_GB2312"/>
          <w:sz w:val="32"/>
          <w:szCs w:val="32"/>
        </w:rPr>
        <w:t>3.</w:t>
      </w:r>
      <w:r>
        <w:rPr>
          <w:rFonts w:hint="eastAsia" w:ascii="仿宋_GB2312" w:hAnsi="仿宋" w:eastAsia="仿宋_GB2312" w:cs="仿宋_GB2312"/>
          <w:sz w:val="32"/>
          <w:szCs w:val="32"/>
        </w:rPr>
        <w:t>提供公共服务</w:t>
      </w:r>
    </w:p>
    <w:p>
      <w:pPr>
        <w:adjustRightInd w:val="0"/>
        <w:snapToGrid w:val="0"/>
        <w:spacing w:line="560" w:lineRule="exact"/>
        <w:ind w:firstLine="627" w:firstLineChars="196"/>
        <w:jc w:val="left"/>
        <w:rPr>
          <w:rFonts w:ascii="仿宋_GB2312" w:hAnsi="仿宋" w:eastAsia="仿宋_GB2312" w:cs="Times New Roman"/>
          <w:sz w:val="32"/>
          <w:szCs w:val="32"/>
        </w:rPr>
      </w:pPr>
      <w:r>
        <w:rPr>
          <w:rFonts w:hint="eastAsia" w:ascii="仿宋_GB2312" w:hAnsi="仿宋" w:eastAsia="仿宋_GB2312" w:cs="仿宋_GB2312"/>
          <w:sz w:val="32"/>
          <w:szCs w:val="32"/>
        </w:rPr>
        <w:t>主要包括</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1</w:t>
      </w:r>
      <w:r>
        <w:rPr>
          <w:rFonts w:hint="eastAsia" w:ascii="仿宋_GB2312" w:hAnsi="仿宋" w:eastAsia="仿宋_GB2312" w:cs="仿宋_GB2312"/>
          <w:sz w:val="32"/>
          <w:szCs w:val="32"/>
        </w:rPr>
        <w:t>）量力组织乡村公共基础设施建设。（</w:t>
      </w:r>
      <w:r>
        <w:rPr>
          <w:rFonts w:ascii="仿宋_GB2312" w:hAnsi="仿宋" w:eastAsia="仿宋_GB2312" w:cs="仿宋_GB2312"/>
          <w:sz w:val="32"/>
          <w:szCs w:val="32"/>
        </w:rPr>
        <w:t>2</w:t>
      </w:r>
      <w:r>
        <w:rPr>
          <w:rFonts w:hint="eastAsia" w:ascii="仿宋_GB2312" w:hAnsi="仿宋" w:eastAsia="仿宋_GB2312" w:cs="仿宋_GB2312"/>
          <w:sz w:val="32"/>
          <w:szCs w:val="32"/>
        </w:rPr>
        <w:t>）配合教育、科技、文体、卫生等部门搞好九年义务教育</w:t>
      </w:r>
      <w:r>
        <w:rPr>
          <w:rFonts w:ascii="仿宋_GB2312" w:hAnsi="仿宋" w:eastAsia="仿宋_GB2312" w:cs="仿宋_GB2312"/>
          <w:sz w:val="32"/>
          <w:szCs w:val="32"/>
        </w:rPr>
        <w:t>,</w:t>
      </w:r>
      <w:r>
        <w:rPr>
          <w:rFonts w:hint="eastAsia" w:ascii="仿宋_GB2312" w:hAnsi="仿宋" w:eastAsia="仿宋_GB2312" w:cs="仿宋_GB2312"/>
          <w:sz w:val="32"/>
          <w:szCs w:val="32"/>
        </w:rPr>
        <w:t>普及推广科学技术</w:t>
      </w:r>
      <w:r>
        <w:rPr>
          <w:rFonts w:ascii="仿宋_GB2312" w:hAnsi="仿宋" w:eastAsia="仿宋_GB2312" w:cs="仿宋_GB2312"/>
          <w:sz w:val="32"/>
          <w:szCs w:val="32"/>
        </w:rPr>
        <w:t>,</w:t>
      </w:r>
      <w:r>
        <w:rPr>
          <w:rFonts w:hint="eastAsia" w:ascii="仿宋_GB2312" w:hAnsi="仿宋" w:eastAsia="仿宋_GB2312" w:cs="仿宋_GB2312"/>
          <w:sz w:val="32"/>
          <w:szCs w:val="32"/>
        </w:rPr>
        <w:t>丰富农村文化生活</w:t>
      </w:r>
      <w:r>
        <w:rPr>
          <w:rFonts w:ascii="仿宋_GB2312" w:hAnsi="仿宋" w:eastAsia="仿宋_GB2312" w:cs="仿宋_GB2312"/>
          <w:sz w:val="32"/>
          <w:szCs w:val="32"/>
        </w:rPr>
        <w:t>,</w:t>
      </w:r>
      <w:r>
        <w:rPr>
          <w:rFonts w:hint="eastAsia" w:ascii="仿宋_GB2312" w:hAnsi="仿宋" w:eastAsia="仿宋_GB2312" w:cs="仿宋_GB2312"/>
          <w:sz w:val="32"/>
          <w:szCs w:val="32"/>
        </w:rPr>
        <w:t>开展全民健身运动</w:t>
      </w:r>
      <w:r>
        <w:rPr>
          <w:rFonts w:ascii="仿宋_GB2312" w:hAnsi="仿宋" w:eastAsia="仿宋_GB2312" w:cs="仿宋_GB2312"/>
          <w:sz w:val="32"/>
          <w:szCs w:val="32"/>
        </w:rPr>
        <w:t>,</w:t>
      </w:r>
      <w:r>
        <w:rPr>
          <w:rFonts w:hint="eastAsia" w:ascii="仿宋_GB2312" w:hAnsi="仿宋" w:eastAsia="仿宋_GB2312" w:cs="仿宋_GB2312"/>
          <w:sz w:val="32"/>
          <w:szCs w:val="32"/>
        </w:rPr>
        <w:t>推行和完善新型合作医疗制度</w:t>
      </w:r>
      <w:r>
        <w:rPr>
          <w:rFonts w:ascii="仿宋_GB2312" w:hAnsi="仿宋" w:eastAsia="仿宋_GB2312" w:cs="仿宋_GB2312"/>
          <w:sz w:val="32"/>
          <w:szCs w:val="32"/>
        </w:rPr>
        <w:t>,</w:t>
      </w:r>
      <w:r>
        <w:rPr>
          <w:rFonts w:hint="eastAsia" w:ascii="仿宋_GB2312" w:hAnsi="仿宋" w:eastAsia="仿宋_GB2312" w:cs="仿宋_GB2312"/>
          <w:sz w:val="32"/>
          <w:szCs w:val="32"/>
        </w:rPr>
        <w:t>提高参保率</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3</w:t>
      </w:r>
      <w:r>
        <w:rPr>
          <w:rFonts w:hint="eastAsia" w:ascii="仿宋_GB2312" w:hAnsi="仿宋" w:eastAsia="仿宋_GB2312" w:cs="仿宋_GB2312"/>
          <w:sz w:val="32"/>
          <w:szCs w:val="32"/>
        </w:rPr>
        <w:t>）配合农口部门</w:t>
      </w:r>
      <w:r>
        <w:rPr>
          <w:rFonts w:ascii="仿宋_GB2312" w:hAnsi="仿宋" w:eastAsia="仿宋_GB2312" w:cs="仿宋_GB2312"/>
          <w:sz w:val="32"/>
          <w:szCs w:val="32"/>
        </w:rPr>
        <w:t>(</w:t>
      </w:r>
      <w:r>
        <w:rPr>
          <w:rFonts w:hint="eastAsia" w:ascii="仿宋_GB2312" w:hAnsi="仿宋" w:eastAsia="仿宋_GB2312" w:cs="仿宋_GB2312"/>
          <w:sz w:val="32"/>
          <w:szCs w:val="32"/>
        </w:rPr>
        <w:t>农、林、牧、水</w:t>
      </w:r>
      <w:r>
        <w:rPr>
          <w:rFonts w:ascii="仿宋_GB2312" w:hAnsi="仿宋" w:eastAsia="仿宋_GB2312" w:cs="仿宋_GB2312"/>
          <w:sz w:val="32"/>
          <w:szCs w:val="32"/>
        </w:rPr>
        <w:t>)</w:t>
      </w:r>
      <w:r>
        <w:rPr>
          <w:rFonts w:hint="eastAsia" w:ascii="仿宋_GB2312" w:hAnsi="仿宋" w:eastAsia="仿宋_GB2312" w:cs="仿宋_GB2312"/>
          <w:sz w:val="32"/>
          <w:szCs w:val="32"/>
        </w:rPr>
        <w:t>做好农业技术服务和技术推广工作</w:t>
      </w:r>
      <w:r>
        <w:rPr>
          <w:rFonts w:ascii="仿宋_GB2312" w:hAnsi="仿宋" w:eastAsia="仿宋_GB2312" w:cs="仿宋_GB2312"/>
          <w:sz w:val="32"/>
          <w:szCs w:val="32"/>
        </w:rPr>
        <w:t>,</w:t>
      </w:r>
      <w:r>
        <w:rPr>
          <w:rFonts w:hint="eastAsia" w:ascii="仿宋_GB2312" w:hAnsi="仿宋" w:eastAsia="仿宋_GB2312" w:cs="仿宋_GB2312"/>
          <w:sz w:val="32"/>
          <w:szCs w:val="32"/>
        </w:rPr>
        <w:t>动物防疫工作</w:t>
      </w:r>
      <w:r>
        <w:rPr>
          <w:rFonts w:ascii="仿宋_GB2312" w:hAnsi="仿宋" w:eastAsia="仿宋_GB2312" w:cs="仿宋_GB2312"/>
          <w:sz w:val="32"/>
          <w:szCs w:val="32"/>
        </w:rPr>
        <w:t>;</w:t>
      </w:r>
      <w:r>
        <w:rPr>
          <w:rFonts w:hint="eastAsia" w:ascii="仿宋_GB2312" w:hAnsi="仿宋" w:eastAsia="仿宋_GB2312" w:cs="仿宋_GB2312"/>
          <w:sz w:val="32"/>
          <w:szCs w:val="32"/>
        </w:rPr>
        <w:t>加强农田水利基本建设</w:t>
      </w:r>
      <w:r>
        <w:rPr>
          <w:rFonts w:ascii="仿宋_GB2312" w:hAnsi="仿宋" w:eastAsia="仿宋_GB2312" w:cs="仿宋_GB2312"/>
          <w:sz w:val="32"/>
          <w:szCs w:val="32"/>
        </w:rPr>
        <w:t>,</w:t>
      </w:r>
      <w:r>
        <w:rPr>
          <w:rFonts w:hint="eastAsia" w:ascii="仿宋_GB2312" w:hAnsi="仿宋" w:eastAsia="仿宋_GB2312" w:cs="仿宋_GB2312"/>
          <w:sz w:val="32"/>
          <w:szCs w:val="32"/>
        </w:rPr>
        <w:t>增强农业抗御自然灾害的能力。（</w:t>
      </w:r>
      <w:r>
        <w:rPr>
          <w:rFonts w:ascii="仿宋_GB2312" w:hAnsi="仿宋" w:eastAsia="仿宋_GB2312" w:cs="仿宋_GB2312"/>
          <w:sz w:val="32"/>
          <w:szCs w:val="32"/>
        </w:rPr>
        <w:t>4</w:t>
      </w:r>
      <w:r>
        <w:rPr>
          <w:rFonts w:hint="eastAsia" w:ascii="仿宋_GB2312" w:hAnsi="仿宋" w:eastAsia="仿宋_GB2312" w:cs="仿宋_GB2312"/>
          <w:sz w:val="32"/>
          <w:szCs w:val="32"/>
        </w:rPr>
        <w:t>）配合广播电视、电力、电信等部门</w:t>
      </w:r>
      <w:r>
        <w:rPr>
          <w:rFonts w:ascii="仿宋_GB2312" w:hAnsi="仿宋" w:eastAsia="仿宋_GB2312" w:cs="仿宋_GB2312"/>
          <w:sz w:val="32"/>
          <w:szCs w:val="32"/>
        </w:rPr>
        <w:t>,</w:t>
      </w:r>
      <w:r>
        <w:rPr>
          <w:rFonts w:hint="eastAsia" w:ascii="仿宋_GB2312" w:hAnsi="仿宋" w:eastAsia="仿宋_GB2312" w:cs="仿宋_GB2312"/>
          <w:sz w:val="32"/>
          <w:szCs w:val="32"/>
        </w:rPr>
        <w:t>做好普及有线电视、电网改造工作</w:t>
      </w:r>
      <w:r>
        <w:rPr>
          <w:rFonts w:ascii="仿宋_GB2312" w:hAnsi="仿宋" w:eastAsia="仿宋_GB2312" w:cs="仿宋_GB2312"/>
          <w:sz w:val="32"/>
          <w:szCs w:val="32"/>
        </w:rPr>
        <w:t>,</w:t>
      </w:r>
      <w:r>
        <w:rPr>
          <w:rFonts w:hint="eastAsia" w:ascii="仿宋_GB2312" w:hAnsi="仿宋" w:eastAsia="仿宋_GB2312" w:cs="仿宋_GB2312"/>
          <w:sz w:val="32"/>
          <w:szCs w:val="32"/>
        </w:rPr>
        <w:t>扩大通讯网络在农村的覆盖面。（</w:t>
      </w:r>
      <w:r>
        <w:rPr>
          <w:rFonts w:ascii="仿宋_GB2312" w:hAnsi="仿宋" w:eastAsia="仿宋_GB2312" w:cs="仿宋_GB2312"/>
          <w:sz w:val="32"/>
          <w:szCs w:val="32"/>
        </w:rPr>
        <w:t>5</w:t>
      </w:r>
      <w:r>
        <w:rPr>
          <w:rFonts w:hint="eastAsia" w:ascii="仿宋_GB2312" w:hAnsi="仿宋" w:eastAsia="仿宋_GB2312" w:cs="仿宋_GB2312"/>
          <w:sz w:val="32"/>
          <w:szCs w:val="32"/>
        </w:rPr>
        <w:t>）配合民政、残联部门做好农村扶贫和低保工作以及特困户救助和残疾人服务工作。配合劳动部门做好农村劳动力职业培训、劳动就业和社会保障工作。</w:t>
      </w:r>
    </w:p>
    <w:p>
      <w:pPr>
        <w:adjustRightInd w:val="0"/>
        <w:snapToGrid w:val="0"/>
        <w:spacing w:line="560" w:lineRule="exact"/>
        <w:ind w:firstLine="627" w:firstLineChars="196"/>
        <w:jc w:val="left"/>
        <w:rPr>
          <w:rFonts w:ascii="仿宋_GB2312" w:hAnsi="仿宋" w:eastAsia="仿宋_GB2312" w:cs="Times New Roman"/>
          <w:sz w:val="32"/>
          <w:szCs w:val="32"/>
        </w:rPr>
      </w:pPr>
      <w:r>
        <w:rPr>
          <w:rFonts w:ascii="仿宋_GB2312" w:hAnsi="仿宋" w:eastAsia="仿宋_GB2312" w:cs="仿宋_GB2312"/>
          <w:sz w:val="32"/>
          <w:szCs w:val="32"/>
        </w:rPr>
        <w:t>4.</w:t>
      </w:r>
      <w:r>
        <w:rPr>
          <w:rFonts w:hint="eastAsia" w:ascii="仿宋_GB2312" w:hAnsi="仿宋" w:eastAsia="仿宋_GB2312" w:cs="仿宋_GB2312"/>
          <w:sz w:val="32"/>
          <w:szCs w:val="32"/>
        </w:rPr>
        <w:t>维护农村稳定</w:t>
      </w:r>
    </w:p>
    <w:p>
      <w:pPr>
        <w:adjustRightInd w:val="0"/>
        <w:snapToGrid w:val="0"/>
        <w:spacing w:line="560" w:lineRule="exact"/>
        <w:ind w:firstLine="627" w:firstLineChars="196"/>
        <w:jc w:val="left"/>
        <w:rPr>
          <w:rFonts w:ascii="仿宋_GB2312" w:hAnsi="仿宋" w:eastAsia="仿宋_GB2312" w:cs="Times New Roman"/>
          <w:sz w:val="32"/>
          <w:szCs w:val="32"/>
        </w:rPr>
      </w:pPr>
      <w:r>
        <w:rPr>
          <w:rFonts w:hint="eastAsia" w:ascii="仿宋_GB2312" w:hAnsi="仿宋" w:eastAsia="仿宋_GB2312" w:cs="仿宋_GB2312"/>
          <w:sz w:val="32"/>
          <w:szCs w:val="32"/>
        </w:rPr>
        <w:t>主要包括</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1</w:t>
      </w:r>
      <w:r>
        <w:rPr>
          <w:rFonts w:hint="eastAsia" w:ascii="仿宋_GB2312" w:hAnsi="仿宋" w:eastAsia="仿宋_GB2312" w:cs="仿宋_GB2312"/>
          <w:sz w:val="32"/>
          <w:szCs w:val="32"/>
        </w:rPr>
        <w:t>）做好社会治安综合</w:t>
      </w:r>
      <w:r>
        <w:rPr>
          <w:rFonts w:hint="eastAsia" w:ascii="仿宋_GB2312" w:hAnsi="仿宋" w:eastAsia="仿宋_GB2312" w:cs="仿宋_GB2312"/>
          <w:sz w:val="32"/>
          <w:szCs w:val="32"/>
          <w:lang w:eastAsia="zh-CN"/>
        </w:rPr>
        <w:t>治理</w:t>
      </w:r>
      <w:r>
        <w:rPr>
          <w:rFonts w:hint="eastAsia" w:ascii="仿宋_GB2312" w:hAnsi="仿宋" w:eastAsia="仿宋_GB2312" w:cs="仿宋_GB2312"/>
          <w:sz w:val="32"/>
          <w:szCs w:val="32"/>
        </w:rPr>
        <w:t>工作</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2</w:t>
      </w:r>
      <w:r>
        <w:rPr>
          <w:rFonts w:hint="eastAsia" w:ascii="仿宋_GB2312" w:hAnsi="仿宋" w:eastAsia="仿宋_GB2312" w:cs="仿宋_GB2312"/>
          <w:sz w:val="32"/>
          <w:szCs w:val="32"/>
        </w:rPr>
        <w:t>）宣传贯彻国家法律法规和政策</w:t>
      </w:r>
      <w:r>
        <w:rPr>
          <w:rFonts w:ascii="仿宋_GB2312" w:hAnsi="仿宋" w:eastAsia="仿宋_GB2312" w:cs="仿宋_GB2312"/>
          <w:sz w:val="32"/>
          <w:szCs w:val="32"/>
        </w:rPr>
        <w:t>,</w:t>
      </w:r>
      <w:r>
        <w:rPr>
          <w:rFonts w:hint="eastAsia" w:ascii="仿宋_GB2312" w:hAnsi="仿宋" w:eastAsia="仿宋_GB2312" w:cs="仿宋_GB2312"/>
          <w:sz w:val="32"/>
          <w:szCs w:val="32"/>
        </w:rPr>
        <w:t>增强农民法律意识</w:t>
      </w:r>
      <w:r>
        <w:rPr>
          <w:rFonts w:ascii="仿宋_GB2312" w:hAnsi="仿宋" w:eastAsia="仿宋_GB2312" w:cs="仿宋_GB2312"/>
          <w:sz w:val="32"/>
          <w:szCs w:val="32"/>
        </w:rPr>
        <w:t>,</w:t>
      </w:r>
      <w:r>
        <w:rPr>
          <w:rFonts w:hint="eastAsia" w:ascii="仿宋_GB2312" w:hAnsi="仿宋" w:eastAsia="仿宋_GB2312" w:cs="仿宋_GB2312"/>
          <w:sz w:val="32"/>
          <w:szCs w:val="32"/>
        </w:rPr>
        <w:t>教育农民知法、懂法、守法</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3</w:t>
      </w:r>
      <w:r>
        <w:rPr>
          <w:rFonts w:hint="eastAsia" w:ascii="仿宋_GB2312" w:hAnsi="仿宋" w:eastAsia="仿宋_GB2312" w:cs="仿宋_GB2312"/>
          <w:sz w:val="32"/>
          <w:szCs w:val="32"/>
        </w:rPr>
        <w:t>）做好司法、宗教工作</w:t>
      </w:r>
      <w:r>
        <w:rPr>
          <w:rFonts w:ascii="仿宋_GB2312" w:hAnsi="仿宋" w:eastAsia="仿宋_GB2312" w:cs="仿宋_GB2312"/>
          <w:sz w:val="32"/>
          <w:szCs w:val="32"/>
        </w:rPr>
        <w:t>,</w:t>
      </w:r>
      <w:r>
        <w:rPr>
          <w:rFonts w:hint="eastAsia" w:ascii="仿宋_GB2312" w:hAnsi="仿宋" w:eastAsia="仿宋_GB2312" w:cs="仿宋_GB2312"/>
          <w:sz w:val="32"/>
          <w:szCs w:val="32"/>
        </w:rPr>
        <w:t>打击邪教</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4</w:t>
      </w:r>
      <w:r>
        <w:rPr>
          <w:rFonts w:hint="eastAsia" w:ascii="仿宋_GB2312" w:hAnsi="仿宋" w:eastAsia="仿宋_GB2312" w:cs="仿宋_GB2312"/>
          <w:sz w:val="32"/>
          <w:szCs w:val="32"/>
        </w:rPr>
        <w:t>）做好群众来信来访、法律咨询、搞好农村矛盾纠纷排查调处</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5</w:t>
      </w:r>
      <w:r>
        <w:rPr>
          <w:rFonts w:hint="eastAsia" w:ascii="仿宋_GB2312" w:hAnsi="仿宋" w:eastAsia="仿宋_GB2312" w:cs="仿宋_GB2312"/>
          <w:sz w:val="32"/>
          <w:szCs w:val="32"/>
        </w:rPr>
        <w:t>）妥善处理突发性、群体性事件</w:t>
      </w:r>
      <w:r>
        <w:rPr>
          <w:rFonts w:ascii="仿宋_GB2312" w:hAnsi="仿宋" w:eastAsia="仿宋_GB2312" w:cs="仿宋_GB2312"/>
          <w:sz w:val="32"/>
          <w:szCs w:val="32"/>
        </w:rPr>
        <w:t>,</w:t>
      </w:r>
      <w:r>
        <w:rPr>
          <w:rFonts w:hint="eastAsia" w:ascii="仿宋_GB2312" w:hAnsi="仿宋" w:eastAsia="仿宋_GB2312" w:cs="仿宋_GB2312"/>
          <w:sz w:val="32"/>
          <w:szCs w:val="32"/>
        </w:rPr>
        <w:t>维护社会稳定</w:t>
      </w:r>
      <w:r>
        <w:rPr>
          <w:rFonts w:ascii="仿宋_GB2312" w:hAnsi="仿宋" w:eastAsia="仿宋_GB2312" w:cs="仿宋_GB2312"/>
          <w:sz w:val="32"/>
          <w:szCs w:val="32"/>
        </w:rPr>
        <w:t>;</w:t>
      </w:r>
      <w:r>
        <w:rPr>
          <w:rFonts w:hint="eastAsia" w:ascii="仿宋_GB2312" w:hAnsi="仿宋" w:eastAsia="仿宋_GB2312" w:cs="仿宋_GB2312"/>
          <w:sz w:val="32"/>
          <w:szCs w:val="32"/>
        </w:rPr>
        <w:t>（</w:t>
      </w:r>
      <w:r>
        <w:rPr>
          <w:rFonts w:ascii="仿宋_GB2312" w:hAnsi="仿宋" w:eastAsia="仿宋_GB2312" w:cs="仿宋_GB2312"/>
          <w:sz w:val="32"/>
          <w:szCs w:val="32"/>
        </w:rPr>
        <w:t>6</w:t>
      </w:r>
      <w:r>
        <w:rPr>
          <w:rFonts w:hint="eastAsia" w:ascii="仿宋_GB2312" w:hAnsi="仿宋" w:eastAsia="仿宋_GB2312" w:cs="仿宋_GB2312"/>
          <w:sz w:val="32"/>
          <w:szCs w:val="32"/>
        </w:rPr>
        <w:t>）协助司法机关打击各类刑事犯罪活动。</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adjustRightInd w:val="0"/>
        <w:snapToGrid w:val="0"/>
        <w:spacing w:line="560" w:lineRule="exact"/>
        <w:ind w:firstLine="627" w:firstLineChars="196"/>
        <w:jc w:val="left"/>
        <w:rPr>
          <w:rFonts w:ascii="仿宋_GB2312" w:hAnsi="仿宋" w:eastAsia="仿宋_GB2312" w:cs="Times New Roman"/>
          <w:sz w:val="32"/>
          <w:szCs w:val="32"/>
        </w:rPr>
      </w:pPr>
      <w:r>
        <w:rPr>
          <w:rFonts w:hint="eastAsia" w:ascii="仿宋_GB2312" w:hAnsi="仿宋" w:eastAsia="仿宋_GB2312" w:cs="仿宋_GB2312"/>
          <w:sz w:val="32"/>
          <w:szCs w:val="32"/>
        </w:rPr>
        <w:t>按照“三定”方案要求，本部门分别设置：无极县</w:t>
      </w:r>
      <w:r>
        <w:rPr>
          <w:rFonts w:hint="eastAsia" w:ascii="仿宋_GB2312" w:hAnsi="宋体" w:eastAsia="仿宋_GB2312" w:cs="仿宋_GB2312"/>
          <w:sz w:val="32"/>
          <w:szCs w:val="32"/>
        </w:rPr>
        <w:t>无极镇</w:t>
      </w:r>
      <w:r>
        <w:rPr>
          <w:rFonts w:hint="eastAsia" w:ascii="仿宋_GB2312" w:hAnsi="仿宋" w:eastAsia="仿宋_GB2312" w:cs="仿宋_GB2312"/>
          <w:sz w:val="32"/>
          <w:szCs w:val="32"/>
        </w:rPr>
        <w:t>政府机关（行政）、无极县</w:t>
      </w:r>
      <w:r>
        <w:rPr>
          <w:rFonts w:hint="eastAsia" w:ascii="仿宋_GB2312" w:hAnsi="宋体" w:eastAsia="仿宋_GB2312" w:cs="仿宋_GB2312"/>
          <w:sz w:val="32"/>
          <w:szCs w:val="32"/>
        </w:rPr>
        <w:t>无极镇</w:t>
      </w:r>
      <w:r>
        <w:rPr>
          <w:rFonts w:hint="eastAsia" w:ascii="仿宋_GB2312" w:hAnsi="仿宋" w:eastAsia="仿宋_GB2312" w:cs="仿宋_GB2312"/>
          <w:sz w:val="32"/>
          <w:szCs w:val="32"/>
        </w:rPr>
        <w:t>共产党机关（行政）、无极县</w:t>
      </w:r>
      <w:r>
        <w:rPr>
          <w:rFonts w:hint="eastAsia" w:ascii="仿宋_GB2312" w:hAnsi="宋体" w:eastAsia="仿宋_GB2312" w:cs="仿宋_GB2312"/>
          <w:sz w:val="32"/>
          <w:szCs w:val="32"/>
        </w:rPr>
        <w:t>无极镇</w:t>
      </w:r>
      <w:r>
        <w:rPr>
          <w:rFonts w:hint="eastAsia" w:ascii="仿宋_GB2312" w:hAnsi="仿宋" w:eastAsia="仿宋_GB2312" w:cs="仿宋_GB2312"/>
          <w:sz w:val="32"/>
          <w:szCs w:val="32"/>
        </w:rPr>
        <w:t>财政部门（事业）、无极县</w:t>
      </w:r>
      <w:r>
        <w:rPr>
          <w:rFonts w:hint="eastAsia" w:ascii="仿宋_GB2312" w:hAnsi="宋体" w:eastAsia="仿宋_GB2312" w:cs="仿宋_GB2312"/>
          <w:sz w:val="32"/>
          <w:szCs w:val="32"/>
        </w:rPr>
        <w:t>无极镇</w:t>
      </w:r>
      <w:r>
        <w:rPr>
          <w:rFonts w:hint="eastAsia" w:ascii="仿宋_GB2312" w:hAnsi="仿宋" w:eastAsia="仿宋_GB2312" w:cs="仿宋_GB2312"/>
          <w:sz w:val="32"/>
          <w:szCs w:val="32"/>
        </w:rPr>
        <w:t>计生部门（事业），以上均为全额拨款单位。</w:t>
      </w:r>
    </w:p>
    <w:p>
      <w:pPr>
        <w:adjustRightInd w:val="0"/>
        <w:snapToGrid w:val="0"/>
        <w:spacing w:line="560" w:lineRule="exact"/>
        <w:ind w:firstLine="480" w:firstLineChars="150"/>
        <w:jc w:val="left"/>
        <w:rPr>
          <w:rFonts w:ascii="仿宋_GB2312" w:hAnsi="宋体" w:eastAsia="仿宋_GB2312" w:cs="Times New Roman"/>
          <w:sz w:val="32"/>
          <w:szCs w:val="32"/>
        </w:rPr>
      </w:pPr>
      <w:r>
        <w:rPr>
          <w:rFonts w:hint="eastAsia" w:ascii="仿宋_GB2312" w:hAnsi="宋体" w:eastAsia="仿宋_GB2312" w:cs="仿宋_GB2312"/>
          <w:sz w:val="32"/>
          <w:szCs w:val="32"/>
        </w:rPr>
        <w:t>无极镇机构设置见下表：</w:t>
      </w:r>
    </w:p>
    <w:tbl>
      <w:tblPr>
        <w:tblStyle w:val="7"/>
        <w:tblW w:w="8760" w:type="dxa"/>
        <w:tblInd w:w="-106" w:type="dxa"/>
        <w:tblLayout w:type="fixed"/>
        <w:tblCellMar>
          <w:top w:w="0" w:type="dxa"/>
          <w:left w:w="108" w:type="dxa"/>
          <w:bottom w:w="0" w:type="dxa"/>
          <w:right w:w="108" w:type="dxa"/>
        </w:tblCellMar>
      </w:tblPr>
      <w:tblGrid>
        <w:gridCol w:w="3481"/>
        <w:gridCol w:w="1099"/>
        <w:gridCol w:w="1320"/>
        <w:gridCol w:w="2860"/>
      </w:tblGrid>
      <w:tr>
        <w:tblPrEx>
          <w:tblCellMar>
            <w:top w:w="0" w:type="dxa"/>
            <w:left w:w="108" w:type="dxa"/>
            <w:bottom w:w="0" w:type="dxa"/>
            <w:right w:w="108" w:type="dxa"/>
          </w:tblCellMar>
        </w:tblPrEx>
        <w:trPr>
          <w:trHeight w:val="495" w:hRule="atLeast"/>
        </w:trPr>
        <w:tc>
          <w:tcPr>
            <w:tcW w:w="4580" w:type="dxa"/>
            <w:gridSpan w:val="2"/>
            <w:tcBorders>
              <w:top w:val="nil"/>
              <w:left w:val="nil"/>
              <w:bottom w:val="nil"/>
              <w:right w:val="nil"/>
            </w:tcBorders>
            <w:vAlign w:val="center"/>
          </w:tcPr>
          <w:p>
            <w:pPr>
              <w:widowControl/>
              <w:spacing w:line="560" w:lineRule="exact"/>
              <w:jc w:val="left"/>
              <w:rPr>
                <w:rFonts w:ascii="宋体" w:cs="Times New Roman"/>
                <w:kern w:val="0"/>
                <w:sz w:val="24"/>
                <w:szCs w:val="24"/>
              </w:rPr>
            </w:pPr>
          </w:p>
        </w:tc>
        <w:tc>
          <w:tcPr>
            <w:tcW w:w="1320" w:type="dxa"/>
            <w:tcBorders>
              <w:top w:val="nil"/>
              <w:left w:val="nil"/>
              <w:bottom w:val="nil"/>
              <w:right w:val="nil"/>
            </w:tcBorders>
            <w:vAlign w:val="center"/>
          </w:tcPr>
          <w:p>
            <w:pPr>
              <w:widowControl/>
              <w:spacing w:line="560" w:lineRule="exact"/>
              <w:jc w:val="left"/>
              <w:rPr>
                <w:rFonts w:ascii="宋体" w:cs="Times New Roman"/>
                <w:kern w:val="0"/>
                <w:sz w:val="24"/>
                <w:szCs w:val="24"/>
              </w:rPr>
            </w:pPr>
          </w:p>
        </w:tc>
        <w:tc>
          <w:tcPr>
            <w:tcW w:w="2860" w:type="dxa"/>
            <w:tcBorders>
              <w:top w:val="nil"/>
              <w:left w:val="nil"/>
              <w:bottom w:val="nil"/>
              <w:right w:val="nil"/>
            </w:tcBorders>
            <w:vAlign w:val="center"/>
          </w:tcPr>
          <w:p>
            <w:pPr>
              <w:widowControl/>
              <w:spacing w:line="560" w:lineRule="exact"/>
              <w:jc w:val="left"/>
              <w:rPr>
                <w:rFonts w:ascii="宋体" w:cs="Times New Roman"/>
                <w:kern w:val="0"/>
                <w:sz w:val="24"/>
                <w:szCs w:val="24"/>
              </w:rPr>
            </w:pPr>
          </w:p>
        </w:tc>
      </w:tr>
      <w:tr>
        <w:tblPrEx>
          <w:tblCellMar>
            <w:top w:w="0" w:type="dxa"/>
            <w:left w:w="108" w:type="dxa"/>
            <w:bottom w:w="0" w:type="dxa"/>
            <w:right w:w="108" w:type="dxa"/>
          </w:tblCellMar>
        </w:tblPrEx>
        <w:trPr>
          <w:trHeight w:val="495" w:hRule="atLeast"/>
        </w:trPr>
        <w:tc>
          <w:tcPr>
            <w:tcW w:w="8760" w:type="dxa"/>
            <w:gridSpan w:val="4"/>
            <w:tcBorders>
              <w:top w:val="nil"/>
              <w:left w:val="nil"/>
              <w:bottom w:val="nil"/>
              <w:right w:val="nil"/>
            </w:tcBorders>
            <w:vAlign w:val="center"/>
          </w:tcPr>
          <w:p>
            <w:pPr>
              <w:widowControl/>
              <w:spacing w:line="560" w:lineRule="exact"/>
              <w:jc w:val="center"/>
              <w:rPr>
                <w:rFonts w:ascii="宋体" w:cs="Times New Roman"/>
                <w:b/>
                <w:bCs/>
                <w:kern w:val="0"/>
                <w:sz w:val="36"/>
                <w:szCs w:val="36"/>
              </w:rPr>
            </w:pPr>
            <w:r>
              <w:rPr>
                <w:rFonts w:hint="eastAsia" w:ascii="宋体" w:hAnsi="宋体" w:cs="宋体"/>
                <w:b/>
                <w:bCs/>
                <w:kern w:val="0"/>
                <w:sz w:val="36"/>
                <w:szCs w:val="36"/>
              </w:rPr>
              <w:t>部门机构设置情况</w:t>
            </w:r>
          </w:p>
        </w:tc>
      </w:tr>
      <w:tr>
        <w:tblPrEx>
          <w:tblCellMar>
            <w:top w:w="0" w:type="dxa"/>
            <w:left w:w="108" w:type="dxa"/>
            <w:bottom w:w="0" w:type="dxa"/>
            <w:right w:w="108" w:type="dxa"/>
          </w:tblCellMar>
        </w:tblPrEx>
        <w:trPr>
          <w:trHeight w:val="435" w:hRule="atLeast"/>
        </w:trPr>
        <w:tc>
          <w:tcPr>
            <w:tcW w:w="3481" w:type="dxa"/>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_GB2312" w:hAnsi="宋体" w:eastAsia="仿宋_GB2312" w:cs="Times New Roman"/>
                <w:b/>
                <w:bCs/>
                <w:kern w:val="0"/>
                <w:sz w:val="24"/>
                <w:szCs w:val="24"/>
              </w:rPr>
            </w:pPr>
            <w:r>
              <w:rPr>
                <w:rFonts w:hint="eastAsia" w:ascii="仿宋_GB2312" w:hAnsi="宋体" w:eastAsia="仿宋_GB2312" w:cs="仿宋_GB2312"/>
                <w:b/>
                <w:bCs/>
                <w:kern w:val="0"/>
                <w:sz w:val="24"/>
                <w:szCs w:val="24"/>
              </w:rPr>
              <w:t>单位名称</w:t>
            </w:r>
          </w:p>
        </w:tc>
        <w:tc>
          <w:tcPr>
            <w:tcW w:w="1099"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Times New Roman"/>
                <w:b/>
                <w:bCs/>
                <w:kern w:val="0"/>
                <w:sz w:val="24"/>
                <w:szCs w:val="24"/>
              </w:rPr>
            </w:pPr>
            <w:r>
              <w:rPr>
                <w:rFonts w:hint="eastAsia" w:ascii="仿宋_GB2312" w:hAnsi="宋体" w:eastAsia="仿宋_GB2312" w:cs="仿宋_GB2312"/>
                <w:b/>
                <w:bCs/>
                <w:kern w:val="0"/>
                <w:sz w:val="24"/>
                <w:szCs w:val="24"/>
              </w:rPr>
              <w:t>单位性质</w:t>
            </w:r>
          </w:p>
        </w:tc>
        <w:tc>
          <w:tcPr>
            <w:tcW w:w="132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Times New Roman"/>
                <w:b/>
                <w:bCs/>
                <w:kern w:val="0"/>
                <w:sz w:val="24"/>
                <w:szCs w:val="24"/>
              </w:rPr>
            </w:pPr>
            <w:r>
              <w:rPr>
                <w:rFonts w:hint="eastAsia" w:ascii="仿宋_GB2312" w:hAnsi="宋体" w:eastAsia="仿宋_GB2312" w:cs="仿宋_GB2312"/>
                <w:b/>
                <w:bCs/>
                <w:kern w:val="0"/>
                <w:sz w:val="24"/>
                <w:szCs w:val="24"/>
              </w:rPr>
              <w:t>单位规格</w:t>
            </w:r>
          </w:p>
        </w:tc>
        <w:tc>
          <w:tcPr>
            <w:tcW w:w="2860" w:type="dxa"/>
            <w:tcBorders>
              <w:top w:val="single" w:color="auto" w:sz="4" w:space="0"/>
              <w:left w:val="nil"/>
              <w:bottom w:val="single" w:color="auto" w:sz="4" w:space="0"/>
              <w:right w:val="single" w:color="auto" w:sz="4" w:space="0"/>
            </w:tcBorders>
            <w:vAlign w:val="center"/>
          </w:tcPr>
          <w:p>
            <w:pPr>
              <w:widowControl/>
              <w:spacing w:line="560" w:lineRule="exact"/>
              <w:jc w:val="center"/>
              <w:rPr>
                <w:rFonts w:ascii="仿宋_GB2312" w:hAnsi="宋体" w:eastAsia="仿宋_GB2312" w:cs="Times New Roman"/>
                <w:b/>
                <w:bCs/>
                <w:kern w:val="0"/>
                <w:sz w:val="24"/>
                <w:szCs w:val="24"/>
              </w:rPr>
            </w:pPr>
            <w:r>
              <w:rPr>
                <w:rFonts w:hint="eastAsia" w:ascii="仿宋_GB2312" w:hAnsi="宋体" w:eastAsia="仿宋_GB2312" w:cs="仿宋_GB2312"/>
                <w:b/>
                <w:bCs/>
                <w:kern w:val="0"/>
                <w:sz w:val="24"/>
                <w:szCs w:val="24"/>
              </w:rPr>
              <w:t>经费保障形式</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无极县无极镇政府机关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无极县无极镇共产党机关</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行政</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正科级</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财政拨款</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无极县无极镇财政部门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财政性资金基本保证</w:t>
            </w:r>
          </w:p>
        </w:tc>
      </w:tr>
      <w:tr>
        <w:tblPrEx>
          <w:tblCellMar>
            <w:top w:w="0" w:type="dxa"/>
            <w:left w:w="108" w:type="dxa"/>
            <w:bottom w:w="0" w:type="dxa"/>
            <w:right w:w="108" w:type="dxa"/>
          </w:tblCellMar>
        </w:tblPrEx>
        <w:trPr>
          <w:trHeight w:val="435" w:hRule="atLeast"/>
        </w:trPr>
        <w:tc>
          <w:tcPr>
            <w:tcW w:w="3481" w:type="dxa"/>
            <w:tcBorders>
              <w:top w:val="nil"/>
              <w:left w:val="single" w:color="auto" w:sz="4" w:space="0"/>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无极县无极镇计生部门</w:t>
            </w:r>
          </w:p>
        </w:tc>
        <w:tc>
          <w:tcPr>
            <w:tcW w:w="1099"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事业</w:t>
            </w:r>
          </w:p>
        </w:tc>
        <w:tc>
          <w:tcPr>
            <w:tcW w:w="132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　</w:t>
            </w:r>
          </w:p>
        </w:tc>
        <w:tc>
          <w:tcPr>
            <w:tcW w:w="2860" w:type="dxa"/>
            <w:tcBorders>
              <w:top w:val="nil"/>
              <w:left w:val="nil"/>
              <w:bottom w:val="single" w:color="auto" w:sz="4" w:space="0"/>
              <w:right w:val="single" w:color="auto" w:sz="4" w:space="0"/>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财政性资金基本保证</w:t>
            </w:r>
          </w:p>
        </w:tc>
      </w:tr>
      <w:tr>
        <w:tblPrEx>
          <w:tblCellMar>
            <w:top w:w="0" w:type="dxa"/>
            <w:left w:w="108" w:type="dxa"/>
            <w:bottom w:w="0" w:type="dxa"/>
            <w:right w:w="108" w:type="dxa"/>
          </w:tblCellMar>
        </w:tblPrEx>
        <w:trPr>
          <w:trHeight w:val="750" w:hRule="atLeast"/>
        </w:trPr>
        <w:tc>
          <w:tcPr>
            <w:tcW w:w="8760" w:type="dxa"/>
            <w:gridSpan w:val="4"/>
            <w:tcBorders>
              <w:top w:val="nil"/>
              <w:left w:val="nil"/>
              <w:bottom w:val="nil"/>
              <w:right w:val="nil"/>
            </w:tcBorders>
            <w:vAlign w:val="center"/>
          </w:tcPr>
          <w:p>
            <w:pPr>
              <w:widowControl/>
              <w:spacing w:line="560" w:lineRule="exact"/>
              <w:jc w:val="left"/>
              <w:rPr>
                <w:rFonts w:ascii="仿宋_GB2312" w:hAnsi="宋体" w:eastAsia="仿宋_GB2312" w:cs="Times New Roman"/>
                <w:kern w:val="0"/>
                <w:sz w:val="24"/>
                <w:szCs w:val="24"/>
              </w:rPr>
            </w:pPr>
            <w:r>
              <w:rPr>
                <w:rFonts w:hint="eastAsia" w:ascii="仿宋_GB2312" w:hAnsi="宋体" w:eastAsia="仿宋_GB2312" w:cs="仿宋_GB2312"/>
                <w:kern w:val="0"/>
                <w:sz w:val="24"/>
                <w:szCs w:val="24"/>
              </w:rPr>
              <w:t>备注：乡镇没有下属单位，按职能划分为政府、党委、财政、计生等部门，预决算统一在政府编制。</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按照预算管理有关规定，目前我单位预算的编制实行综合预算管理，即全部收入和支出都反映的预算中。单位的收支包含在部门预算中。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1062.4</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1062.4</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1062.4</w:t>
      </w:r>
      <w:r>
        <w:rPr>
          <w:rFonts w:hint="eastAsia" w:ascii="Times New Roman" w:hAnsi="Times New Roman" w:eastAsia="仿宋" w:cs="仿宋"/>
          <w:sz w:val="32"/>
          <w:szCs w:val="32"/>
        </w:rPr>
        <w:t>万元，其中基本支出</w:t>
      </w:r>
      <w:r>
        <w:rPr>
          <w:rFonts w:ascii="Times New Roman" w:hAnsi="Times New Roman" w:eastAsia="仿宋" w:cs="Times New Roman"/>
          <w:sz w:val="32"/>
          <w:szCs w:val="32"/>
        </w:rPr>
        <w:t>942.4</w:t>
      </w:r>
      <w:r>
        <w:rPr>
          <w:rFonts w:hint="eastAsia" w:ascii="Times New Roman" w:hAnsi="Times New Roman" w:eastAsia="仿宋" w:cs="仿宋"/>
          <w:sz w:val="32"/>
          <w:szCs w:val="32"/>
        </w:rPr>
        <w:t>万元，包括人员经费</w:t>
      </w:r>
      <w:r>
        <w:rPr>
          <w:rFonts w:ascii="Times New Roman" w:hAnsi="Times New Roman" w:eastAsia="仿宋" w:cs="Times New Roman"/>
          <w:sz w:val="32"/>
          <w:szCs w:val="32"/>
        </w:rPr>
        <w:t>779</w:t>
      </w:r>
      <w:r>
        <w:rPr>
          <w:rFonts w:hint="eastAsia" w:ascii="Times New Roman" w:hAnsi="Times New Roman" w:eastAsia="仿宋" w:cs="仿宋"/>
          <w:sz w:val="32"/>
          <w:szCs w:val="32"/>
        </w:rPr>
        <w:t>万元和日常公用经费</w:t>
      </w:r>
      <w:r>
        <w:rPr>
          <w:rFonts w:ascii="Times New Roman" w:hAnsi="Times New Roman" w:eastAsia="仿宋" w:cs="Times New Roman"/>
          <w:sz w:val="32"/>
          <w:szCs w:val="32"/>
        </w:rPr>
        <w:t>163.4</w:t>
      </w:r>
      <w:r>
        <w:rPr>
          <w:rFonts w:hint="eastAsia" w:ascii="Times New Roman" w:hAnsi="Times New Roman" w:eastAsia="仿宋" w:cs="仿宋"/>
          <w:sz w:val="32"/>
          <w:szCs w:val="32"/>
        </w:rPr>
        <w:t>万元；初会保障和就业支出</w:t>
      </w:r>
      <w:r>
        <w:rPr>
          <w:rFonts w:ascii="Times New Roman" w:hAnsi="Times New Roman" w:eastAsia="仿宋" w:cs="Times New Roman"/>
          <w:sz w:val="32"/>
          <w:szCs w:val="32"/>
        </w:rPr>
        <w:t>138</w:t>
      </w:r>
      <w:r>
        <w:rPr>
          <w:rFonts w:hint="eastAsia" w:ascii="Times New Roman" w:hAnsi="Times New Roman" w:eastAsia="仿宋" w:cs="仿宋"/>
          <w:sz w:val="32"/>
          <w:szCs w:val="32"/>
        </w:rPr>
        <w:t>万元；卫生健康支出</w:t>
      </w:r>
      <w:r>
        <w:rPr>
          <w:rFonts w:ascii="Times New Roman" w:hAnsi="Times New Roman" w:eastAsia="仿宋" w:cs="Times New Roman"/>
          <w:sz w:val="32"/>
          <w:szCs w:val="32"/>
        </w:rPr>
        <w:t>36</w:t>
      </w:r>
      <w:r>
        <w:rPr>
          <w:rFonts w:hint="eastAsia" w:ascii="Times New Roman" w:hAnsi="Times New Roman" w:eastAsia="仿宋" w:cs="仿宋"/>
          <w:sz w:val="32"/>
          <w:szCs w:val="32"/>
        </w:rPr>
        <w:t>万元；农林水支出</w:t>
      </w:r>
      <w:r>
        <w:rPr>
          <w:rFonts w:ascii="Times New Roman" w:hAnsi="Times New Roman" w:eastAsia="仿宋" w:cs="Times New Roman"/>
          <w:sz w:val="32"/>
          <w:szCs w:val="32"/>
        </w:rPr>
        <w:t>25</w:t>
      </w:r>
      <w:r>
        <w:rPr>
          <w:rFonts w:hint="eastAsia" w:ascii="Times New Roman" w:hAnsi="Times New Roman" w:eastAsia="仿宋" w:cs="仿宋"/>
          <w:sz w:val="32"/>
          <w:szCs w:val="32"/>
        </w:rPr>
        <w:t>万元；住房保障支出</w:t>
      </w:r>
      <w:r>
        <w:rPr>
          <w:rFonts w:ascii="Times New Roman" w:hAnsi="Times New Roman" w:eastAsia="仿宋" w:cs="Times New Roman"/>
          <w:sz w:val="32"/>
          <w:szCs w:val="32"/>
        </w:rPr>
        <w:t>27</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ascii="Times New Roman" w:hAnsi="Times New Roman" w:eastAsia="仿宋" w:cs="Times New Roman"/>
          <w:sz w:val="32"/>
          <w:szCs w:val="32"/>
        </w:rPr>
        <w:t>1062.4</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年减少</w:t>
      </w:r>
      <w:r>
        <w:rPr>
          <w:rFonts w:ascii="Times New Roman" w:hAnsi="Times New Roman" w:eastAsia="仿宋" w:cs="Times New Roman"/>
          <w:sz w:val="32"/>
          <w:szCs w:val="32"/>
        </w:rPr>
        <w:t>1850.59</w:t>
      </w:r>
      <w:r>
        <w:rPr>
          <w:rFonts w:hint="eastAsia" w:ascii="Times New Roman" w:hAnsi="Times New Roman" w:eastAsia="仿宋" w:cs="仿宋"/>
          <w:sz w:val="32"/>
          <w:szCs w:val="32"/>
        </w:rPr>
        <w:t>万元，其中：基本支出减少</w:t>
      </w:r>
      <w:r>
        <w:rPr>
          <w:rFonts w:ascii="Times New Roman" w:hAnsi="Times New Roman" w:eastAsia="仿宋" w:cs="Times New Roman"/>
          <w:sz w:val="32"/>
          <w:szCs w:val="32"/>
        </w:rPr>
        <w:t>31.59</w:t>
      </w:r>
      <w:r>
        <w:rPr>
          <w:rFonts w:hint="eastAsia" w:ascii="Times New Roman" w:hAnsi="Times New Roman" w:eastAsia="仿宋" w:cs="仿宋"/>
          <w:sz w:val="32"/>
          <w:szCs w:val="32"/>
        </w:rPr>
        <w:t>万元，主要是人员减少，相应减少人员经费和日常公用经费；项目支出减少</w:t>
      </w:r>
      <w:r>
        <w:rPr>
          <w:rFonts w:ascii="Times New Roman" w:hAnsi="Times New Roman" w:eastAsia="仿宋" w:cs="Times New Roman"/>
          <w:sz w:val="32"/>
          <w:szCs w:val="32"/>
        </w:rPr>
        <w:t>1819</w:t>
      </w:r>
      <w:r>
        <w:rPr>
          <w:rFonts w:hint="eastAsia" w:ascii="Times New Roman" w:hAnsi="Times New Roman" w:eastAsia="仿宋" w:cs="仿宋"/>
          <w:sz w:val="32"/>
          <w:szCs w:val="32"/>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1</w:t>
      </w:r>
      <w:r>
        <w:rPr>
          <w:rFonts w:hint="eastAsia" w:ascii="Times New Roman" w:hAnsi="Times New Roman" w:eastAsia="仿宋" w:cs="Times New Roman"/>
          <w:sz w:val="32"/>
          <w:szCs w:val="32"/>
        </w:rPr>
        <w:t>7</w:t>
      </w:r>
      <w:r>
        <w:rPr>
          <w:rFonts w:ascii="Times New Roman" w:hAnsi="Times New Roman" w:eastAsia="仿宋" w:cs="Times New Roman"/>
          <w:sz w:val="32"/>
          <w:szCs w:val="32"/>
        </w:rPr>
        <w:t>3.4</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3</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3</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ascii="Times New Roman" w:hAnsi="Times New Roman" w:eastAsia="仿宋" w:cs="Times New Roman"/>
          <w:sz w:val="32"/>
          <w:szCs w:val="32"/>
        </w:rPr>
        <w:t>0</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方正仿宋_GBK" w:cs="方正仿宋_GBK"/>
          <w:b/>
          <w:bCs/>
          <w:sz w:val="32"/>
          <w:szCs w:val="32"/>
        </w:rPr>
      </w:pPr>
      <w:bookmarkStart w:id="0" w:name="_Toc471398463"/>
      <w:r>
        <w:rPr>
          <w:rFonts w:hint="eastAsia" w:ascii="Times New Roman" w:hAnsi="Times New Roman" w:eastAsia="方正仿宋_GBK" w:cs="方正仿宋_GBK"/>
          <w:b/>
          <w:bCs/>
          <w:sz w:val="32"/>
          <w:szCs w:val="32"/>
        </w:rPr>
        <w:t>第一部分</w:t>
      </w:r>
      <w:r>
        <w:rPr>
          <w:rFonts w:ascii="Times New Roman" w:hAnsi="Times New Roman" w:eastAsia="方正仿宋_GBK" w:cs="Times New Roman"/>
          <w:b/>
          <w:bCs/>
          <w:sz w:val="32"/>
          <w:szCs w:val="32"/>
        </w:rPr>
        <w:t xml:space="preserve">  </w:t>
      </w:r>
      <w:r>
        <w:rPr>
          <w:rFonts w:hint="eastAsia" w:ascii="Times New Roman" w:hAnsi="Times New Roman" w:eastAsia="方正仿宋_GBK" w:cs="方正仿宋_GBK"/>
          <w:b/>
          <w:bCs/>
          <w:sz w:val="32"/>
          <w:szCs w:val="32"/>
        </w:rPr>
        <w:t>部门整体绩效目标</w:t>
      </w:r>
      <w:bookmarkEnd w:id="0"/>
    </w:p>
    <w:p>
      <w:pPr>
        <w:spacing w:line="5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总体目标：</w:t>
      </w:r>
    </w:p>
    <w:p>
      <w:pPr>
        <w:spacing w:line="5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深挖工业潜力。继续扩大主导产业增长优势，继续巩固完善日本世联汽车内饰产业园等一大批重点项目的基础设施建设，进一步增强产业集聚力和承载力，打造产业集聚发展平台。建好重大项目。继续坚持以项目带动结构调整，提升产业层次。狠抓招商引资。主动出击，定位招商，加强对接，立足现有企业全力推进招商引资工作。</w:t>
      </w:r>
    </w:p>
    <w:p>
      <w:pPr>
        <w:spacing w:line="5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狠抓城乡建设。以创建美丽乡村为目标，大力开展农村面貌提升工作力度，因村制宜、一村一品，建设美丽乡村。大力保障民生。全面落实低保、困难家庭帮扶政策，全面落实会新型养老保险政策，全面扩大缴存比例，进一步加大老、弱、病、残、灾等困难群体关爱救济力度。确保安全稳定。推进矛盾纠纷、治安问题、重点人员、安全隐患“四项排查整治”工作常态化、制度化，力争做到“小事不出村、大事不出镇、矛盾不上交”。同时严格落实“党政同责、一岗双责”安全生产责任制，坚决杜绝重特大事故发生。另外，镇党委将继续支持工会、妇联、共青团等群团工作，统筹做好民政、卫生、司法、武装、宣传等各项工作，促进社会事业共同进步。</w:t>
      </w:r>
    </w:p>
    <w:p>
      <w:pPr>
        <w:spacing w:line="500" w:lineRule="exact"/>
        <w:ind w:firstLine="560" w:firstLineChars="200"/>
        <w:jc w:val="left"/>
        <w:rPr>
          <w:rFonts w:ascii="仿宋" w:hAnsi="仿宋" w:eastAsia="仿宋" w:cs="仿宋"/>
          <w:sz w:val="28"/>
          <w:szCs w:val="28"/>
        </w:rPr>
      </w:pPr>
      <w:r>
        <w:rPr>
          <w:rFonts w:hint="eastAsia" w:ascii="仿宋" w:hAnsi="仿宋" w:eastAsia="仿宋" w:cs="仿宋"/>
          <w:sz w:val="28"/>
          <w:szCs w:val="28"/>
        </w:rPr>
        <w:t>坚决将全面从严治党各项要求落到细处实处。一是强化思想建设。扎实推进基层学习型党组织建设，用党的最新理论成果武装党员干部头脑，把维护党的政治纪律规矩挺起来、严起来。二是强化组织建设。巩固拓展</w:t>
      </w:r>
      <w:r>
        <w:rPr>
          <w:rFonts w:hint="eastAsia" w:ascii="仿宋" w:hAnsi="仿宋" w:eastAsia="仿宋" w:cs="仿宋"/>
          <w:sz w:val="28"/>
          <w:szCs w:val="28"/>
          <w:lang w:eastAsia="zh-CN"/>
        </w:rPr>
        <w:t>“两学一做”学习教育</w:t>
      </w:r>
      <w:r>
        <w:rPr>
          <w:rFonts w:hint="eastAsia" w:ascii="仿宋" w:hAnsi="仿宋" w:eastAsia="仿宋" w:cs="仿宋"/>
          <w:sz w:val="28"/>
          <w:szCs w:val="28"/>
        </w:rPr>
        <w:t>，全面实现党建工作制度化、规范化、科学化；继续深化薄弱村级班子整顿升级，选优、选强切实配备好村级班子建设。三是强化廉政建设。坚持全面从严治党，严格落实党风廉政建设责任，不断加大对农村“三资”管理监管力度，切实反对“四风”问题，认真解决群众反映强烈的突出问题，着力营造风清气正的干事氛围，全力打造一支高效廉洁的党员干部队伍。</w:t>
      </w:r>
    </w:p>
    <w:p>
      <w:pPr>
        <w:spacing w:line="500" w:lineRule="exact"/>
        <w:ind w:firstLine="560" w:firstLineChars="200"/>
        <w:jc w:val="left"/>
        <w:outlineLvl w:val="1"/>
        <w:rPr>
          <w:rFonts w:eastAsia="方正仿宋_GBK"/>
          <w:sz w:val="28"/>
        </w:rPr>
      </w:pPr>
      <w:r>
        <w:rPr>
          <w:rFonts w:hint="eastAsia" w:ascii="方正黑体_GBK" w:eastAsia="方正黑体_GBK"/>
          <w:sz w:val="28"/>
        </w:rPr>
        <w:t>二、分项绩效目标</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1" w:name="_Toc38989431"/>
      <w:r>
        <w:rPr>
          <w:rFonts w:hint="eastAsia" w:ascii="方正黑体_GBK" w:eastAsia="方正黑体_GBK"/>
          <w:sz w:val="28"/>
        </w:rPr>
        <w:instrText xml:space="preserve">分项绩效目标</w:instrText>
      </w:r>
      <w:bookmarkEnd w:id="1"/>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2020年部门职责分类绩效目标情况说明</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（一）开展党风党纪教育，加强党内监督。</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绩效指标：廉政教育与党内监督工作完成率95%以上。</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（二）协调机关综合事务和乡镇综合业务，强化社会管理和公共服务，完成上级交办的各项任务。</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绩效目标：改善硬件、软件水平，加强队伍和教育建设，加快信息化建设，保障机关工作正常高效运转，确保各项业务工作谋划到位、顺利开展。</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绩效指标：公共服务工作完成率90%以上。</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（三）乡镇的信息化建设和维护，平稳推进信访工作和新闻宣传工作。</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绩效目标：确保新闻宣传工作正常开展，信息系统运行正常，机关基础设施运转良好，信访工作平稳。机关文书档案印信管理和保密，机关人事、离退休人员服务、基建、后勤服务。</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绩效指标：综合事务管理工作完成率90%以上。</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（四）指导、协调和督导各村村委、村干部排查与化解影响社会稳定的重大不稳定隐患、群体性事件和突发事件。</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绩效目标：预防和减少不稳定因素的发生，有效化解不稳定隐患、群体性事件和突发事件，维护乡镇的安全与稳定。</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绩效指标：妥善处置突发事件（件）占发生突发事件（件）的比例90%以上。</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（五）按照统筹城乡发展的要求，组织实施农村面貌改造提升行动，加快社会主义新农村建设。</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绩效目标：通过实施农村面貌改造提升行动，加快农村基础设施建设，改善农村环境面貌，提升农民生产生活条件。</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绩效指标：改造提升完成率90%以上。</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（六）承担社会救助体系建设，负责全镇居民最低生活保障、五保供养、医疗救助。</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绩效目标：完善城乡社会救助制度，实施分类救助，应保尽保,动态管理。负责符合条件的城乡居民最低生活保障工作,负责农村五保户的集中供养和分散供养工作。</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绩效指标：社会救助覆盖率95%以上。</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（七）负责制定污染防治管理制度并组织实施，会同有关部门监督管理饮用水水源地环境保护。</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绩效指标：污染治理覆盖率95%以上。</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（八）强化生态保护和监察监管，提高自然保护区建设水平，加强生物多样性保护力度，提升农村生态环境质量</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绩效目标：加强自然生态保护，解决影响群众生活和健康较为直接的饮用水安全、生活垃圾和污水治理、畜禽养殖污染治理防治等突出环境问题，改善环境重点、敏感区域的农村人居和生态环境质量。</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绩效指标：上级城乡环境综合治理机关和群众满意度95%以上；聘请环境保洁人员业务培训1—2次；保障全镇整体环境随时随地环保、干净、整洁。</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（九）按照可持续发展和建设生态农业的要求，保护农业资源，改善和保护农村环境。</w:t>
      </w:r>
    </w:p>
    <w:p>
      <w:pPr>
        <w:spacing w:line="500" w:lineRule="exact"/>
        <w:ind w:firstLine="560" w:firstLineChars="200"/>
        <w:jc w:val="left"/>
        <w:rPr>
          <w:rFonts w:ascii="仿宋" w:hAnsi="仿宋" w:eastAsia="仿宋" w:cs="仿宋"/>
          <w:sz w:val="28"/>
        </w:rPr>
      </w:pPr>
      <w:r>
        <w:rPr>
          <w:rFonts w:hint="eastAsia" w:ascii="仿宋" w:hAnsi="仿宋" w:eastAsia="仿宋" w:cs="仿宋"/>
          <w:sz w:val="28"/>
        </w:rPr>
        <w:t>绩效目标：组织开展农业统计，监测分析农业和农村经济运行，发布农业和农村经济信息，建设农业信息管理体系，指导农业信息服务。按照国家、省部署，组织开展职业教育和新型职业农民教育培训。</w:t>
      </w:r>
    </w:p>
    <w:p>
      <w:pPr>
        <w:ind w:firstLine="560" w:firstLineChars="200"/>
        <w:jc w:val="left"/>
        <w:rPr>
          <w:rFonts w:hint="eastAsia" w:ascii="仿宋" w:hAnsi="仿宋" w:eastAsia="仿宋" w:cs="仿宋"/>
          <w:sz w:val="28"/>
        </w:rPr>
      </w:pPr>
      <w:r>
        <w:rPr>
          <w:rFonts w:hint="eastAsia" w:ascii="仿宋" w:hAnsi="仿宋" w:eastAsia="仿宋" w:cs="仿宋"/>
          <w:sz w:val="28"/>
        </w:rPr>
        <w:t>绩效指标：持续清理垃圾、治理污水、推进亮化工程，向社会主义新农村进一步迈进。</w:t>
      </w:r>
    </w:p>
    <w:p>
      <w:pPr>
        <w:ind w:firstLine="560" w:firstLineChars="200"/>
        <w:jc w:val="left"/>
        <w:rPr>
          <w:rFonts w:hint="eastAsia" w:ascii="仿宋" w:hAnsi="仿宋" w:eastAsia="仿宋" w:cs="仿宋"/>
          <w:sz w:val="28"/>
        </w:rPr>
      </w:pPr>
    </w:p>
    <w:p>
      <w:pPr>
        <w:ind w:firstLine="560" w:firstLineChars="200"/>
        <w:jc w:val="left"/>
        <w:rPr>
          <w:rFonts w:hint="eastAsia" w:ascii="仿宋" w:hAnsi="仿宋" w:eastAsia="仿宋" w:cs="仿宋"/>
          <w:sz w:val="28"/>
        </w:rPr>
      </w:pPr>
    </w:p>
    <w:p>
      <w:pPr>
        <w:ind w:firstLine="643" w:firstLineChars="200"/>
        <w:jc w:val="left"/>
        <w:rPr>
          <w:rFonts w:ascii="Times New Roman" w:hAnsi="Times New Roman" w:eastAsia="方正仿宋_GBK" w:cs="方正仿宋_GBK"/>
          <w:b/>
          <w:bCs/>
          <w:sz w:val="32"/>
          <w:szCs w:val="32"/>
        </w:rPr>
      </w:pPr>
    </w:p>
    <w:p>
      <w:pPr>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仿宋_GB2312" w:hAnsi="宋体" w:eastAsia="仿宋_GB2312" w:cs="Times New Roman"/>
          <w:sz w:val="32"/>
          <w:szCs w:val="32"/>
        </w:rPr>
      </w:pPr>
      <w:r>
        <w:rPr>
          <w:rFonts w:ascii="仿宋_GB2312" w:hAnsi="宋体" w:eastAsia="仿宋_GB2312" w:cs="仿宋_GB2312"/>
          <w:sz w:val="32"/>
          <w:szCs w:val="32"/>
        </w:rPr>
        <w:t>2019</w:t>
      </w:r>
      <w:r>
        <w:rPr>
          <w:rFonts w:hint="eastAsia" w:ascii="仿宋_GB2312" w:hAnsi="宋体" w:eastAsia="仿宋_GB2312" w:cs="仿宋_GB2312"/>
          <w:sz w:val="32"/>
          <w:szCs w:val="32"/>
        </w:rPr>
        <w:t>年，我部门安排政府采购预算</w:t>
      </w:r>
      <w:r>
        <w:rPr>
          <w:rFonts w:ascii="仿宋_GB2312" w:hAnsi="宋体" w:eastAsia="仿宋_GB2312" w:cs="仿宋_GB2312"/>
          <w:sz w:val="32"/>
          <w:szCs w:val="32"/>
        </w:rPr>
        <w:t>0</w:t>
      </w:r>
      <w:r>
        <w:rPr>
          <w:rFonts w:hint="eastAsia" w:ascii="仿宋_GB2312" w:hAnsi="宋体" w:eastAsia="仿宋_GB2312" w:cs="仿宋_GB2312"/>
          <w:sz w:val="32"/>
          <w:szCs w:val="32"/>
        </w:rPr>
        <w:t>万元。具体内容见下表：</w:t>
      </w:r>
      <w:bookmarkStart w:id="2" w:name="_Toc507676773"/>
    </w:p>
    <w:p>
      <w:pPr>
        <w:jc w:val="center"/>
        <w:outlineLvl w:val="0"/>
        <w:rPr>
          <w:rFonts w:ascii="方正小标宋_GBK" w:eastAsia="方正小标宋_GBK" w:cs="Times New Roman"/>
          <w:sz w:val="32"/>
          <w:szCs w:val="32"/>
        </w:rPr>
      </w:pPr>
      <w:r>
        <w:rPr>
          <w:rFonts w:hint="eastAsia" w:ascii="方正小标宋_GBK" w:eastAsia="方正小标宋_GBK" w:cs="方正小标宋_GBK"/>
          <w:sz w:val="32"/>
          <w:szCs w:val="32"/>
        </w:rPr>
        <w:t>部门政府采购预算</w:t>
      </w:r>
      <w:bookmarkEnd w:id="2"/>
    </w:p>
    <w:tbl>
      <w:tblPr>
        <w:tblStyle w:val="7"/>
        <w:tblW w:w="14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51"/>
        <w:gridCol w:w="1134"/>
        <w:gridCol w:w="963"/>
        <w:gridCol w:w="1019"/>
        <w:gridCol w:w="793"/>
        <w:gridCol w:w="793"/>
        <w:gridCol w:w="850"/>
        <w:gridCol w:w="963"/>
        <w:gridCol w:w="963"/>
        <w:gridCol w:w="963"/>
        <w:gridCol w:w="963"/>
        <w:gridCol w:w="963"/>
        <w:gridCol w:w="975"/>
        <w:gridCol w:w="9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1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981</w:t>
            </w:r>
            <w:r>
              <w:rPr>
                <w:rFonts w:hint="eastAsia" w:ascii="方正小标宋_GBK" w:eastAsia="方正小标宋_GBK" w:cs="方正小标宋_GBK"/>
                <w:sz w:val="24"/>
                <w:szCs w:val="24"/>
              </w:rPr>
              <w:t>无极县无极镇人民政府</w:t>
            </w:r>
          </w:p>
        </w:tc>
        <w:tc>
          <w:tcPr>
            <w:tcW w:w="6753"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685"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96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1019"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79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79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850"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6753" w:type="dxa"/>
            <w:gridSpan w:val="7"/>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963" w:type="dxa"/>
            <w:vMerge w:val="continue"/>
            <w:vAlign w:val="center"/>
          </w:tcPr>
          <w:p>
            <w:pPr>
              <w:spacing w:line="300" w:lineRule="exact"/>
              <w:jc w:val="left"/>
              <w:outlineLvl w:val="0"/>
              <w:rPr>
                <w:rFonts w:cs="Times New Roman"/>
              </w:rPr>
            </w:pPr>
          </w:p>
        </w:tc>
        <w:tc>
          <w:tcPr>
            <w:tcW w:w="1019" w:type="dxa"/>
            <w:vMerge w:val="continue"/>
            <w:vAlign w:val="center"/>
          </w:tcPr>
          <w:p>
            <w:pPr>
              <w:spacing w:line="300" w:lineRule="exact"/>
              <w:jc w:val="left"/>
              <w:outlineLvl w:val="0"/>
              <w:rPr>
                <w:rFonts w:cs="Times New Roman"/>
              </w:rPr>
            </w:pPr>
          </w:p>
        </w:tc>
        <w:tc>
          <w:tcPr>
            <w:tcW w:w="793" w:type="dxa"/>
            <w:vMerge w:val="continue"/>
            <w:vAlign w:val="center"/>
          </w:tcPr>
          <w:p>
            <w:pPr>
              <w:spacing w:line="300" w:lineRule="exact"/>
              <w:jc w:val="left"/>
              <w:outlineLvl w:val="0"/>
              <w:rPr>
                <w:rFonts w:cs="Times New Roman"/>
              </w:rPr>
            </w:pPr>
          </w:p>
        </w:tc>
        <w:tc>
          <w:tcPr>
            <w:tcW w:w="793" w:type="dxa"/>
            <w:vMerge w:val="continue"/>
            <w:vAlign w:val="center"/>
          </w:tcPr>
          <w:p>
            <w:pPr>
              <w:spacing w:line="300" w:lineRule="exact"/>
              <w:jc w:val="left"/>
              <w:outlineLvl w:val="0"/>
              <w:rPr>
                <w:rFonts w:cs="Times New Roman"/>
              </w:rPr>
            </w:pPr>
          </w:p>
        </w:tc>
        <w:tc>
          <w:tcPr>
            <w:tcW w:w="850" w:type="dxa"/>
            <w:vMerge w:val="continue"/>
            <w:vAlign w:val="center"/>
          </w:tcPr>
          <w:p>
            <w:pPr>
              <w:spacing w:line="300" w:lineRule="exact"/>
              <w:jc w:val="left"/>
              <w:outlineLvl w:val="0"/>
              <w:rPr>
                <w:rFonts w:cs="Times New Roman"/>
              </w:rPr>
            </w:pPr>
          </w:p>
        </w:tc>
        <w:tc>
          <w:tcPr>
            <w:tcW w:w="96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总计</w:t>
            </w:r>
          </w:p>
        </w:tc>
        <w:tc>
          <w:tcPr>
            <w:tcW w:w="4827" w:type="dxa"/>
            <w:gridSpan w:val="5"/>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当年部门预算安排资金</w:t>
            </w:r>
          </w:p>
        </w:tc>
        <w:tc>
          <w:tcPr>
            <w:tcW w:w="96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551" w:type="dxa"/>
            <w:vMerge w:val="continue"/>
            <w:vAlign w:val="center"/>
          </w:tcPr>
          <w:p>
            <w:pPr>
              <w:spacing w:line="300" w:lineRule="exact"/>
              <w:jc w:val="left"/>
              <w:outlineLvl w:val="0"/>
              <w:rPr>
                <w:rFonts w:cs="Times New Roman"/>
              </w:rPr>
            </w:pPr>
          </w:p>
        </w:tc>
        <w:tc>
          <w:tcPr>
            <w:tcW w:w="1134" w:type="dxa"/>
            <w:vMerge w:val="continue"/>
            <w:vAlign w:val="center"/>
          </w:tcPr>
          <w:p>
            <w:pPr>
              <w:spacing w:line="300" w:lineRule="exact"/>
              <w:jc w:val="left"/>
              <w:outlineLvl w:val="0"/>
              <w:rPr>
                <w:rFonts w:cs="Times New Roman"/>
              </w:rPr>
            </w:pPr>
          </w:p>
        </w:tc>
        <w:tc>
          <w:tcPr>
            <w:tcW w:w="963" w:type="dxa"/>
            <w:vMerge w:val="continue"/>
            <w:vAlign w:val="center"/>
          </w:tcPr>
          <w:p>
            <w:pPr>
              <w:spacing w:line="300" w:lineRule="exact"/>
              <w:jc w:val="left"/>
              <w:outlineLvl w:val="0"/>
              <w:rPr>
                <w:rFonts w:cs="Times New Roman"/>
              </w:rPr>
            </w:pPr>
          </w:p>
        </w:tc>
        <w:tc>
          <w:tcPr>
            <w:tcW w:w="1019" w:type="dxa"/>
            <w:vMerge w:val="continue"/>
            <w:vAlign w:val="center"/>
          </w:tcPr>
          <w:p>
            <w:pPr>
              <w:spacing w:line="300" w:lineRule="exact"/>
              <w:jc w:val="left"/>
              <w:outlineLvl w:val="0"/>
              <w:rPr>
                <w:rFonts w:cs="Times New Roman"/>
              </w:rPr>
            </w:pPr>
          </w:p>
        </w:tc>
        <w:tc>
          <w:tcPr>
            <w:tcW w:w="793" w:type="dxa"/>
            <w:vMerge w:val="continue"/>
            <w:vAlign w:val="center"/>
          </w:tcPr>
          <w:p>
            <w:pPr>
              <w:spacing w:line="300" w:lineRule="exact"/>
              <w:jc w:val="left"/>
              <w:outlineLvl w:val="0"/>
              <w:rPr>
                <w:rFonts w:cs="Times New Roman"/>
              </w:rPr>
            </w:pPr>
          </w:p>
        </w:tc>
        <w:tc>
          <w:tcPr>
            <w:tcW w:w="793" w:type="dxa"/>
            <w:vMerge w:val="continue"/>
            <w:vAlign w:val="center"/>
          </w:tcPr>
          <w:p>
            <w:pPr>
              <w:spacing w:line="300" w:lineRule="exact"/>
              <w:jc w:val="left"/>
              <w:outlineLvl w:val="0"/>
              <w:rPr>
                <w:rFonts w:cs="Times New Roman"/>
              </w:rPr>
            </w:pPr>
          </w:p>
        </w:tc>
        <w:tc>
          <w:tcPr>
            <w:tcW w:w="850" w:type="dxa"/>
            <w:vMerge w:val="continue"/>
            <w:vAlign w:val="center"/>
          </w:tcPr>
          <w:p>
            <w:pPr>
              <w:spacing w:line="300" w:lineRule="exact"/>
              <w:jc w:val="left"/>
              <w:outlineLvl w:val="0"/>
              <w:rPr>
                <w:rFonts w:cs="Times New Roman"/>
              </w:rPr>
            </w:pPr>
          </w:p>
        </w:tc>
        <w:tc>
          <w:tcPr>
            <w:tcW w:w="963" w:type="dxa"/>
            <w:vMerge w:val="continue"/>
            <w:vAlign w:val="center"/>
          </w:tcPr>
          <w:p>
            <w:pPr>
              <w:spacing w:line="300" w:lineRule="exact"/>
              <w:jc w:val="left"/>
              <w:outlineLvl w:val="0"/>
              <w:rPr>
                <w:rFonts w:cs="Times New Roman"/>
              </w:rPr>
            </w:pPr>
          </w:p>
        </w:tc>
        <w:tc>
          <w:tcPr>
            <w:tcW w:w="963"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963"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963"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963"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975"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c>
          <w:tcPr>
            <w:tcW w:w="963" w:type="dxa"/>
            <w:vMerge w:val="continue"/>
            <w:vAlign w:val="center"/>
          </w:tcPr>
          <w:p>
            <w:pPr>
              <w:spacing w:line="300" w:lineRule="exact"/>
              <w:jc w:val="left"/>
              <w:outlineLvl w:val="0"/>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134"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left"/>
              <w:rPr>
                <w:rFonts w:ascii="方正书宋_GBK" w:eastAsia="方正书宋_GBK" w:cs="Times New Roman"/>
                <w:b/>
                <w:bCs/>
              </w:rPr>
            </w:pPr>
          </w:p>
        </w:tc>
        <w:tc>
          <w:tcPr>
            <w:tcW w:w="1019" w:type="dxa"/>
            <w:vAlign w:val="center"/>
          </w:tcPr>
          <w:p>
            <w:pPr>
              <w:spacing w:line="300" w:lineRule="exact"/>
              <w:jc w:val="left"/>
              <w:rPr>
                <w:rFonts w:ascii="方正书宋_GBK" w:eastAsia="方正书宋_GBK" w:cs="Times New Roman"/>
                <w:b/>
                <w:bCs/>
              </w:rPr>
            </w:pPr>
          </w:p>
        </w:tc>
        <w:tc>
          <w:tcPr>
            <w:tcW w:w="793" w:type="dxa"/>
            <w:vAlign w:val="center"/>
          </w:tcPr>
          <w:p>
            <w:pPr>
              <w:spacing w:line="300" w:lineRule="exact"/>
              <w:jc w:val="left"/>
              <w:rPr>
                <w:rFonts w:ascii="方正书宋_GBK" w:eastAsia="方正书宋_GBK" w:cs="Times New Roman"/>
                <w:b/>
                <w:bCs/>
              </w:rPr>
            </w:pPr>
          </w:p>
        </w:tc>
        <w:tc>
          <w:tcPr>
            <w:tcW w:w="793" w:type="dxa"/>
            <w:vAlign w:val="center"/>
          </w:tcPr>
          <w:p>
            <w:pPr>
              <w:spacing w:line="300" w:lineRule="exact"/>
              <w:jc w:val="right"/>
              <w:rPr>
                <w:rFonts w:ascii="方正书宋_GBK" w:eastAsia="方正书宋_GBK" w:cs="Times New Roman"/>
                <w:b/>
                <w:bCs/>
              </w:rPr>
            </w:pPr>
          </w:p>
        </w:tc>
        <w:tc>
          <w:tcPr>
            <w:tcW w:w="850"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ind w:right="105"/>
              <w:jc w:val="right"/>
              <w:rPr>
                <w:rFonts w:ascii="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75"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无极县无极镇人民政府小计</w:t>
            </w:r>
          </w:p>
        </w:tc>
        <w:tc>
          <w:tcPr>
            <w:tcW w:w="1134"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left"/>
              <w:rPr>
                <w:rFonts w:ascii="方正书宋_GBK" w:eastAsia="方正书宋_GBK" w:cs="Times New Roman"/>
                <w:b/>
                <w:bCs/>
              </w:rPr>
            </w:pPr>
          </w:p>
        </w:tc>
        <w:tc>
          <w:tcPr>
            <w:tcW w:w="1019" w:type="dxa"/>
            <w:vAlign w:val="center"/>
          </w:tcPr>
          <w:p>
            <w:pPr>
              <w:spacing w:line="300" w:lineRule="exact"/>
              <w:jc w:val="left"/>
              <w:rPr>
                <w:rFonts w:ascii="方正书宋_GBK" w:eastAsia="方正书宋_GBK" w:cs="Times New Roman"/>
                <w:b/>
                <w:bCs/>
              </w:rPr>
            </w:pPr>
          </w:p>
        </w:tc>
        <w:tc>
          <w:tcPr>
            <w:tcW w:w="793" w:type="dxa"/>
            <w:vAlign w:val="center"/>
          </w:tcPr>
          <w:p>
            <w:pPr>
              <w:spacing w:line="300" w:lineRule="exact"/>
              <w:jc w:val="left"/>
              <w:rPr>
                <w:rFonts w:ascii="方正书宋_GBK" w:eastAsia="方正书宋_GBK" w:cs="Times New Roman"/>
                <w:b/>
                <w:bCs/>
              </w:rPr>
            </w:pPr>
          </w:p>
        </w:tc>
        <w:tc>
          <w:tcPr>
            <w:tcW w:w="793" w:type="dxa"/>
            <w:vAlign w:val="center"/>
          </w:tcPr>
          <w:p>
            <w:pPr>
              <w:spacing w:line="300" w:lineRule="exact"/>
              <w:jc w:val="right"/>
              <w:rPr>
                <w:rFonts w:ascii="方正书宋_GBK" w:eastAsia="方正书宋_GBK" w:cs="Times New Roman"/>
                <w:b/>
                <w:bCs/>
              </w:rPr>
            </w:pPr>
          </w:p>
        </w:tc>
        <w:tc>
          <w:tcPr>
            <w:tcW w:w="850"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c>
          <w:tcPr>
            <w:tcW w:w="975" w:type="dxa"/>
            <w:vAlign w:val="center"/>
          </w:tcPr>
          <w:p>
            <w:pPr>
              <w:spacing w:line="300" w:lineRule="exact"/>
              <w:jc w:val="right"/>
              <w:rPr>
                <w:rFonts w:ascii="方正书宋_GBK" w:eastAsia="方正书宋_GBK" w:cs="Times New Roman"/>
                <w:b/>
                <w:bCs/>
              </w:rPr>
            </w:pPr>
          </w:p>
        </w:tc>
        <w:tc>
          <w:tcPr>
            <w:tcW w:w="963" w:type="dxa"/>
            <w:vAlign w:val="center"/>
          </w:tcPr>
          <w:p>
            <w:pPr>
              <w:spacing w:line="300" w:lineRule="exact"/>
              <w:jc w:val="right"/>
              <w:rPr>
                <w:rFonts w:ascii="方正书宋_GBK" w:eastAsia="方正书宋_GBK"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55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日常公用经费</w:t>
            </w:r>
          </w:p>
        </w:tc>
        <w:tc>
          <w:tcPr>
            <w:tcW w:w="1134" w:type="dxa"/>
            <w:vAlign w:val="center"/>
          </w:tcPr>
          <w:p>
            <w:pPr>
              <w:spacing w:line="300" w:lineRule="exact"/>
              <w:jc w:val="right"/>
              <w:rPr>
                <w:rFonts w:ascii="方正书宋_GBK" w:eastAsia="方正书宋_GBK" w:cs="Times New Roman"/>
              </w:rPr>
            </w:pPr>
          </w:p>
        </w:tc>
        <w:tc>
          <w:tcPr>
            <w:tcW w:w="963" w:type="dxa"/>
            <w:vAlign w:val="center"/>
          </w:tcPr>
          <w:p>
            <w:pPr>
              <w:spacing w:line="300" w:lineRule="exact"/>
              <w:jc w:val="left"/>
              <w:rPr>
                <w:rFonts w:ascii="方正书宋_GBK" w:eastAsia="方正书宋_GBK" w:cs="Times New Roman"/>
              </w:rPr>
            </w:pPr>
          </w:p>
        </w:tc>
        <w:tc>
          <w:tcPr>
            <w:tcW w:w="1019" w:type="dxa"/>
            <w:vAlign w:val="center"/>
          </w:tcPr>
          <w:p>
            <w:pPr>
              <w:spacing w:line="300" w:lineRule="exact"/>
              <w:jc w:val="left"/>
              <w:rPr>
                <w:rFonts w:ascii="方正书宋_GBK" w:eastAsia="方正书宋_GBK" w:cs="Times New Roman"/>
              </w:rPr>
            </w:pPr>
          </w:p>
        </w:tc>
        <w:tc>
          <w:tcPr>
            <w:tcW w:w="793" w:type="dxa"/>
            <w:vAlign w:val="center"/>
          </w:tcPr>
          <w:p>
            <w:pPr>
              <w:spacing w:line="300" w:lineRule="exact"/>
              <w:jc w:val="left"/>
              <w:rPr>
                <w:rFonts w:ascii="方正书宋_GBK" w:eastAsia="方正书宋_GBK" w:cs="Times New Roman"/>
              </w:rPr>
            </w:pPr>
          </w:p>
        </w:tc>
        <w:tc>
          <w:tcPr>
            <w:tcW w:w="793" w:type="dxa"/>
            <w:vAlign w:val="center"/>
          </w:tcPr>
          <w:p>
            <w:pPr>
              <w:spacing w:line="300" w:lineRule="exact"/>
              <w:jc w:val="right"/>
              <w:rPr>
                <w:rFonts w:ascii="方正书宋_GBK" w:eastAsia="方正书宋_GBK" w:cs="Times New Roman"/>
              </w:rPr>
            </w:pPr>
          </w:p>
        </w:tc>
        <w:tc>
          <w:tcPr>
            <w:tcW w:w="850" w:type="dxa"/>
            <w:vAlign w:val="center"/>
          </w:tcPr>
          <w:p>
            <w:pPr>
              <w:spacing w:line="300" w:lineRule="exact"/>
              <w:jc w:val="right"/>
              <w:rPr>
                <w:rFonts w:ascii="方正书宋_GBK" w:eastAsia="方正书宋_GBK" w:cs="Times New Roman"/>
              </w:rPr>
            </w:pPr>
          </w:p>
        </w:tc>
        <w:tc>
          <w:tcPr>
            <w:tcW w:w="963" w:type="dxa"/>
            <w:vAlign w:val="center"/>
          </w:tcPr>
          <w:p>
            <w:pPr>
              <w:spacing w:line="300" w:lineRule="exact"/>
              <w:jc w:val="right"/>
              <w:rPr>
                <w:rFonts w:ascii="方正书宋_GBK" w:eastAsia="方正书宋_GBK" w:cs="Times New Roman"/>
              </w:rPr>
            </w:pPr>
          </w:p>
        </w:tc>
        <w:tc>
          <w:tcPr>
            <w:tcW w:w="963" w:type="dxa"/>
            <w:vAlign w:val="center"/>
          </w:tcPr>
          <w:p>
            <w:pPr>
              <w:spacing w:line="300" w:lineRule="exact"/>
              <w:jc w:val="right"/>
              <w:rPr>
                <w:rFonts w:ascii="方正书宋_GBK" w:eastAsia="方正书宋_GBK" w:cs="Times New Roman"/>
              </w:rPr>
            </w:pPr>
          </w:p>
        </w:tc>
        <w:tc>
          <w:tcPr>
            <w:tcW w:w="963" w:type="dxa"/>
            <w:vAlign w:val="center"/>
          </w:tcPr>
          <w:p>
            <w:pPr>
              <w:spacing w:line="300" w:lineRule="exact"/>
              <w:jc w:val="right"/>
              <w:rPr>
                <w:rFonts w:ascii="方正书宋_GBK" w:eastAsia="方正书宋_GBK" w:cs="Times New Roman"/>
              </w:rPr>
            </w:pPr>
          </w:p>
        </w:tc>
        <w:tc>
          <w:tcPr>
            <w:tcW w:w="963" w:type="dxa"/>
            <w:vAlign w:val="center"/>
          </w:tcPr>
          <w:p>
            <w:pPr>
              <w:spacing w:line="300" w:lineRule="exact"/>
              <w:jc w:val="right"/>
              <w:rPr>
                <w:rFonts w:ascii="方正书宋_GBK" w:eastAsia="方正书宋_GBK" w:cs="Times New Roman"/>
              </w:rPr>
            </w:pPr>
          </w:p>
        </w:tc>
        <w:tc>
          <w:tcPr>
            <w:tcW w:w="963" w:type="dxa"/>
            <w:vAlign w:val="center"/>
          </w:tcPr>
          <w:p>
            <w:pPr>
              <w:spacing w:line="300" w:lineRule="exact"/>
              <w:jc w:val="right"/>
              <w:rPr>
                <w:rFonts w:ascii="方正书宋_GBK" w:eastAsia="方正书宋_GBK" w:cs="Times New Roman"/>
              </w:rPr>
            </w:pPr>
          </w:p>
        </w:tc>
        <w:tc>
          <w:tcPr>
            <w:tcW w:w="975" w:type="dxa"/>
            <w:vAlign w:val="center"/>
          </w:tcPr>
          <w:p>
            <w:pPr>
              <w:spacing w:line="300" w:lineRule="exact"/>
              <w:jc w:val="right"/>
              <w:rPr>
                <w:rFonts w:ascii="方正书宋_GBK" w:eastAsia="方正书宋_GBK" w:cs="Times New Roman"/>
              </w:rPr>
            </w:pPr>
          </w:p>
        </w:tc>
        <w:tc>
          <w:tcPr>
            <w:tcW w:w="963" w:type="dxa"/>
            <w:vAlign w:val="center"/>
          </w:tcPr>
          <w:p>
            <w:pPr>
              <w:spacing w:line="300" w:lineRule="exact"/>
              <w:jc w:val="right"/>
              <w:rPr>
                <w:rFonts w:ascii="方正书宋_GBK" w:eastAsia="方正书宋_GBK" w:cs="Times New Roman"/>
              </w:rPr>
            </w:pPr>
          </w:p>
        </w:tc>
      </w:tr>
    </w:tbl>
    <w:p>
      <w:pPr>
        <w:spacing w:line="300" w:lineRule="exact"/>
        <w:jc w:val="left"/>
        <w:outlineLvl w:val="0"/>
        <w:sectPr>
          <w:headerReference r:id="rId3" w:type="default"/>
          <w:footerReference r:id="rId4" w:type="default"/>
          <w:pgSz w:w="16839" w:h="11907" w:orient="landscape"/>
          <w:pgMar w:top="1361" w:right="1020" w:bottom="1361" w:left="1020" w:header="851" w:footer="992" w:gutter="0"/>
          <w:cols w:space="720" w:num="1"/>
          <w:docGrid w:type="lines" w:linePitch="312" w:charSpace="0"/>
        </w:sectPr>
      </w:pPr>
    </w:p>
    <w:p>
      <w:pPr>
        <w:spacing w:line="560" w:lineRule="exact"/>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r>
        <w:rPr>
          <w:rFonts w:hint="eastAsia" w:ascii="黑体" w:hAnsi="黑体" w:eastAsia="黑体" w:cs="黑体"/>
          <w:sz w:val="32"/>
          <w:szCs w:val="32"/>
        </w:rPr>
        <w:t>七、国有资产信息</w:t>
      </w:r>
    </w:p>
    <w:p>
      <w:pPr>
        <w:spacing w:line="560" w:lineRule="exact"/>
        <w:ind w:firstLine="640" w:firstLineChars="200"/>
        <w:rPr>
          <w:rFonts w:cs="Times New Roman"/>
        </w:rPr>
      </w:pPr>
      <w:r>
        <w:rPr>
          <w:rFonts w:hint="eastAsia" w:ascii="仿宋" w:hAnsi="仿宋" w:eastAsia="仿宋" w:cs="仿宋"/>
          <w:color w:val="000000"/>
          <w:kern w:val="0"/>
          <w:sz w:val="32"/>
          <w:szCs w:val="32"/>
        </w:rPr>
        <w:t>我部门上年末固定资产金额为</w:t>
      </w:r>
      <w:r>
        <w:rPr>
          <w:rFonts w:ascii="仿宋" w:hAnsi="仿宋" w:eastAsia="仿宋" w:cs="仿宋"/>
          <w:kern w:val="0"/>
          <w:sz w:val="32"/>
          <w:szCs w:val="32"/>
        </w:rPr>
        <w:t>176.65</w:t>
      </w:r>
      <w:r>
        <w:rPr>
          <w:rFonts w:hint="eastAsia" w:ascii="仿宋" w:hAnsi="仿宋" w:eastAsia="仿宋" w:cs="仿宋"/>
          <w:color w:val="000000"/>
          <w:kern w:val="0"/>
          <w:sz w:val="32"/>
          <w:szCs w:val="32"/>
        </w:rPr>
        <w:t>万元，其中：房屋</w:t>
      </w:r>
      <w:r>
        <w:rPr>
          <w:rFonts w:ascii="仿宋" w:hAnsi="仿宋" w:eastAsia="仿宋" w:cs="仿宋"/>
          <w:color w:val="000000"/>
          <w:kern w:val="0"/>
          <w:sz w:val="32"/>
          <w:szCs w:val="32"/>
        </w:rPr>
        <w:t>4000</w:t>
      </w:r>
      <w:r>
        <w:rPr>
          <w:rFonts w:hint="eastAsia" w:ascii="仿宋" w:hAnsi="仿宋" w:eastAsia="仿宋" w:cs="仿宋"/>
          <w:color w:val="000000"/>
          <w:kern w:val="0"/>
          <w:sz w:val="32"/>
          <w:szCs w:val="32"/>
        </w:rPr>
        <w:t>平方米，价值</w:t>
      </w:r>
      <w:r>
        <w:rPr>
          <w:rFonts w:ascii="仿宋" w:hAnsi="仿宋" w:eastAsia="仿宋" w:cs="仿宋"/>
          <w:color w:val="000000"/>
          <w:kern w:val="0"/>
          <w:sz w:val="32"/>
          <w:szCs w:val="32"/>
        </w:rPr>
        <w:t>73.72</w:t>
      </w:r>
      <w:r>
        <w:rPr>
          <w:rFonts w:hint="eastAsia" w:ascii="仿宋" w:hAnsi="仿宋" w:eastAsia="仿宋" w:cs="仿宋"/>
          <w:color w:val="000000"/>
          <w:kern w:val="0"/>
          <w:sz w:val="32"/>
          <w:szCs w:val="32"/>
        </w:rPr>
        <w:t>万元；车辆</w:t>
      </w:r>
      <w:r>
        <w:rPr>
          <w:rFonts w:ascii="仿宋" w:hAnsi="仿宋" w:eastAsia="仿宋" w:cs="仿宋"/>
          <w:color w:val="000000"/>
          <w:kern w:val="0"/>
          <w:sz w:val="32"/>
          <w:szCs w:val="32"/>
        </w:rPr>
        <w:t>4</w:t>
      </w:r>
      <w:r>
        <w:rPr>
          <w:rFonts w:hint="eastAsia" w:ascii="仿宋" w:hAnsi="仿宋" w:eastAsia="仿宋" w:cs="仿宋"/>
          <w:color w:val="000000"/>
          <w:kern w:val="0"/>
          <w:sz w:val="32"/>
          <w:szCs w:val="32"/>
        </w:rPr>
        <w:t>辆，价值</w:t>
      </w:r>
      <w:r>
        <w:rPr>
          <w:rFonts w:ascii="仿宋" w:hAnsi="仿宋" w:eastAsia="仿宋" w:cs="仿宋"/>
          <w:color w:val="000000"/>
          <w:kern w:val="0"/>
          <w:sz w:val="32"/>
          <w:szCs w:val="32"/>
        </w:rPr>
        <w:t>47.4</w:t>
      </w:r>
      <w:r>
        <w:rPr>
          <w:rFonts w:hint="eastAsia" w:ascii="仿宋" w:hAnsi="仿宋" w:eastAsia="仿宋" w:cs="仿宋"/>
          <w:color w:val="000000"/>
          <w:kern w:val="0"/>
          <w:sz w:val="32"/>
          <w:szCs w:val="32"/>
        </w:rPr>
        <w:t>万元；其他固定资产</w:t>
      </w:r>
      <w:r>
        <w:rPr>
          <w:rFonts w:ascii="仿宋" w:hAnsi="仿宋" w:eastAsia="仿宋" w:cs="仿宋"/>
          <w:color w:val="000000"/>
          <w:kern w:val="0"/>
          <w:sz w:val="32"/>
          <w:szCs w:val="32"/>
        </w:rPr>
        <w:t>55.53</w:t>
      </w:r>
      <w:r>
        <w:rPr>
          <w:rFonts w:hint="eastAsia" w:ascii="仿宋" w:hAnsi="仿宋" w:eastAsia="仿宋" w:cs="仿宋"/>
          <w:color w:val="000000"/>
          <w:kern w:val="0"/>
          <w:sz w:val="32"/>
          <w:szCs w:val="32"/>
        </w:rPr>
        <w:t>万元。</w:t>
      </w:r>
    </w:p>
    <w:p>
      <w:pPr>
        <w:spacing w:line="560" w:lineRule="exact"/>
        <w:ind w:firstLine="640" w:firstLineChars="200"/>
        <w:jc w:val="center"/>
        <w:rPr>
          <w:rFonts w:ascii="黑体" w:hAnsi="黑体" w:eastAsia="黑体" w:cs="Times New Roman"/>
          <w:sz w:val="32"/>
          <w:szCs w:val="32"/>
        </w:rPr>
      </w:pPr>
      <w:r>
        <w:rPr>
          <w:rFonts w:hint="eastAsia" w:ascii="黑体" w:hAnsi="黑体" w:eastAsia="黑体" w:cs="黑体"/>
          <w:sz w:val="32"/>
          <w:szCs w:val="32"/>
        </w:rPr>
        <w:t>无极镇固定资产占用情况表</w:t>
      </w:r>
    </w:p>
    <w:p>
      <w:pPr>
        <w:spacing w:line="560" w:lineRule="exact"/>
        <w:ind w:firstLine="420" w:firstLineChars="200"/>
        <w:jc w:val="right"/>
        <w:rPr>
          <w:rFonts w:ascii="仿宋" w:hAnsi="仿宋" w:eastAsia="仿宋" w:cs="Times New Roman"/>
          <w:sz w:val="32"/>
          <w:szCs w:val="32"/>
        </w:rPr>
      </w:pPr>
      <w:r>
        <w:rPr>
          <w:rFonts w:hint="eastAsia" w:cs="宋体"/>
        </w:rPr>
        <w:t>截止日期：</w:t>
      </w:r>
      <w:r>
        <w:t>201</w:t>
      </w:r>
      <w:r>
        <w:rPr>
          <w:rFonts w:hint="eastAsia"/>
        </w:rPr>
        <w:t>9</w:t>
      </w:r>
      <w:r>
        <w:rPr>
          <w:rFonts w:hint="eastAsia" w:cs="宋体"/>
        </w:rPr>
        <w:t>年</w:t>
      </w:r>
      <w:r>
        <w:t>12</w:t>
      </w:r>
      <w:r>
        <w:rPr>
          <w:rFonts w:hint="eastAsia" w:cs="宋体"/>
        </w:rPr>
        <w:t>月</w:t>
      </w:r>
      <w:r>
        <w:t>31</w:t>
      </w:r>
      <w:r>
        <w:rPr>
          <w:rFonts w:hint="eastAsia" w:cs="宋体"/>
        </w:rPr>
        <w:t>日</w:t>
      </w:r>
    </w:p>
    <w:tbl>
      <w:tblPr>
        <w:tblStyle w:val="7"/>
        <w:tblpPr w:leftFromText="180" w:rightFromText="180" w:vertAnchor="text" w:horzAnchor="page" w:tblpX="1952" w:tblpY="89"/>
        <w:tblOverlap w:val="never"/>
        <w:tblW w:w="829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27"/>
        <w:gridCol w:w="1678"/>
        <w:gridCol w:w="33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227" w:type="dxa"/>
            <w:vMerge w:val="restart"/>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项目</w:t>
            </w:r>
          </w:p>
        </w:tc>
        <w:tc>
          <w:tcPr>
            <w:tcW w:w="1678" w:type="dxa"/>
            <w:vMerge w:val="restart"/>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数量</w:t>
            </w:r>
          </w:p>
        </w:tc>
        <w:tc>
          <w:tcPr>
            <w:tcW w:w="3390" w:type="dxa"/>
            <w:vMerge w:val="restart"/>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价值（单位：万元</w:t>
            </w:r>
            <w:r>
              <w:rPr>
                <w:rFonts w:ascii="仿宋_GB2312" w:hAnsi="仿宋_GB2312" w:eastAsia="仿宋_GB2312" w:cs="仿宋_GB2312"/>
                <w:b/>
                <w:bCs/>
              </w:rPr>
              <w:t xml:space="preserve"> </w:t>
            </w:r>
            <w:r>
              <w:rPr>
                <w:rFonts w:hint="eastAsia" w:ascii="仿宋_GB2312" w:hAnsi="仿宋_GB2312" w:eastAsia="仿宋_GB2312" w:cs="仿宋_GB2312"/>
                <w:b/>
                <w:bCs/>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227" w:type="dxa"/>
            <w:vMerge w:val="continue"/>
            <w:vAlign w:val="center"/>
          </w:tcPr>
          <w:p>
            <w:pPr>
              <w:spacing w:line="560" w:lineRule="exact"/>
              <w:jc w:val="left"/>
              <w:outlineLvl w:val="0"/>
              <w:rPr>
                <w:rFonts w:ascii="仿宋_GB2312" w:hAnsi="仿宋_GB2312" w:eastAsia="仿宋_GB2312" w:cs="Times New Roman"/>
              </w:rPr>
            </w:pPr>
          </w:p>
        </w:tc>
        <w:tc>
          <w:tcPr>
            <w:tcW w:w="1678" w:type="dxa"/>
            <w:vMerge w:val="continue"/>
            <w:vAlign w:val="center"/>
          </w:tcPr>
          <w:p>
            <w:pPr>
              <w:spacing w:line="560" w:lineRule="exact"/>
              <w:jc w:val="left"/>
              <w:outlineLvl w:val="0"/>
              <w:rPr>
                <w:rFonts w:ascii="仿宋_GB2312" w:hAnsi="仿宋_GB2312" w:eastAsia="仿宋_GB2312" w:cs="Times New Roman"/>
              </w:rPr>
            </w:pPr>
          </w:p>
        </w:tc>
        <w:tc>
          <w:tcPr>
            <w:tcW w:w="3390" w:type="dxa"/>
            <w:vMerge w:val="continue"/>
            <w:vAlign w:val="center"/>
          </w:tcPr>
          <w:p>
            <w:pPr>
              <w:spacing w:line="560" w:lineRule="exact"/>
              <w:jc w:val="left"/>
              <w:outlineLvl w:val="0"/>
              <w:rPr>
                <w:rFonts w:ascii="仿宋_GB2312" w:hAnsi="仿宋_GB2312" w:eastAsia="仿宋_GB2312"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rPr>
        <w:tc>
          <w:tcPr>
            <w:tcW w:w="3227" w:type="dxa"/>
            <w:vAlign w:val="center"/>
          </w:tcPr>
          <w:p>
            <w:pPr>
              <w:spacing w:line="560" w:lineRule="exact"/>
              <w:jc w:val="center"/>
              <w:rPr>
                <w:rFonts w:ascii="仿宋_GB2312" w:hAnsi="仿宋_GB2312" w:eastAsia="仿宋_GB2312" w:cs="Times New Roman"/>
                <w:b/>
                <w:bCs/>
              </w:rPr>
            </w:pPr>
            <w:r>
              <w:rPr>
                <w:rFonts w:hint="eastAsia" w:ascii="仿宋_GB2312" w:hAnsi="仿宋_GB2312" w:eastAsia="仿宋_GB2312" w:cs="仿宋_GB2312"/>
                <w:b/>
                <w:bCs/>
              </w:rPr>
              <w:t>资产总额</w:t>
            </w:r>
          </w:p>
        </w:tc>
        <w:tc>
          <w:tcPr>
            <w:tcW w:w="1678" w:type="dxa"/>
            <w:vAlign w:val="center"/>
          </w:tcPr>
          <w:p>
            <w:pPr>
              <w:spacing w:line="560" w:lineRule="exact"/>
              <w:jc w:val="center"/>
              <w:rPr>
                <w:rFonts w:ascii="仿宋_GB2312" w:hAnsi="仿宋_GB2312" w:eastAsia="仿宋_GB2312" w:cs="Times New Roman"/>
                <w:b/>
                <w:bCs/>
              </w:rPr>
            </w:pPr>
          </w:p>
        </w:tc>
        <w:tc>
          <w:tcPr>
            <w:tcW w:w="3390" w:type="dxa"/>
            <w:vAlign w:val="center"/>
          </w:tcPr>
          <w:p>
            <w:pPr>
              <w:spacing w:line="560" w:lineRule="exact"/>
              <w:jc w:val="center"/>
              <w:rPr>
                <w:rFonts w:ascii="仿宋_GB2312" w:hAnsi="仿宋_GB2312" w:eastAsia="仿宋_GB2312" w:cs="仿宋_GB2312"/>
                <w:b/>
                <w:bCs/>
              </w:rPr>
            </w:pPr>
            <w:r>
              <w:rPr>
                <w:rFonts w:ascii="仿宋_GB2312" w:hAnsi="仿宋_GB2312" w:eastAsia="仿宋_GB2312" w:cs="仿宋_GB2312"/>
                <w:b/>
                <w:bCs/>
              </w:rPr>
              <w:t>1</w:t>
            </w:r>
            <w:r>
              <w:rPr>
                <w:rFonts w:hint="eastAsia" w:ascii="仿宋_GB2312" w:hAnsi="仿宋_GB2312" w:eastAsia="仿宋_GB2312" w:cs="仿宋_GB2312"/>
                <w:b/>
                <w:bCs/>
              </w:rPr>
              <w:t>76.65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1</w:t>
            </w:r>
            <w:r>
              <w:rPr>
                <w:rFonts w:hint="eastAsia" w:ascii="仿宋_GB2312" w:hAnsi="仿宋_GB2312" w:eastAsia="仿宋_GB2312" w:cs="仿宋_GB2312"/>
              </w:rPr>
              <w:t>、房屋（平方米）</w:t>
            </w:r>
          </w:p>
        </w:tc>
        <w:tc>
          <w:tcPr>
            <w:tcW w:w="1678"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4000</w:t>
            </w:r>
          </w:p>
        </w:tc>
        <w:tc>
          <w:tcPr>
            <w:tcW w:w="3390"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73.72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2</w:t>
            </w:r>
            <w:r>
              <w:rPr>
                <w:rFonts w:hint="eastAsia" w:ascii="仿宋_GB2312" w:hAnsi="仿宋_GB2312" w:eastAsia="仿宋_GB2312" w:cs="仿宋_GB2312"/>
              </w:rPr>
              <w:t>、车辆（台、辆）</w:t>
            </w:r>
          </w:p>
        </w:tc>
        <w:tc>
          <w:tcPr>
            <w:tcW w:w="1678" w:type="dxa"/>
            <w:vAlign w:val="center"/>
          </w:tcPr>
          <w:p>
            <w:pPr>
              <w:spacing w:line="560" w:lineRule="exact"/>
              <w:jc w:val="center"/>
              <w:rPr>
                <w:rFonts w:ascii="仿宋_GB2312" w:hAnsi="仿宋_GB2312" w:eastAsia="仿宋_GB2312" w:cs="仿宋_GB2312"/>
              </w:rPr>
            </w:pPr>
            <w:r>
              <w:rPr>
                <w:rFonts w:ascii="仿宋_GB2312" w:hAnsi="仿宋_GB2312" w:eastAsia="仿宋_GB2312" w:cs="仿宋_GB2312"/>
              </w:rPr>
              <w:t>3</w:t>
            </w:r>
          </w:p>
        </w:tc>
        <w:tc>
          <w:tcPr>
            <w:tcW w:w="3390"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3</w:t>
            </w:r>
            <w:r>
              <w:rPr>
                <w:rFonts w:hint="eastAsia" w:ascii="仿宋_GB2312" w:hAnsi="仿宋_GB2312" w:eastAsia="仿宋_GB2312" w:cs="仿宋_GB2312"/>
              </w:rPr>
              <w:t>、单价在</w:t>
            </w:r>
            <w:r>
              <w:rPr>
                <w:rFonts w:ascii="仿宋_GB2312" w:hAnsi="仿宋_GB2312" w:eastAsia="仿宋_GB2312" w:cs="仿宋_GB2312"/>
              </w:rPr>
              <w:t>50</w:t>
            </w:r>
            <w:r>
              <w:rPr>
                <w:rFonts w:hint="eastAsia" w:ascii="仿宋_GB2312" w:hAnsi="仿宋_GB2312" w:eastAsia="仿宋_GB2312" w:cs="仿宋_GB2312"/>
              </w:rPr>
              <w:t>万以上设备</w:t>
            </w:r>
          </w:p>
        </w:tc>
        <w:tc>
          <w:tcPr>
            <w:tcW w:w="1678"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w:t>
            </w:r>
          </w:p>
        </w:tc>
        <w:tc>
          <w:tcPr>
            <w:tcW w:w="3390"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trPr>
        <w:tc>
          <w:tcPr>
            <w:tcW w:w="3227" w:type="dxa"/>
            <w:vAlign w:val="center"/>
          </w:tcPr>
          <w:p>
            <w:pPr>
              <w:spacing w:line="560" w:lineRule="exact"/>
              <w:jc w:val="left"/>
              <w:rPr>
                <w:rFonts w:ascii="仿宋_GB2312" w:hAnsi="仿宋_GB2312" w:eastAsia="仿宋_GB2312" w:cs="Times New Roman"/>
              </w:rPr>
            </w:pPr>
            <w:r>
              <w:rPr>
                <w:rFonts w:ascii="仿宋_GB2312" w:hAnsi="仿宋_GB2312" w:eastAsia="仿宋_GB2312" w:cs="仿宋_GB2312"/>
              </w:rPr>
              <w:t>4</w:t>
            </w:r>
            <w:r>
              <w:rPr>
                <w:rFonts w:hint="eastAsia" w:ascii="仿宋_GB2312" w:hAnsi="仿宋_GB2312" w:eastAsia="仿宋_GB2312" w:cs="仿宋_GB2312"/>
              </w:rPr>
              <w:t>、其他固定资产</w:t>
            </w:r>
          </w:p>
        </w:tc>
        <w:tc>
          <w:tcPr>
            <w:tcW w:w="1678"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w:t>
            </w:r>
          </w:p>
        </w:tc>
        <w:tc>
          <w:tcPr>
            <w:tcW w:w="3390" w:type="dxa"/>
            <w:vAlign w:val="center"/>
          </w:tcPr>
          <w:p>
            <w:pPr>
              <w:spacing w:line="560" w:lineRule="exact"/>
              <w:jc w:val="center"/>
              <w:rPr>
                <w:rFonts w:ascii="仿宋_GB2312" w:hAnsi="仿宋_GB2312" w:eastAsia="仿宋_GB2312" w:cs="Times New Roman"/>
              </w:rPr>
            </w:pPr>
            <w:r>
              <w:rPr>
                <w:rFonts w:ascii="仿宋_GB2312" w:hAnsi="仿宋_GB2312" w:eastAsia="仿宋_GB2312" w:cs="仿宋_GB2312"/>
              </w:rPr>
              <w:t>55.53</w:t>
            </w:r>
          </w:p>
        </w:tc>
      </w:tr>
    </w:tbl>
    <w:p>
      <w:pPr>
        <w:spacing w:line="560" w:lineRule="exact"/>
        <w:ind w:firstLine="640" w:firstLineChars="200"/>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p>
    <w:p>
      <w:pPr>
        <w:spacing w:line="560" w:lineRule="exact"/>
        <w:ind w:firstLine="640" w:firstLineChars="200"/>
        <w:rPr>
          <w:rFonts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5"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12</w:t>
    </w:r>
    <w: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4"/>
    <w:multiLevelType w:val="multilevel"/>
    <w:tmpl w:val="00000004"/>
    <w:lvl w:ilvl="0" w:tentative="0">
      <w:start w:val="1"/>
      <w:numFmt w:val="decimal"/>
      <w:lvlText w:val="%1."/>
      <w:lvlJc w:val="left"/>
      <w:pPr>
        <w:tabs>
          <w:tab w:val="left" w:pos="1047"/>
        </w:tabs>
        <w:ind w:left="1047" w:hanging="420"/>
      </w:pPr>
    </w:lvl>
    <w:lvl w:ilvl="1" w:tentative="0">
      <w:start w:val="1"/>
      <w:numFmt w:val="lowerLetter"/>
      <w:lvlText w:val="%2)"/>
      <w:lvlJc w:val="left"/>
      <w:pPr>
        <w:tabs>
          <w:tab w:val="left" w:pos="1467"/>
        </w:tabs>
        <w:ind w:left="1467" w:hanging="420"/>
      </w:pPr>
    </w:lvl>
    <w:lvl w:ilvl="2" w:tentative="0">
      <w:start w:val="1"/>
      <w:numFmt w:val="lowerRoman"/>
      <w:lvlText w:val="%3."/>
      <w:lvlJc w:val="right"/>
      <w:pPr>
        <w:tabs>
          <w:tab w:val="left" w:pos="1887"/>
        </w:tabs>
        <w:ind w:left="1887" w:hanging="420"/>
      </w:pPr>
    </w:lvl>
    <w:lvl w:ilvl="3" w:tentative="0">
      <w:start w:val="1"/>
      <w:numFmt w:val="decimal"/>
      <w:lvlText w:val="%4."/>
      <w:lvlJc w:val="left"/>
      <w:pPr>
        <w:tabs>
          <w:tab w:val="left" w:pos="2307"/>
        </w:tabs>
        <w:ind w:left="2307" w:hanging="420"/>
      </w:pPr>
    </w:lvl>
    <w:lvl w:ilvl="4" w:tentative="0">
      <w:start w:val="1"/>
      <w:numFmt w:val="lowerLetter"/>
      <w:lvlText w:val="%5)"/>
      <w:lvlJc w:val="left"/>
      <w:pPr>
        <w:tabs>
          <w:tab w:val="left" w:pos="2727"/>
        </w:tabs>
        <w:ind w:left="2727" w:hanging="420"/>
      </w:pPr>
    </w:lvl>
    <w:lvl w:ilvl="5" w:tentative="0">
      <w:start w:val="1"/>
      <w:numFmt w:val="lowerRoman"/>
      <w:lvlText w:val="%6."/>
      <w:lvlJc w:val="right"/>
      <w:pPr>
        <w:tabs>
          <w:tab w:val="left" w:pos="3147"/>
        </w:tabs>
        <w:ind w:left="3147" w:hanging="420"/>
      </w:pPr>
    </w:lvl>
    <w:lvl w:ilvl="6" w:tentative="0">
      <w:start w:val="1"/>
      <w:numFmt w:val="decimal"/>
      <w:lvlText w:val="%7."/>
      <w:lvlJc w:val="left"/>
      <w:pPr>
        <w:tabs>
          <w:tab w:val="left" w:pos="3567"/>
        </w:tabs>
        <w:ind w:left="3567" w:hanging="420"/>
      </w:pPr>
    </w:lvl>
    <w:lvl w:ilvl="7" w:tentative="0">
      <w:start w:val="1"/>
      <w:numFmt w:val="lowerLetter"/>
      <w:lvlText w:val="%8)"/>
      <w:lvlJc w:val="left"/>
      <w:pPr>
        <w:tabs>
          <w:tab w:val="left" w:pos="3987"/>
        </w:tabs>
        <w:ind w:left="3987" w:hanging="420"/>
      </w:pPr>
    </w:lvl>
    <w:lvl w:ilvl="8" w:tentative="0">
      <w:start w:val="1"/>
      <w:numFmt w:val="lowerRoman"/>
      <w:lvlText w:val="%9."/>
      <w:lvlJc w:val="right"/>
      <w:pPr>
        <w:tabs>
          <w:tab w:val="left" w:pos="4407"/>
        </w:tabs>
        <w:ind w:left="4407"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7753B"/>
    <w:rsid w:val="00A725E1"/>
    <w:rsid w:val="00E7753B"/>
    <w:rsid w:val="00F504DF"/>
    <w:rsid w:val="35380FF8"/>
    <w:rsid w:val="738B2F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1"/>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2"/>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uiPriority w:val="0"/>
    <w:rPr>
      <w:rFonts w:ascii="Times New Roman" w:hAnsi="Times New Roman" w:cs="Times New Roman"/>
    </w:rPr>
  </w:style>
  <w:style w:type="paragraph" w:styleId="5">
    <w:name w:val="footnote text"/>
    <w:basedOn w:val="1"/>
    <w:link w:val="13"/>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uiPriority w:val="0"/>
    <w:rPr>
      <w:vertAlign w:val="superscript"/>
    </w:rPr>
  </w:style>
  <w:style w:type="paragraph" w:customStyle="1" w:styleId="10">
    <w:name w:val="Char"/>
    <w:basedOn w:val="1"/>
    <w:qFormat/>
    <w:uiPriority w:val="0"/>
    <w:rPr>
      <w:rFonts w:ascii="Times New Roman" w:hAnsi="Times New Roman" w:cs="Times New Roman"/>
    </w:rPr>
  </w:style>
  <w:style w:type="character" w:customStyle="1" w:styleId="11">
    <w:name w:val="页脚 Char"/>
    <w:link w:val="2"/>
    <w:semiHidden/>
    <w:uiPriority w:val="0"/>
    <w:rPr>
      <w:rFonts w:ascii="Times New Roman" w:hAnsi="Times New Roman" w:eastAsia="宋体" w:cs="Times New Roman"/>
      <w:sz w:val="18"/>
      <w:szCs w:val="18"/>
    </w:rPr>
  </w:style>
  <w:style w:type="character" w:customStyle="1" w:styleId="12">
    <w:name w:val="页眉 Char"/>
    <w:link w:val="3"/>
    <w:semiHidden/>
    <w:qFormat/>
    <w:uiPriority w:val="0"/>
    <w:rPr>
      <w:rFonts w:ascii="Times New Roman" w:hAnsi="Times New Roman" w:eastAsia="宋体" w:cs="Times New Roman"/>
      <w:sz w:val="18"/>
      <w:szCs w:val="18"/>
    </w:rPr>
  </w:style>
  <w:style w:type="character" w:customStyle="1" w:styleId="13">
    <w:name w:val="脚注文本 Char"/>
    <w:link w:val="5"/>
    <w:semiHidden/>
    <w:qFormat/>
    <w:uiPriority w:val="0"/>
    <w:rPr>
      <w:rFonts w:ascii="Calibri" w:hAnsi="Calibri" w:cs="Calibri"/>
      <w:sz w:val="18"/>
      <w:szCs w:val="18"/>
    </w:rPr>
  </w:style>
  <w:style w:type="character" w:customStyle="1" w:styleId="14">
    <w:name w:val="页码1"/>
    <w:qFormat/>
    <w:uiPriority w:val="0"/>
  </w:style>
  <w:style w:type="character" w:customStyle="1" w:styleId="15">
    <w:name w:val="Char Char1"/>
    <w:qFormat/>
    <w:uiPriority w:val="0"/>
    <w:rPr>
      <w:kern w:val="2"/>
      <w:sz w:val="18"/>
      <w:szCs w:val="18"/>
    </w:rPr>
  </w:style>
  <w:style w:type="character" w:customStyle="1" w:styleId="16">
    <w:name w:val="Char Char Char"/>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12</Pages>
  <Words>808</Words>
  <Characters>4608</Characters>
  <Lines>38</Lines>
  <Paragraphs>10</Paragraphs>
  <TotalTime>1</TotalTime>
  <ScaleCrop>false</ScaleCrop>
  <LinksUpToDate>false</LinksUpToDate>
  <CharactersWithSpaces>5406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2017-01-24T09:29:00Z</dcterms:created>
  <dc:creator>guest</dc:creator>
  <cp:lastModifiedBy>Administrator</cp:lastModifiedBy>
  <cp:lastPrinted>2020-01-11T07:53:00Z</cp:lastPrinted>
  <dcterms:modified xsi:type="dcterms:W3CDTF">2024-06-20T14:00:41Z</dcterms:modified>
  <dc:title>lenovo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0BBACE9303604B32B8694861DF4D14B5</vt:lpwstr>
  </property>
</Properties>
</file>