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cs="宋体"/>
          <w:b/>
          <w:bCs/>
          <w:sz w:val="44"/>
          <w:szCs w:val="44"/>
        </w:rPr>
      </w:pPr>
    </w:p>
    <w:p>
      <w:pPr>
        <w:ind w:firstLine="4996" w:firstLineChars="1131"/>
        <w:rPr>
          <w:rFonts w:ascii="宋体" w:hAnsi="宋体" w:cs="宋体"/>
          <w:b/>
          <w:bCs/>
          <w:sz w:val="44"/>
          <w:szCs w:val="44"/>
        </w:rPr>
      </w:pPr>
      <w:r>
        <w:rPr>
          <w:rFonts w:hint="eastAsia" w:ascii="宋体" w:hAnsi="宋体" w:cs="宋体"/>
          <w:b/>
          <w:bCs/>
          <w:sz w:val="44"/>
          <w:szCs w:val="44"/>
        </w:rPr>
        <w:t xml:space="preserve">   无极县统计局    </w:t>
      </w:r>
    </w:p>
    <w:p>
      <w:pPr>
        <w:jc w:val="center"/>
        <w:rPr>
          <w:rFonts w:ascii="宋体" w:hAnsi="宋体" w:cs="宋体"/>
          <w:b/>
          <w:bCs/>
          <w:sz w:val="44"/>
          <w:szCs w:val="44"/>
        </w:rPr>
      </w:pPr>
      <w:r>
        <w:rPr>
          <w:rFonts w:hint="eastAsia" w:ascii="宋体" w:hAnsi="宋体" w:cs="宋体"/>
          <w:b/>
          <w:bCs/>
          <w:sz w:val="44"/>
          <w:szCs w:val="44"/>
        </w:rPr>
        <w:t>2017年部门预算信息公开说明目录</w:t>
      </w:r>
    </w:p>
    <w:p>
      <w:pPr>
        <w:rPr>
          <w:rFonts w:ascii="宋体" w:hAnsi="宋体" w:cs="宋体"/>
          <w:b/>
          <w:bCs/>
          <w:sz w:val="44"/>
          <w:szCs w:val="44"/>
        </w:rPr>
      </w:pPr>
    </w:p>
    <w:p/>
    <w:p>
      <w:pPr>
        <w:ind w:firstLine="640" w:firstLineChars="200"/>
        <w:rPr>
          <w:rFonts w:asci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九、其他需要说明的事项</w:t>
      </w:r>
    </w:p>
    <w:p>
      <w:pPr>
        <w:autoSpaceDE w:val="0"/>
        <w:autoSpaceDN w:val="0"/>
        <w:adjustRightInd w:val="0"/>
        <w:ind w:firstLine="640" w:firstLineChars="200"/>
        <w:jc w:val="left"/>
        <w:rPr>
          <w:rFonts w:ascii="宋体" w:hAnsi="宋体" w:cs="仿宋_GB2312"/>
          <w:sz w:val="32"/>
          <w:szCs w:val="32"/>
        </w:rPr>
      </w:pPr>
    </w:p>
    <w:p>
      <w:pPr>
        <w:autoSpaceDE w:val="0"/>
        <w:autoSpaceDN w:val="0"/>
        <w:adjustRightInd w:val="0"/>
        <w:ind w:firstLine="640" w:firstLineChars="200"/>
        <w:jc w:val="left"/>
        <w:rPr>
          <w:rFonts w:ascii="宋体" w:hAnsi="宋体" w:cs="仿宋_GB2312"/>
          <w:sz w:val="32"/>
          <w:szCs w:val="32"/>
        </w:rPr>
      </w:pPr>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bookmarkStart w:id="1" w:name="_GoBack"/>
      <w:bookmarkEnd w:id="1"/>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、《地方预决算公开操作规程》和《河北省省级预算公开办法》规定，现将无极县统计局</w:t>
      </w:r>
      <w:r>
        <w:rPr>
          <w:rFonts w:ascii="仿宋_GB2312" w:hAnsi="仿宋" w:eastAsia="仿宋_GB2312" w:cs="仿宋"/>
          <w:sz w:val="32"/>
          <w:szCs w:val="32"/>
        </w:rPr>
        <w:t>2017</w:t>
      </w:r>
      <w:r>
        <w:rPr>
          <w:rFonts w:hint="eastAsia" w:ascii="仿宋_GB2312" w:hAnsi="仿宋" w:eastAsia="仿宋_GB2312" w:cs="仿宋"/>
          <w:sz w:val="32"/>
          <w:szCs w:val="32"/>
        </w:rPr>
        <w:t>年部门预算公开如下：</w:t>
      </w:r>
    </w:p>
    <w:p>
      <w:pPr>
        <w:ind w:left="800"/>
        <w:rPr>
          <w:rFonts w:ascii="黑体" w:hAnsi="黑体" w:eastAsia="黑体" w:cs="黑体"/>
          <w:sz w:val="32"/>
          <w:szCs w:val="32"/>
        </w:rPr>
      </w:pPr>
      <w:r>
        <w:rPr>
          <w:rFonts w:hint="eastAsia" w:ascii="黑体" w:hAnsi="黑体" w:eastAsia="黑体" w:cs="黑体"/>
          <w:sz w:val="32"/>
          <w:szCs w:val="32"/>
        </w:rPr>
        <w:t>一、部门职责及机构设置情况</w:t>
      </w:r>
    </w:p>
    <w:p>
      <w:pPr>
        <w:ind w:firstLine="643" w:firstLineChars="200"/>
        <w:rPr>
          <w:rFonts w:ascii="仿宋_GB2312" w:hAnsi="仿宋_GB2312" w:eastAsia="仿宋_GB2312" w:cs="仿宋_GB2312"/>
          <w:b/>
          <w:bCs/>
          <w:sz w:val="32"/>
          <w:szCs w:val="32"/>
        </w:rPr>
      </w:pPr>
      <w:r>
        <w:rPr>
          <w:rFonts w:hint="eastAsia" w:ascii="宋体" w:hAnsi="宋体" w:cs="宋体"/>
          <w:b/>
          <w:bCs/>
          <w:sz w:val="32"/>
          <w:szCs w:val="32"/>
        </w:rPr>
        <w:t xml:space="preserve"> </w:t>
      </w:r>
      <w:r>
        <w:rPr>
          <w:rFonts w:hint="eastAsia" w:ascii="楷体_GB2312" w:hAnsi="楷体_GB2312" w:eastAsia="楷体_GB2312" w:cs="楷体_GB2312"/>
          <w:sz w:val="32"/>
          <w:szCs w:val="32"/>
        </w:rPr>
        <w:t>（一）主要职责</w:t>
      </w:r>
    </w:p>
    <w:p>
      <w:pPr>
        <w:ind w:firstLine="567"/>
        <w:rPr>
          <w:rFonts w:ascii="仿宋_GB2312" w:hAnsi="仿宋_GB2312" w:eastAsia="仿宋_GB2312" w:cs="仿宋_GB2312"/>
          <w:sz w:val="32"/>
          <w:szCs w:val="32"/>
        </w:rPr>
      </w:pPr>
      <w:r>
        <w:rPr>
          <w:rFonts w:hint="eastAsia" w:ascii="仿宋_GB2312" w:hAnsi="仿宋_GB2312" w:eastAsia="仿宋_GB2312"/>
          <w:sz w:val="32"/>
        </w:rPr>
        <w:t xml:space="preserve"> </w:t>
      </w:r>
      <w:r>
        <w:rPr>
          <w:rFonts w:hint="eastAsia" w:ascii="仿宋_GB2312" w:hAnsi="仿宋_GB2312" w:eastAsia="仿宋_GB2312" w:cs="仿宋_GB2312"/>
          <w:sz w:val="32"/>
          <w:szCs w:val="32"/>
        </w:rPr>
        <w:t>1、完成国家统计调查任务，执行国家统计标准，执行全国统一的基本统计报表制度。</w:t>
      </w:r>
    </w:p>
    <w:p>
      <w:pPr>
        <w:ind w:firstLine="567"/>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2、制订本行政区域内的统计工作现代化规划、统计调查计划和统计调查方案，统一领导和协调本行政区域内包括中央和地方的统计工作，监督检查统计法规和统计制度的实施。</w:t>
      </w:r>
    </w:p>
    <w:p>
      <w:pPr>
        <w:ind w:firstLine="567"/>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3、根据本行政区域内制订计划和进行管理的需要，搜集、整理、提供基本统计资料，对本行政区域内的国民经济和社会发展情况进行统计分析、统计预测和统计监督。</w:t>
      </w:r>
    </w:p>
    <w:p>
      <w:pPr>
        <w:ind w:firstLine="567"/>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4、审查本行政区域内各部门的统计调查计划和统计调查方案，管理本行政区域各部门制发的统计调查表。</w:t>
      </w:r>
    </w:p>
    <w:p>
      <w:pPr>
        <w:ind w:firstLine="567"/>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5、按照国家有关规定，检查、审定、管理、公布、出版本行政区域内的基本统计资料，发布本行政区域内国民经济和社会发展情况的统计公报。</w:t>
      </w:r>
    </w:p>
    <w:p>
      <w:pPr>
        <w:ind w:firstLine="567"/>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6、统一管理县无极县城市社会经济调查队、无极县农村经济调查队、无极县普查中心和无极县文化产业统计中心。</w:t>
      </w:r>
    </w:p>
    <w:p>
      <w:pPr>
        <w:ind w:firstLine="567"/>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7、组织指导本行政区域内各部门、各单位加强统计基础工作建设，加强统计教育、统计干部培训和统计科学研究工作。</w:t>
      </w:r>
    </w:p>
    <w:p>
      <w:pPr>
        <w:numPr>
          <w:ilvl w:val="0"/>
          <w:numId w:val="1"/>
        </w:numPr>
        <w:ind w:firstLine="645"/>
        <w:rPr>
          <w:rFonts w:ascii="楷体_GB2312" w:hAnsi="楷体_GB2312" w:eastAsia="楷体_GB2312" w:cs="楷体_GB2312"/>
          <w:sz w:val="32"/>
          <w:szCs w:val="32"/>
        </w:rPr>
      </w:pPr>
      <w:r>
        <w:rPr>
          <w:rFonts w:hint="eastAsia" w:ascii="楷体_GB2312" w:hAnsi="楷体_GB2312" w:eastAsia="楷体_GB2312" w:cs="楷体_GB2312"/>
          <w:sz w:val="32"/>
          <w:szCs w:val="32"/>
        </w:rPr>
        <w:t>机构设置</w:t>
      </w:r>
    </w:p>
    <w:p>
      <w:pPr>
        <w:jc w:val="center"/>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部门机构设置情况</w:t>
      </w:r>
    </w:p>
    <w:tbl>
      <w:tblPr>
        <w:tblStyle w:val="4"/>
        <w:tblW w:w="115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68"/>
        <w:gridCol w:w="2220"/>
        <w:gridCol w:w="1965"/>
        <w:gridCol w:w="32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4068" w:type="dxa"/>
            <w:vAlign w:val="center"/>
          </w:tcPr>
          <w:p>
            <w:pPr>
              <w:tabs>
                <w:tab w:val="left" w:pos="1035"/>
                <w:tab w:val="center" w:pos="2173"/>
              </w:tabs>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b/>
                <w:sz w:val="32"/>
                <w:szCs w:val="32"/>
              </w:rPr>
              <w:tab/>
            </w:r>
            <w:r>
              <w:rPr>
                <w:rFonts w:hint="eastAsia" w:ascii="仿宋_GB2312" w:hAnsi="仿宋_GB2312" w:eastAsia="仿宋_GB2312" w:cs="仿宋_GB2312"/>
                <w:bCs/>
                <w:sz w:val="32"/>
                <w:szCs w:val="32"/>
              </w:rPr>
              <w:tab/>
            </w:r>
            <w:r>
              <w:rPr>
                <w:rFonts w:hint="eastAsia" w:ascii="仿宋_GB2312" w:hAnsi="仿宋_GB2312" w:eastAsia="仿宋_GB2312" w:cs="仿宋_GB2312"/>
                <w:bCs/>
                <w:sz w:val="32"/>
                <w:szCs w:val="32"/>
              </w:rPr>
              <w:t>单位名称</w:t>
            </w:r>
          </w:p>
        </w:tc>
        <w:tc>
          <w:tcPr>
            <w:tcW w:w="2220" w:type="dxa"/>
            <w:vAlign w:val="center"/>
          </w:tcPr>
          <w:p>
            <w:pPr>
              <w:spacing w:line="300" w:lineRule="exact"/>
              <w:jc w:val="center"/>
              <w:rPr>
                <w:rFonts w:ascii="仿宋_GB2312" w:hAnsi="仿宋_GB2312" w:eastAsia="仿宋_GB2312" w:cs="仿宋_GB2312"/>
                <w:b/>
                <w:sz w:val="32"/>
                <w:szCs w:val="32"/>
              </w:rPr>
            </w:pPr>
            <w:r>
              <w:rPr>
                <w:rFonts w:hint="eastAsia" w:ascii="仿宋_GB2312" w:hAnsi="仿宋_GB2312" w:eastAsia="仿宋_GB2312" w:cs="仿宋_GB2312"/>
                <w:bCs/>
                <w:sz w:val="32"/>
                <w:szCs w:val="32"/>
              </w:rPr>
              <w:t>单位性质</w:t>
            </w:r>
          </w:p>
        </w:tc>
        <w:tc>
          <w:tcPr>
            <w:tcW w:w="1965" w:type="dxa"/>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单位规格</w:t>
            </w:r>
          </w:p>
        </w:tc>
        <w:tc>
          <w:tcPr>
            <w:tcW w:w="3287" w:type="dxa"/>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068"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无极县统计局</w:t>
            </w:r>
          </w:p>
        </w:tc>
        <w:tc>
          <w:tcPr>
            <w:tcW w:w="2220"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行政</w:t>
            </w:r>
          </w:p>
        </w:tc>
        <w:tc>
          <w:tcPr>
            <w:tcW w:w="1965" w:type="dxa"/>
            <w:vAlign w:val="center"/>
          </w:tcPr>
          <w:p>
            <w:pPr>
              <w:spacing w:line="30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正科级</w:t>
            </w:r>
          </w:p>
        </w:tc>
        <w:tc>
          <w:tcPr>
            <w:tcW w:w="3287" w:type="dxa"/>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财政拨款</w:t>
            </w:r>
          </w:p>
        </w:tc>
      </w:tr>
    </w:tbl>
    <w:p>
      <w:pPr>
        <w:rPr>
          <w:rFonts w:ascii="仿宋" w:hAnsi="仿宋" w:eastAsia="仿宋"/>
          <w:sz w:val="32"/>
          <w:szCs w:val="32"/>
        </w:rPr>
      </w:pPr>
    </w:p>
    <w:p>
      <w:pPr>
        <w:ind w:firstLine="640" w:firstLineChars="200"/>
        <w:rPr>
          <w:rFonts w:ascii="黑体" w:hAnsi="黑体" w:eastAsia="黑体" w:cs="黑体"/>
          <w:sz w:val="32"/>
          <w:szCs w:val="32"/>
        </w:rPr>
      </w:pPr>
      <w:r>
        <w:rPr>
          <w:rFonts w:hint="eastAsia" w:ascii="黑体" w:hAnsi="黑体" w:eastAsia="黑体" w:cs="黑体"/>
          <w:sz w:val="32"/>
          <w:szCs w:val="32"/>
        </w:rPr>
        <w:t>二、部门预算安排的总体情况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按照预算管理有关规定，目前我县部门预算的编制实行综合预算制度，即全部收入和支出都反映在预算里，我部门及所属单位所有收支都包含在部门预算中。</w:t>
      </w:r>
    </w:p>
    <w:p>
      <w:pPr>
        <w:numPr>
          <w:ilvl w:val="0"/>
          <w:numId w:val="2"/>
        </w:numPr>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收入说明</w:t>
      </w:r>
    </w:p>
    <w:p>
      <w:pPr>
        <w:adjustRightInd w:val="0"/>
        <w:snapToGrid w:val="0"/>
        <w:spacing w:line="600" w:lineRule="exact"/>
        <w:ind w:firstLine="600" w:firstLineChars="200"/>
        <w:jc w:val="left"/>
        <w:rPr>
          <w:rFonts w:ascii="楷体" w:hAnsi="楷体" w:eastAsia="楷体" w:cs="仿宋_GB2312"/>
          <w:sz w:val="30"/>
          <w:szCs w:val="30"/>
        </w:rPr>
      </w:pPr>
      <w:r>
        <w:rPr>
          <w:rFonts w:hint="eastAsia" w:ascii="楷体" w:hAnsi="楷体" w:eastAsia="楷体" w:cs="仿宋_GB2312"/>
          <w:sz w:val="30"/>
          <w:szCs w:val="30"/>
        </w:rPr>
        <w:t xml:space="preserve"> </w:t>
      </w:r>
      <w:r>
        <w:rPr>
          <w:rFonts w:hint="eastAsia" w:ascii="仿宋_GB2312" w:eastAsia="仿宋_GB2312" w:cs="仿宋_GB2312"/>
          <w:bCs/>
          <w:sz w:val="32"/>
          <w:szCs w:val="32"/>
        </w:rPr>
        <w:t>无极县统计局2017年预算收入总计410.18万元。其中一般公共预算收入410.18万元、政府性基金收入0万元、财政专户核拨收入0万元，其他来源收入0万元。</w:t>
      </w:r>
    </w:p>
    <w:p>
      <w:pPr>
        <w:numPr>
          <w:ilvl w:val="0"/>
          <w:numId w:val="3"/>
        </w:numPr>
        <w:ind w:firstLine="645"/>
        <w:rPr>
          <w:rFonts w:ascii="宋体" w:hAnsi="宋体" w:cs="宋体"/>
          <w:sz w:val="32"/>
          <w:szCs w:val="32"/>
        </w:rPr>
      </w:pPr>
      <w:r>
        <w:rPr>
          <w:rFonts w:hint="eastAsia" w:ascii="楷体_GB2312" w:hAnsi="楷体_GB2312" w:eastAsia="楷体_GB2312" w:cs="楷体_GB2312"/>
          <w:sz w:val="32"/>
          <w:szCs w:val="32"/>
        </w:rPr>
        <w:t>支出说明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楷体" w:hAnsi="楷体" w:eastAsia="楷体"/>
          <w:sz w:val="32"/>
          <w:szCs w:val="32"/>
        </w:rPr>
        <w:t xml:space="preserve"> </w:t>
      </w:r>
      <w:r>
        <w:rPr>
          <w:rFonts w:hint="eastAsia" w:ascii="仿宋_GB2312" w:eastAsia="仿宋_GB2312" w:cs="仿宋_GB2312"/>
          <w:bCs/>
          <w:sz w:val="32"/>
          <w:szCs w:val="32"/>
        </w:rPr>
        <w:t>2017年预算支出410.18万元。其中，人员经费支出274.11万元，正常公用经费20.5万元，项目支出115.57万元。</w:t>
      </w:r>
    </w:p>
    <w:p>
      <w:pPr>
        <w:numPr>
          <w:ilvl w:val="0"/>
          <w:numId w:val="4"/>
        </w:numPr>
        <w:ind w:firstLine="645"/>
        <w:rPr>
          <w:rFonts w:ascii="楷体_GB2312" w:hAnsi="楷体_GB2312" w:eastAsia="楷体_GB2312" w:cs="楷体_GB2312"/>
          <w:sz w:val="32"/>
          <w:szCs w:val="32"/>
        </w:rPr>
      </w:pPr>
      <w:r>
        <w:rPr>
          <w:rFonts w:hint="eastAsia" w:ascii="楷体_GB2312" w:hAnsi="楷体_GB2312" w:eastAsia="楷体_GB2312" w:cs="楷体_GB2312"/>
          <w:sz w:val="32"/>
          <w:szCs w:val="32"/>
        </w:rPr>
        <w:t>比上年增减情况</w:t>
      </w:r>
    </w:p>
    <w:p>
      <w:pPr>
        <w:rPr>
          <w:rFonts w:ascii="楷体" w:hAnsi="楷体" w:eastAsia="楷体"/>
          <w:sz w:val="32"/>
          <w:szCs w:val="32"/>
        </w:rPr>
      </w:pPr>
      <w:r>
        <w:rPr>
          <w:rFonts w:hint="eastAsia" w:ascii="仿宋_GB2312" w:eastAsia="仿宋_GB2312" w:cs="仿宋_GB2312"/>
          <w:bCs/>
          <w:sz w:val="32"/>
          <w:szCs w:val="32"/>
        </w:rPr>
        <w:t xml:space="preserve">    2017年预算收入总计410.18万元,与2016年相比增加48.07万元,增加原因为项目支出增加。</w:t>
      </w:r>
    </w:p>
    <w:p>
      <w:pPr>
        <w:rPr>
          <w:rFonts w:ascii="黑体" w:hAnsi="黑体" w:eastAsia="黑体" w:cs="黑体"/>
          <w:sz w:val="32"/>
          <w:szCs w:val="32"/>
        </w:rPr>
      </w:pPr>
      <w:r>
        <w:rPr>
          <w:rFonts w:hint="eastAsia" w:ascii="黑体" w:hAnsi="黑体" w:eastAsia="黑体" w:cs="黑体"/>
          <w:sz w:val="32"/>
          <w:szCs w:val="32"/>
        </w:rPr>
        <w:t xml:space="preserve">    三、机关运行经费安排情况</w:t>
      </w:r>
    </w:p>
    <w:p>
      <w:pPr>
        <w:adjustRightInd w:val="0"/>
        <w:snapToGrid w:val="0"/>
        <w:spacing w:line="600" w:lineRule="exact"/>
        <w:ind w:firstLine="320" w:firstLineChars="1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2017年机关运行经费共计安排10.4万元，主要用于我部门日常办公、邮电费及公务用车运行维护费等日常运行支出。</w:t>
      </w:r>
    </w:p>
    <w:p>
      <w:pPr>
        <w:autoSpaceDE w:val="0"/>
        <w:autoSpaceDN w:val="0"/>
        <w:adjustRightInd w:val="0"/>
        <w:jc w:val="left"/>
        <w:rPr>
          <w:rFonts w:ascii="黑体" w:hAnsi="黑体" w:eastAsia="黑体" w:cs="黑体"/>
          <w:sz w:val="32"/>
          <w:szCs w:val="32"/>
        </w:rPr>
      </w:pPr>
      <w:r>
        <w:rPr>
          <w:rFonts w:hint="eastAsia" w:ascii="宋体" w:hAnsi="宋体" w:cs="宋体"/>
          <w:b/>
          <w:bCs/>
          <w:sz w:val="44"/>
          <w:szCs w:val="44"/>
        </w:rPr>
        <w:t xml:space="preserve">   </w:t>
      </w:r>
      <w:r>
        <w:rPr>
          <w:rFonts w:hint="eastAsia" w:ascii="黑体" w:hAnsi="黑体" w:eastAsia="黑体" w:cs="黑体"/>
          <w:sz w:val="32"/>
          <w:szCs w:val="32"/>
        </w:rPr>
        <w:t>四、财政拨款“三公”经费预算情况及增减变化原因</w:t>
      </w:r>
    </w:p>
    <w:p>
      <w:pPr>
        <w:rPr>
          <w:rFonts w:ascii="仿宋_GB2312" w:hAnsi="仿宋_GB2312" w:eastAsia="仿宋_GB2312" w:cs="仿宋_GB2312"/>
          <w:sz w:val="32"/>
          <w:szCs w:val="32"/>
        </w:rPr>
      </w:pPr>
      <w:r>
        <w:rPr>
          <w:rFonts w:hint="eastAsia" w:ascii="黑体" w:hAnsi="黑体" w:eastAsia="黑体" w:cs="仿宋_GB2312"/>
          <w:sz w:val="32"/>
          <w:szCs w:val="32"/>
        </w:rPr>
        <w:t xml:space="preserve">    </w:t>
      </w:r>
      <w:r>
        <w:rPr>
          <w:rFonts w:hint="eastAsia" w:ascii="仿宋_GB2312" w:hAnsi="仿宋_GB2312" w:eastAsia="仿宋_GB2312" w:cs="仿宋_GB2312"/>
          <w:sz w:val="32"/>
          <w:szCs w:val="32"/>
        </w:rPr>
        <w:t>2017年本部门安排“三公”经费3.7万元，与上年持平,无增减变化。其中：</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1、因公出国（境）费0万元，与上年持平,无增减变化。</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2、公务用车购置0万元及运行维护费3.5 万元，与上年持平,无增减变化。</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3、公务接待费0.2万元，与上年持平,无增减变化。</w:t>
      </w:r>
    </w:p>
    <w:p>
      <w:pPr>
        <w:ind w:firstLine="640" w:firstLineChars="200"/>
        <w:outlineLvl w:val="0"/>
        <w:rPr>
          <w:rFonts w:ascii="黑体" w:hAnsi="黑体" w:eastAsia="黑体" w:cs="黑体"/>
          <w:sz w:val="32"/>
          <w:szCs w:val="32"/>
        </w:rPr>
      </w:pPr>
      <w:r>
        <w:rPr>
          <w:rFonts w:hint="eastAsia" w:ascii="黑体" w:hAnsi="黑体" w:eastAsia="黑体" w:cs="黑体"/>
          <w:sz w:val="32"/>
          <w:szCs w:val="32"/>
        </w:rPr>
        <w:t>五、绩效预算信息</w:t>
      </w:r>
    </w:p>
    <w:p>
      <w:pPr>
        <w:ind w:firstLine="645"/>
        <w:rPr>
          <w:rFonts w:ascii="楷体_GB2312" w:hAnsi="楷体_GB2312" w:eastAsia="楷体_GB2312" w:cs="楷体_GB2312"/>
          <w:sz w:val="32"/>
          <w:szCs w:val="32"/>
        </w:rPr>
      </w:pPr>
      <w:r>
        <w:rPr>
          <w:rFonts w:hint="eastAsia" w:ascii="楷体_GB2312" w:hAnsi="楷体_GB2312" w:eastAsia="楷体_GB2312" w:cs="楷体_GB2312"/>
          <w:sz w:val="32"/>
          <w:szCs w:val="32"/>
        </w:rPr>
        <w:t>（一）总体绩效目标</w:t>
      </w:r>
    </w:p>
    <w:p>
      <w:pPr>
        <w:rPr>
          <w:rFonts w:ascii="仿宋_GB2312" w:hAnsi="仿宋_GB2312" w:eastAsia="仿宋_GB2312" w:cs="仿宋_GB2312"/>
          <w:sz w:val="32"/>
          <w:szCs w:val="32"/>
        </w:rPr>
      </w:pPr>
      <w:r>
        <w:rPr>
          <w:rFonts w:hint="eastAsia" w:ascii="方正仿宋_GBK" w:eastAsia="方正仿宋_GBK"/>
          <w:sz w:val="28"/>
        </w:rPr>
        <w:t xml:space="preserve">     </w:t>
      </w:r>
      <w:r>
        <w:rPr>
          <w:rFonts w:hint="eastAsia" w:ascii="仿宋_GB2312" w:hAnsi="仿宋_GB2312" w:eastAsia="仿宋_GB2312" w:cs="仿宋_GB2312"/>
          <w:sz w:val="32"/>
          <w:szCs w:val="32"/>
        </w:rPr>
        <w:t>1、做好2017年全县第三次全国农业普查工作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在2016年第三次全国农业普查准备工作的基础上，2017年继续做好入户登记、事后抽查、事后总结分析及各项收尾工作。特别是入户登记工作，坚持加强领导、搞好督导、明确责任、保证质量的总体要求，按时节点完成普查各项任务。</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2、加强基本单位名录库建设</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安排专人负责基本单位名录库的更新维护工作。同时，各专业人员既是名录库的使用者，也是名录库的建设者，名录库的更新维护必须有各专业参与，上报的名录资料须经各专业审核。在2016年的基础上，结合部门提供的单位变化情况资料，不断完善规范名录库。</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3、做好全国投入产出调查工作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2017年将进行全国投入产出调查，编制全国投入产出表，是一项复杂的系统工程。需要在全县范围内，对国民经济各部门的投入结构、投资结构、库存结构、城乡居民和社会消费结构、进出口结构等情况进行重点调查。</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4、做好全面建成小康社会统计监测工作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在县政府领导下，加强与成员单位的联系，对统计监测内容及时做好培训工作，确保上报基础数据及时准确，对各项监测指标进行认真分析、评估，特别是未达标的指标进行重要监测、分析，提出意见和建设，供领导参考，同时撰写好小康社会统计监测报告。</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5、做好统计基层基础规范化建设工作，继续巩固创建优秀县成果。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按照省《乡镇和街道办事处统计业务工作规范化评定办法》和《无极县乡镇统计工作综合考核实施办法》，对各乡镇统计站建设的各项指标进行评估，不完善的地方继续完善提高。同时，对企业的</w:t>
      </w:r>
      <w:r>
        <w:rPr>
          <w:rFonts w:hint="eastAsia" w:ascii="仿宋_GB2312" w:hAnsi="仿宋_GB2312" w:eastAsia="仿宋_GB2312" w:cs="仿宋_GB2312"/>
          <w:sz w:val="32"/>
          <w:szCs w:val="32"/>
          <w:lang w:eastAsia="zh-CN"/>
        </w:rPr>
        <w:t>统计台账</w:t>
      </w:r>
      <w:r>
        <w:rPr>
          <w:rFonts w:hint="eastAsia" w:ascii="仿宋_GB2312" w:hAnsi="仿宋_GB2312" w:eastAsia="仿宋_GB2312" w:cs="仿宋_GB2312"/>
          <w:sz w:val="32"/>
          <w:szCs w:val="32"/>
        </w:rPr>
        <w:t>、统计资料进行规范完善，确保数出有源，数出有据。</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6、进一步做好统计服务、统计监测和预警工作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以GDP核算为龙头，专业配合，完成2016年统计年报及2017年定期报表工作，对全县经济运行形势进行月、季分析，及时反馈我县各行各业经济运行情况，以统计月报和统计资料等形势向县领导报送经济运行情况分析。同时，加大监测力度，重点是社会发展、工业经济、节能减排、固定资产投资、居民收入、全面小康社会进程等重点指标的监测工作，力求这些指标能够客观、科学地反应全县经济发展现状和趋势，及时发现经济运行过程中出现的各种新情况、新问题，及时进行分析和预警。</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7、加强统计法制建设</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一是利用全国第三次全国农业普查、统计开放日、统计宣传月大力宣传统计法律法规，通过电视讲座，印制统计宣传资料，制作展牌、条幅等多种形式宣传“一法一规”，使</w:t>
      </w:r>
      <w:r>
        <w:rPr>
          <w:rFonts w:hint="eastAsia" w:ascii="仿宋_GB2312" w:hAnsi="仿宋_GB2312" w:eastAsia="仿宋_GB2312" w:cs="仿宋_GB2312"/>
          <w:sz w:val="32"/>
          <w:szCs w:val="32"/>
          <w:lang w:eastAsia="zh-CN"/>
        </w:rPr>
        <w:t>《中华人民共和国统计法》</w:t>
      </w:r>
      <w:r>
        <w:rPr>
          <w:rFonts w:hint="eastAsia" w:ascii="仿宋_GB2312" w:hAnsi="仿宋_GB2312" w:eastAsia="仿宋_GB2312" w:cs="仿宋_GB2312"/>
          <w:sz w:val="32"/>
          <w:szCs w:val="32"/>
        </w:rPr>
        <w:t>和《统计违法违纪行为处分规定》家喻户晓，人人皆知。在全社会形成知法、懂法、守法的良好氛围。二是认真做好统计执法检查。不定期深入基层单位、企业进行统计执法检查，对违反“一法一规”的行为不手软、不迁就，坚决予以查处。通过查办违法违规案件，形成威慑作用，确保统计数据质量。</w:t>
      </w:r>
    </w:p>
    <w:p>
      <w:pPr>
        <w:rPr>
          <w:rFonts w:ascii="楷体_GB2312" w:hAnsi="楷体_GB2312" w:eastAsia="楷体_GB2312" w:cs="楷体_GB2312"/>
          <w:sz w:val="32"/>
          <w:szCs w:val="32"/>
        </w:rPr>
      </w:pPr>
      <w:r>
        <w:rPr>
          <w:rFonts w:hint="eastAsia" w:ascii="宋体" w:hAnsi="宋体" w:cs="宋体"/>
          <w:sz w:val="32"/>
          <w:szCs w:val="32"/>
        </w:rPr>
        <w:t xml:space="preserve">   </w:t>
      </w:r>
      <w:r>
        <w:rPr>
          <w:rFonts w:hint="eastAsia" w:ascii="楷体_GB2312" w:hAnsi="楷体_GB2312" w:eastAsia="楷体_GB2312" w:cs="楷体_GB2312"/>
          <w:sz w:val="32"/>
          <w:szCs w:val="32"/>
        </w:rPr>
        <w:t>（二）职责分类绩效目标</w:t>
      </w:r>
    </w:p>
    <w:p>
      <w:pPr>
        <w:ind w:firstLine="560"/>
        <w:rPr>
          <w:rFonts w:ascii="仿宋_GB2312" w:hAnsi="仿宋_GB2312" w:eastAsia="仿宋_GB2312" w:cs="仿宋_GB2312"/>
          <w:sz w:val="32"/>
          <w:szCs w:val="32"/>
        </w:rPr>
      </w:pPr>
      <w:r>
        <w:rPr>
          <w:rFonts w:hint="eastAsia" w:ascii="楷体" w:hAnsi="楷体" w:eastAsia="楷体"/>
          <w:sz w:val="32"/>
          <w:szCs w:val="32"/>
        </w:rPr>
        <w:t xml:space="preserve"> </w:t>
      </w:r>
      <w:r>
        <w:rPr>
          <w:rFonts w:hint="eastAsia" w:ascii="仿宋_GB2312" w:hAnsi="仿宋_GB2312" w:eastAsia="仿宋_GB2312" w:cs="仿宋_GB2312"/>
          <w:sz w:val="32"/>
          <w:szCs w:val="32"/>
        </w:rPr>
        <w:t xml:space="preserve">完成全县年度、季度数按照国家统计局、财政部关于印发《关于统计部门周期性普查和大型调查经费开支问题的暂行规定》，分年度完成普查工作，确保普查的顺利完成。据及各市年度数据的测算审核认定工作；完成必要分析，对相关经济决策提供重要依据。组织开展专项统计调查工作，了解基层情况和动态提供统计信息和咨询建议。保障全县统计信息自动化系统和统计数据库系统运行安全平稳。保证统计数据的顺利报送汇总。开展统计执法检查和培训工作，防范统计违法现象的发生；拟定全县统计教育培训制度、规划等，统一归口管理指导全县统计教育培训工作； 开展全县统计专业技术人员职称资格考试和评定工作。保障机关正常运转 。    </w:t>
      </w:r>
    </w:p>
    <w:p>
      <w:pPr>
        <w:rPr>
          <w:rFonts w:ascii="楷体_GB2312" w:hAnsi="楷体_GB2312" w:eastAsia="楷体_GB2312" w:cs="楷体_GB2312"/>
          <w:sz w:val="32"/>
          <w:szCs w:val="32"/>
        </w:rPr>
      </w:pPr>
      <w:r>
        <w:rPr>
          <w:rFonts w:hint="eastAsia" w:ascii="宋体" w:hAnsi="宋体" w:cs="宋体"/>
          <w:b/>
          <w:bCs/>
          <w:sz w:val="44"/>
          <w:szCs w:val="44"/>
        </w:rPr>
        <w:t xml:space="preserve">  </w:t>
      </w:r>
      <w:r>
        <w:rPr>
          <w:rFonts w:hint="eastAsia" w:ascii="楷体_GB2312" w:hAnsi="楷体_GB2312" w:eastAsia="楷体_GB2312" w:cs="楷体_GB2312"/>
          <w:sz w:val="32"/>
          <w:szCs w:val="32"/>
        </w:rPr>
        <w:t>(三)部门职责-工作活动绩效目标</w:t>
      </w:r>
    </w:p>
    <w:p>
      <w:pPr>
        <w:outlineLvl w:val="0"/>
        <w:rPr>
          <w:rFonts w:ascii="仿宋_GB2312" w:hAnsi="仿宋_GB2312" w:eastAsia="仿宋_GB2312" w:cs="仿宋_GB2312"/>
          <w:sz w:val="32"/>
          <w:szCs w:val="32"/>
        </w:rPr>
      </w:pPr>
      <w:bookmarkStart w:id="0" w:name="_Toc478559742"/>
      <w:r>
        <w:rPr>
          <w:rFonts w:hint="eastAsia" w:ascii="仿宋_GB2312" w:hAnsi="仿宋_GB2312" w:eastAsia="仿宋_GB2312" w:cs="仿宋_GB2312"/>
          <w:sz w:val="32"/>
          <w:szCs w:val="32"/>
        </w:rPr>
        <w:t xml:space="preserve">                             部门职责-工作活动绩效目标</w:t>
      </w:r>
      <w:bookmarkEnd w:id="0"/>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410统计局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仿宋_GB2312" w:hAnsi="仿宋_GB2312" w:eastAsia="仿宋_GB2312" w:cs="仿宋_GB2312"/>
                <w:sz w:val="32"/>
                <w:szCs w:val="32"/>
              </w:rPr>
            </w:pPr>
            <w:r>
              <w:rPr>
                <w:rFonts w:hint="eastAsia" w:ascii="仿宋_GB2312" w:hAnsi="仿宋_GB2312" w:eastAsia="仿宋_GB2312" w:cs="仿宋_GB2312"/>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2341"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职责活动</w:t>
            </w:r>
          </w:p>
        </w:tc>
        <w:tc>
          <w:tcPr>
            <w:tcW w:w="1276"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年度预算数</w:t>
            </w:r>
          </w:p>
        </w:tc>
        <w:tc>
          <w:tcPr>
            <w:tcW w:w="2976"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内容描述</w:t>
            </w:r>
          </w:p>
        </w:tc>
        <w:tc>
          <w:tcPr>
            <w:tcW w:w="2976"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绩效目标</w:t>
            </w:r>
          </w:p>
        </w:tc>
        <w:tc>
          <w:tcPr>
            <w:tcW w:w="1417" w:type="dxa"/>
            <w:vMerge w:val="restart"/>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绩效指标</w:t>
            </w:r>
          </w:p>
        </w:tc>
        <w:tc>
          <w:tcPr>
            <w:tcW w:w="2948" w:type="dxa"/>
            <w:gridSpan w:val="4"/>
            <w:vAlign w:val="center"/>
          </w:tcPr>
          <w:p>
            <w:pPr>
              <w:spacing w:line="300" w:lineRule="exact"/>
              <w:jc w:val="center"/>
              <w:rPr>
                <w:rFonts w:ascii="仿宋_GB2312" w:hAnsi="仿宋_GB2312" w:eastAsia="仿宋_GB2312" w:cs="仿宋_GB2312"/>
                <w:b/>
                <w:sz w:val="32"/>
                <w:szCs w:val="32"/>
              </w:rPr>
            </w:pPr>
            <w:r>
              <w:rPr>
                <w:rFonts w:hint="eastAsia" w:ascii="仿宋_GB2312" w:hAnsi="仿宋_GB2312" w:eastAsia="仿宋_GB2312" w:cs="仿宋_GB2312"/>
                <w:bCs/>
                <w:sz w:val="32"/>
                <w:szCs w:val="32"/>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rPr>
                <w:rFonts w:ascii="仿宋_GB2312" w:hAnsi="仿宋_GB2312" w:eastAsia="仿宋_GB2312" w:cs="仿宋_GB2312"/>
                <w:sz w:val="32"/>
                <w:szCs w:val="32"/>
              </w:rPr>
            </w:pPr>
          </w:p>
        </w:tc>
        <w:tc>
          <w:tcPr>
            <w:tcW w:w="1276" w:type="dxa"/>
            <w:vMerge w:val="continue"/>
            <w:vAlign w:val="center"/>
          </w:tcPr>
          <w:p>
            <w:pPr>
              <w:spacing w:line="300" w:lineRule="exact"/>
              <w:jc w:val="left"/>
              <w:outlineLvl w:val="0"/>
              <w:rPr>
                <w:rFonts w:ascii="仿宋_GB2312" w:hAnsi="仿宋_GB2312" w:eastAsia="仿宋_GB2312" w:cs="仿宋_GB2312"/>
                <w:sz w:val="32"/>
                <w:szCs w:val="32"/>
              </w:rPr>
            </w:pPr>
          </w:p>
        </w:tc>
        <w:tc>
          <w:tcPr>
            <w:tcW w:w="2976" w:type="dxa"/>
            <w:vMerge w:val="continue"/>
            <w:vAlign w:val="center"/>
          </w:tcPr>
          <w:p>
            <w:pPr>
              <w:spacing w:line="300" w:lineRule="exact"/>
              <w:jc w:val="left"/>
              <w:outlineLvl w:val="0"/>
              <w:rPr>
                <w:rFonts w:ascii="仿宋_GB2312" w:hAnsi="仿宋_GB2312" w:eastAsia="仿宋_GB2312" w:cs="仿宋_GB2312"/>
                <w:sz w:val="32"/>
                <w:szCs w:val="32"/>
              </w:rPr>
            </w:pPr>
          </w:p>
        </w:tc>
        <w:tc>
          <w:tcPr>
            <w:tcW w:w="2976" w:type="dxa"/>
            <w:vMerge w:val="continue"/>
            <w:vAlign w:val="center"/>
          </w:tcPr>
          <w:p>
            <w:pPr>
              <w:spacing w:line="300" w:lineRule="exact"/>
              <w:jc w:val="left"/>
              <w:outlineLvl w:val="0"/>
              <w:rPr>
                <w:rFonts w:ascii="仿宋_GB2312" w:hAnsi="仿宋_GB2312" w:eastAsia="仿宋_GB2312" w:cs="仿宋_GB2312"/>
                <w:sz w:val="32"/>
                <w:szCs w:val="32"/>
              </w:rPr>
            </w:pPr>
          </w:p>
        </w:tc>
        <w:tc>
          <w:tcPr>
            <w:tcW w:w="1417" w:type="dxa"/>
            <w:vMerge w:val="continue"/>
            <w:vAlign w:val="center"/>
          </w:tcPr>
          <w:p>
            <w:pPr>
              <w:spacing w:line="300" w:lineRule="exact"/>
              <w:jc w:val="left"/>
              <w:outlineLvl w:val="0"/>
              <w:rPr>
                <w:rFonts w:ascii="仿宋_GB2312" w:hAnsi="仿宋_GB2312" w:eastAsia="仿宋_GB2312" w:cs="仿宋_GB2312"/>
                <w:sz w:val="32"/>
                <w:szCs w:val="32"/>
              </w:rPr>
            </w:pPr>
          </w:p>
        </w:tc>
        <w:tc>
          <w:tcPr>
            <w:tcW w:w="737" w:type="dxa"/>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优</w:t>
            </w:r>
          </w:p>
        </w:tc>
        <w:tc>
          <w:tcPr>
            <w:tcW w:w="737" w:type="dxa"/>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良</w:t>
            </w:r>
          </w:p>
        </w:tc>
        <w:tc>
          <w:tcPr>
            <w:tcW w:w="737" w:type="dxa"/>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中</w:t>
            </w:r>
          </w:p>
        </w:tc>
        <w:tc>
          <w:tcPr>
            <w:tcW w:w="737" w:type="dxa"/>
            <w:vAlign w:val="center"/>
          </w:tcPr>
          <w:p>
            <w:pPr>
              <w:spacing w:line="300" w:lineRule="exact"/>
              <w:jc w:val="center"/>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_GB2312" w:hAnsi="仿宋_GB2312" w:eastAsia="仿宋_GB2312" w:cs="仿宋_GB2312"/>
                <w:bCs/>
                <w:sz w:val="28"/>
                <w:szCs w:val="28"/>
              </w:rPr>
            </w:pPr>
            <w:r>
              <w:rPr>
                <w:rFonts w:hint="eastAsia" w:ascii="仿宋_GB2312" w:hAnsi="仿宋_GB2312" w:eastAsia="仿宋_GB2312" w:cs="仿宋_GB2312"/>
                <w:bCs/>
                <w:sz w:val="28"/>
                <w:szCs w:val="28"/>
              </w:rPr>
              <w:t>国民经济核算</w:t>
            </w:r>
          </w:p>
        </w:tc>
        <w:tc>
          <w:tcPr>
            <w:tcW w:w="1276" w:type="dxa"/>
            <w:vAlign w:val="center"/>
          </w:tcPr>
          <w:p>
            <w:pPr>
              <w:spacing w:line="300" w:lineRule="exact"/>
              <w:jc w:val="left"/>
              <w:rPr>
                <w:rFonts w:ascii="仿宋_GB2312" w:hAnsi="仿宋_GB2312" w:eastAsia="仿宋_GB2312" w:cs="仿宋_GB2312"/>
                <w:sz w:val="28"/>
                <w:szCs w:val="28"/>
              </w:rPr>
            </w:pPr>
          </w:p>
        </w:tc>
        <w:tc>
          <w:tcPr>
            <w:tcW w:w="2976"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在全县开展GDP核算、资产负债核算、资金流量核算工作。</w:t>
            </w:r>
          </w:p>
        </w:tc>
        <w:tc>
          <w:tcPr>
            <w:tcW w:w="2976"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完成全县年度数据的测算审核认定工作；完成全县季度数据审核认定工作；完成必要分析，对相关经济决策提供重要依据。</w:t>
            </w:r>
          </w:p>
        </w:tc>
        <w:tc>
          <w:tcPr>
            <w:tcW w:w="1417" w:type="dxa"/>
            <w:vAlign w:val="center"/>
          </w:tcPr>
          <w:p>
            <w:pPr>
              <w:spacing w:line="300" w:lineRule="exact"/>
              <w:jc w:val="left"/>
              <w:rPr>
                <w:rFonts w:ascii="仿宋_GB2312" w:hAnsi="仿宋_GB2312" w:eastAsia="仿宋_GB2312" w:cs="仿宋_GB2312"/>
                <w:sz w:val="28"/>
                <w:szCs w:val="28"/>
              </w:rPr>
            </w:pPr>
          </w:p>
        </w:tc>
        <w:tc>
          <w:tcPr>
            <w:tcW w:w="737" w:type="dxa"/>
            <w:vAlign w:val="center"/>
          </w:tcPr>
          <w:p>
            <w:pPr>
              <w:spacing w:line="300" w:lineRule="exact"/>
              <w:jc w:val="center"/>
              <w:rPr>
                <w:rFonts w:ascii="仿宋_GB2312" w:hAnsi="仿宋_GB2312" w:eastAsia="仿宋_GB2312" w:cs="仿宋_GB2312"/>
                <w:sz w:val="28"/>
                <w:szCs w:val="28"/>
              </w:rPr>
            </w:pPr>
          </w:p>
        </w:tc>
        <w:tc>
          <w:tcPr>
            <w:tcW w:w="737" w:type="dxa"/>
            <w:vAlign w:val="center"/>
          </w:tcPr>
          <w:p>
            <w:pPr>
              <w:spacing w:line="300" w:lineRule="exact"/>
              <w:jc w:val="center"/>
              <w:rPr>
                <w:rFonts w:ascii="仿宋_GB2312" w:hAnsi="仿宋_GB2312" w:eastAsia="仿宋_GB2312" w:cs="仿宋_GB2312"/>
                <w:sz w:val="28"/>
                <w:szCs w:val="28"/>
              </w:rPr>
            </w:pPr>
          </w:p>
        </w:tc>
        <w:tc>
          <w:tcPr>
            <w:tcW w:w="737" w:type="dxa"/>
            <w:vAlign w:val="center"/>
          </w:tcPr>
          <w:p>
            <w:pPr>
              <w:spacing w:line="300" w:lineRule="exact"/>
              <w:jc w:val="center"/>
              <w:rPr>
                <w:rFonts w:ascii="仿宋_GB2312" w:hAnsi="仿宋_GB2312" w:eastAsia="仿宋_GB2312" w:cs="仿宋_GB2312"/>
                <w:sz w:val="28"/>
                <w:szCs w:val="28"/>
              </w:rPr>
            </w:pPr>
          </w:p>
        </w:tc>
        <w:tc>
          <w:tcPr>
            <w:tcW w:w="737" w:type="dxa"/>
            <w:vAlign w:val="center"/>
          </w:tcPr>
          <w:p>
            <w:pPr>
              <w:spacing w:line="300" w:lineRule="exact"/>
              <w:jc w:val="center"/>
              <w:rPr>
                <w:rFonts w:ascii="仿宋_GB2312" w:hAnsi="仿宋_GB2312" w:eastAsia="仿宋_GB2312" w:cs="仿宋_GB2312"/>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仿宋_GB2312" w:hAnsi="仿宋_GB2312" w:eastAsia="仿宋_GB2312" w:cs="仿宋_GB2312"/>
                <w:bCs/>
                <w:sz w:val="28"/>
                <w:szCs w:val="28"/>
              </w:rPr>
            </w:pPr>
            <w:r>
              <w:rPr>
                <w:rFonts w:hint="eastAsia" w:ascii="仿宋_GB2312" w:hAnsi="仿宋_GB2312" w:eastAsia="仿宋_GB2312" w:cs="仿宋_GB2312"/>
                <w:bCs/>
                <w:sz w:val="28"/>
                <w:szCs w:val="28"/>
              </w:rPr>
              <w:t>　　国民经济核算</w:t>
            </w:r>
          </w:p>
        </w:tc>
        <w:tc>
          <w:tcPr>
            <w:tcW w:w="1276" w:type="dxa"/>
            <w:vMerge w:val="restart"/>
            <w:vAlign w:val="center"/>
          </w:tcPr>
          <w:p>
            <w:pPr>
              <w:spacing w:line="300" w:lineRule="exact"/>
              <w:jc w:val="left"/>
              <w:rPr>
                <w:rFonts w:ascii="仿宋_GB2312" w:hAnsi="仿宋_GB2312" w:eastAsia="仿宋_GB2312" w:cs="仿宋_GB2312"/>
                <w:sz w:val="28"/>
                <w:szCs w:val="28"/>
              </w:rPr>
            </w:pPr>
          </w:p>
        </w:tc>
        <w:tc>
          <w:tcPr>
            <w:tcW w:w="2976" w:type="dxa"/>
            <w:vMerge w:val="restart"/>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贯彻执行国家国民经济核算制度，组织实施全县国民经济核算制度和投入产出调查，核算全县生产总值，整理、测算和提供国民经济核算资料，监督管理全县国民经济核算工作。</w:t>
            </w:r>
          </w:p>
        </w:tc>
        <w:tc>
          <w:tcPr>
            <w:tcW w:w="2976" w:type="dxa"/>
            <w:vMerge w:val="restart"/>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完成全县年度、季度数据的测算审核认定工作；完成必要分析，对相关经济决策提供重要依据。</w:t>
            </w:r>
          </w:p>
        </w:tc>
        <w:tc>
          <w:tcPr>
            <w:tcW w:w="1417"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业务培训覆盖率</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≥98%</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≥95%</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≥92%</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仿宋_GB2312" w:hAnsi="仿宋_GB2312" w:eastAsia="仿宋_GB2312" w:cs="仿宋_GB2312"/>
                <w:bCs/>
                <w:sz w:val="28"/>
                <w:szCs w:val="28"/>
              </w:rPr>
            </w:pPr>
          </w:p>
        </w:tc>
        <w:tc>
          <w:tcPr>
            <w:tcW w:w="12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1417"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统计信息采用量(篇)</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≥6</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≥5</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≥3</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仿宋_GB2312" w:hAnsi="仿宋_GB2312" w:eastAsia="仿宋_GB2312" w:cs="仿宋_GB2312"/>
                <w:bCs/>
                <w:sz w:val="28"/>
                <w:szCs w:val="28"/>
              </w:rPr>
            </w:pPr>
          </w:p>
        </w:tc>
        <w:tc>
          <w:tcPr>
            <w:tcW w:w="12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1417"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调查对象覆盖率</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≥98%</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≥95%</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≥92%</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仿宋_GB2312" w:hAnsi="仿宋_GB2312" w:eastAsia="仿宋_GB2312" w:cs="仿宋_GB2312"/>
                <w:bCs/>
                <w:sz w:val="28"/>
                <w:szCs w:val="28"/>
              </w:rPr>
            </w:pPr>
          </w:p>
        </w:tc>
        <w:tc>
          <w:tcPr>
            <w:tcW w:w="12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1417"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专项统计完成率</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≥98%</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≥95%</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≥92%</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_GB2312" w:hAnsi="仿宋_GB2312" w:eastAsia="仿宋_GB2312" w:cs="仿宋_GB2312"/>
                <w:bCs/>
                <w:sz w:val="28"/>
                <w:szCs w:val="28"/>
              </w:rPr>
            </w:pPr>
            <w:r>
              <w:rPr>
                <w:rFonts w:hint="eastAsia" w:ascii="仿宋_GB2312" w:hAnsi="仿宋_GB2312" w:eastAsia="仿宋_GB2312" w:cs="仿宋_GB2312"/>
                <w:bCs/>
                <w:sz w:val="28"/>
                <w:szCs w:val="28"/>
              </w:rPr>
              <w:t>统计调查</w:t>
            </w:r>
          </w:p>
        </w:tc>
        <w:tc>
          <w:tcPr>
            <w:tcW w:w="1276"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102.07</w:t>
            </w:r>
          </w:p>
        </w:tc>
        <w:tc>
          <w:tcPr>
            <w:tcW w:w="2976"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组织国情国力普查和涉及工业、农业、社科、教育、节能、卫生等相关行业的专项统计调查监测，收集、整理统计数据，提供咨询建议。</w:t>
            </w:r>
          </w:p>
        </w:tc>
        <w:tc>
          <w:tcPr>
            <w:tcW w:w="2976"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进行业务培训，组织开展深层次课题研究，发布普查主要数据公报，完成普查工作总结和表彰。</w:t>
            </w:r>
          </w:p>
        </w:tc>
        <w:tc>
          <w:tcPr>
            <w:tcW w:w="1417" w:type="dxa"/>
            <w:vAlign w:val="center"/>
          </w:tcPr>
          <w:p>
            <w:pPr>
              <w:spacing w:line="300" w:lineRule="exact"/>
              <w:jc w:val="left"/>
              <w:rPr>
                <w:rFonts w:ascii="仿宋_GB2312" w:hAnsi="仿宋_GB2312" w:eastAsia="仿宋_GB2312" w:cs="仿宋_GB2312"/>
                <w:sz w:val="28"/>
                <w:szCs w:val="28"/>
              </w:rPr>
            </w:pPr>
          </w:p>
        </w:tc>
        <w:tc>
          <w:tcPr>
            <w:tcW w:w="737" w:type="dxa"/>
            <w:vAlign w:val="center"/>
          </w:tcPr>
          <w:p>
            <w:pPr>
              <w:spacing w:line="300" w:lineRule="exact"/>
              <w:jc w:val="center"/>
              <w:rPr>
                <w:rFonts w:ascii="仿宋_GB2312" w:hAnsi="仿宋_GB2312" w:eastAsia="仿宋_GB2312" w:cs="仿宋_GB2312"/>
                <w:sz w:val="28"/>
                <w:szCs w:val="28"/>
              </w:rPr>
            </w:pPr>
          </w:p>
        </w:tc>
        <w:tc>
          <w:tcPr>
            <w:tcW w:w="737" w:type="dxa"/>
            <w:vAlign w:val="center"/>
          </w:tcPr>
          <w:p>
            <w:pPr>
              <w:spacing w:line="300" w:lineRule="exact"/>
              <w:jc w:val="center"/>
              <w:rPr>
                <w:rFonts w:ascii="仿宋_GB2312" w:hAnsi="仿宋_GB2312" w:eastAsia="仿宋_GB2312" w:cs="仿宋_GB2312"/>
                <w:sz w:val="28"/>
                <w:szCs w:val="28"/>
              </w:rPr>
            </w:pPr>
          </w:p>
        </w:tc>
        <w:tc>
          <w:tcPr>
            <w:tcW w:w="737" w:type="dxa"/>
            <w:vAlign w:val="center"/>
          </w:tcPr>
          <w:p>
            <w:pPr>
              <w:spacing w:line="300" w:lineRule="exact"/>
              <w:jc w:val="center"/>
              <w:rPr>
                <w:rFonts w:ascii="仿宋_GB2312" w:hAnsi="仿宋_GB2312" w:eastAsia="仿宋_GB2312" w:cs="仿宋_GB2312"/>
                <w:sz w:val="28"/>
                <w:szCs w:val="28"/>
              </w:rPr>
            </w:pPr>
          </w:p>
        </w:tc>
        <w:tc>
          <w:tcPr>
            <w:tcW w:w="737" w:type="dxa"/>
            <w:vAlign w:val="center"/>
          </w:tcPr>
          <w:p>
            <w:pPr>
              <w:spacing w:line="300" w:lineRule="exact"/>
              <w:jc w:val="center"/>
              <w:rPr>
                <w:rFonts w:ascii="仿宋_GB2312" w:hAnsi="仿宋_GB2312" w:eastAsia="仿宋_GB2312" w:cs="仿宋_GB2312"/>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仿宋_GB2312" w:hAnsi="仿宋_GB2312" w:eastAsia="仿宋_GB2312" w:cs="仿宋_GB2312"/>
                <w:b/>
                <w:sz w:val="28"/>
                <w:szCs w:val="28"/>
              </w:rPr>
            </w:pPr>
            <w:r>
              <w:rPr>
                <w:rFonts w:hint="eastAsia" w:ascii="仿宋_GB2312" w:hAnsi="仿宋_GB2312" w:eastAsia="仿宋_GB2312" w:cs="仿宋_GB2312"/>
                <w:b/>
                <w:sz w:val="28"/>
                <w:szCs w:val="28"/>
              </w:rPr>
              <w:t>　　</w:t>
            </w:r>
            <w:r>
              <w:rPr>
                <w:rFonts w:hint="eastAsia" w:ascii="仿宋_GB2312" w:hAnsi="仿宋_GB2312" w:eastAsia="仿宋_GB2312" w:cs="仿宋_GB2312"/>
                <w:bCs/>
                <w:sz w:val="28"/>
                <w:szCs w:val="28"/>
              </w:rPr>
              <w:t>国情国力普查</w:t>
            </w:r>
          </w:p>
        </w:tc>
        <w:tc>
          <w:tcPr>
            <w:tcW w:w="1276" w:type="dxa"/>
            <w:vMerge w:val="restart"/>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70.00</w:t>
            </w:r>
          </w:p>
        </w:tc>
        <w:tc>
          <w:tcPr>
            <w:tcW w:w="2976" w:type="dxa"/>
            <w:vMerge w:val="restart"/>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组织完成国情国力普查及重要调查任务，研究提出重大县情县力普查和抽样调查计划并组织实施，汇总、整理和提供有关县情县力方面的统计数据。</w:t>
            </w:r>
          </w:p>
        </w:tc>
        <w:tc>
          <w:tcPr>
            <w:tcW w:w="2976" w:type="dxa"/>
            <w:vMerge w:val="restart"/>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按照国家统计局、财政部关于印发《关于统计部门周期性普查和大型调查经费开支问题的暂行规定》，分年度完成普查工作，确保普查的顺利完成。</w:t>
            </w:r>
          </w:p>
        </w:tc>
        <w:tc>
          <w:tcPr>
            <w:tcW w:w="1417"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业务培训覆盖率</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≥98%</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≥95%</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≥92%</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仿宋_GB2312" w:hAnsi="仿宋_GB2312" w:eastAsia="仿宋_GB2312" w:cs="仿宋_GB2312"/>
                <w:b/>
                <w:sz w:val="28"/>
                <w:szCs w:val="28"/>
              </w:rPr>
            </w:pPr>
          </w:p>
        </w:tc>
        <w:tc>
          <w:tcPr>
            <w:tcW w:w="12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1417"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统计信息采用量(篇)</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≥6</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≥5</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≥3</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仿宋_GB2312" w:hAnsi="仿宋_GB2312" w:eastAsia="仿宋_GB2312" w:cs="仿宋_GB2312"/>
                <w:b/>
                <w:sz w:val="28"/>
                <w:szCs w:val="28"/>
              </w:rPr>
            </w:pPr>
          </w:p>
        </w:tc>
        <w:tc>
          <w:tcPr>
            <w:tcW w:w="12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1417"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调查对象覆盖率</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≥98%</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≥95%</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≥92%</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仿宋_GB2312" w:hAnsi="仿宋_GB2312" w:eastAsia="仿宋_GB2312" w:cs="仿宋_GB2312"/>
                <w:b/>
                <w:sz w:val="28"/>
                <w:szCs w:val="28"/>
              </w:rPr>
            </w:pPr>
          </w:p>
        </w:tc>
        <w:tc>
          <w:tcPr>
            <w:tcW w:w="12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1417"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普查统计完成率</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≥98%</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≥95%</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≥92%</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仿宋_GB2312" w:hAnsi="仿宋_GB2312" w:eastAsia="仿宋_GB2312" w:cs="仿宋_GB2312"/>
                <w:b/>
                <w:sz w:val="28"/>
                <w:szCs w:val="28"/>
              </w:rPr>
            </w:pPr>
            <w:r>
              <w:rPr>
                <w:rFonts w:hint="eastAsia" w:ascii="仿宋_GB2312" w:hAnsi="仿宋_GB2312" w:eastAsia="仿宋_GB2312" w:cs="仿宋_GB2312"/>
                <w:b/>
                <w:sz w:val="28"/>
                <w:szCs w:val="28"/>
              </w:rPr>
              <w:t>　　</w:t>
            </w:r>
            <w:r>
              <w:rPr>
                <w:rFonts w:hint="eastAsia" w:ascii="仿宋_GB2312" w:hAnsi="仿宋_GB2312" w:eastAsia="仿宋_GB2312" w:cs="仿宋_GB2312"/>
                <w:bCs/>
                <w:sz w:val="28"/>
                <w:szCs w:val="28"/>
              </w:rPr>
              <w:t>专项统计调查</w:t>
            </w:r>
          </w:p>
        </w:tc>
        <w:tc>
          <w:tcPr>
            <w:tcW w:w="1276" w:type="dxa"/>
            <w:vMerge w:val="restart"/>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32.07</w:t>
            </w:r>
          </w:p>
        </w:tc>
        <w:tc>
          <w:tcPr>
            <w:tcW w:w="2976" w:type="dxa"/>
            <w:vMerge w:val="restart"/>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根据省、市政府有关文件要求，组织实施涉及相关行业数据的专项统计调查。</w:t>
            </w:r>
          </w:p>
        </w:tc>
        <w:tc>
          <w:tcPr>
            <w:tcW w:w="2976" w:type="dxa"/>
            <w:vMerge w:val="restart"/>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组织开展专项统计调查工作，了解基层情况和动态提供统计信息和咨询建议。</w:t>
            </w:r>
          </w:p>
        </w:tc>
        <w:tc>
          <w:tcPr>
            <w:tcW w:w="1417"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业务培训覆盖率</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≥98%</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≥95%</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≥92%</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仿宋_GB2312" w:hAnsi="仿宋_GB2312" w:eastAsia="仿宋_GB2312" w:cs="仿宋_GB2312"/>
                <w:b/>
                <w:sz w:val="28"/>
                <w:szCs w:val="28"/>
              </w:rPr>
            </w:pPr>
          </w:p>
        </w:tc>
        <w:tc>
          <w:tcPr>
            <w:tcW w:w="12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1417"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统计信息采用量(篇)</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≥6</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≥5</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≥3</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仿宋_GB2312" w:hAnsi="仿宋_GB2312" w:eastAsia="仿宋_GB2312" w:cs="仿宋_GB2312"/>
                <w:b/>
                <w:sz w:val="28"/>
                <w:szCs w:val="28"/>
              </w:rPr>
            </w:pPr>
          </w:p>
        </w:tc>
        <w:tc>
          <w:tcPr>
            <w:tcW w:w="12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1417"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调查对象覆盖率</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≥98%</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≥95%</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≥92%</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仿宋_GB2312" w:hAnsi="仿宋_GB2312" w:eastAsia="仿宋_GB2312" w:cs="仿宋_GB2312"/>
                <w:b/>
                <w:sz w:val="28"/>
                <w:szCs w:val="28"/>
              </w:rPr>
            </w:pPr>
          </w:p>
        </w:tc>
        <w:tc>
          <w:tcPr>
            <w:tcW w:w="12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1417"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专项统计完成率</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≥98%</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≥95%</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≥92%</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仿宋_GB2312" w:hAnsi="仿宋_GB2312" w:eastAsia="仿宋_GB2312" w:cs="仿宋_GB2312"/>
                <w:b/>
                <w:sz w:val="28"/>
                <w:szCs w:val="28"/>
              </w:rPr>
            </w:pPr>
            <w:r>
              <w:rPr>
                <w:rFonts w:hint="eastAsia" w:ascii="仿宋_GB2312" w:hAnsi="仿宋_GB2312" w:eastAsia="仿宋_GB2312" w:cs="仿宋_GB2312"/>
                <w:b/>
                <w:sz w:val="28"/>
                <w:szCs w:val="28"/>
              </w:rPr>
              <w:t>　</w:t>
            </w:r>
            <w:r>
              <w:rPr>
                <w:rFonts w:hint="eastAsia" w:ascii="仿宋_GB2312" w:hAnsi="仿宋_GB2312" w:eastAsia="仿宋_GB2312" w:cs="仿宋_GB2312"/>
                <w:bCs/>
                <w:sz w:val="28"/>
                <w:szCs w:val="28"/>
              </w:rPr>
              <w:t>　统计数据采集决策咨询</w:t>
            </w:r>
          </w:p>
        </w:tc>
        <w:tc>
          <w:tcPr>
            <w:tcW w:w="1276" w:type="dxa"/>
            <w:vMerge w:val="restart"/>
            <w:vAlign w:val="center"/>
          </w:tcPr>
          <w:p>
            <w:pPr>
              <w:spacing w:line="300" w:lineRule="exact"/>
              <w:jc w:val="left"/>
              <w:rPr>
                <w:rFonts w:ascii="仿宋_GB2312" w:hAnsi="仿宋_GB2312" w:eastAsia="仿宋_GB2312" w:cs="仿宋_GB2312"/>
                <w:sz w:val="28"/>
                <w:szCs w:val="28"/>
              </w:rPr>
            </w:pPr>
          </w:p>
        </w:tc>
        <w:tc>
          <w:tcPr>
            <w:tcW w:w="2976" w:type="dxa"/>
            <w:vMerge w:val="restart"/>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管理全县统计数据库网络；落实全县统计信息化系统建设。组织全县统计系统各级各专业实施以企业一套表制度为核心的统计四大工程：建立并管理全县统计信息自动化系统和统计数据库系统。</w:t>
            </w:r>
          </w:p>
        </w:tc>
        <w:tc>
          <w:tcPr>
            <w:tcW w:w="2976" w:type="dxa"/>
            <w:vMerge w:val="restart"/>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保障全县统计信息自动化系统和统计数据库系统运行安全平稳。保证统计数据的顺利报送汇总。</w:t>
            </w:r>
          </w:p>
        </w:tc>
        <w:tc>
          <w:tcPr>
            <w:tcW w:w="1417"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统计信息化系统建设完成率</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≥98%</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≥95%</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≥92%</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仿宋_GB2312" w:hAnsi="仿宋_GB2312" w:eastAsia="仿宋_GB2312" w:cs="仿宋_GB2312"/>
                <w:b/>
                <w:sz w:val="28"/>
                <w:szCs w:val="28"/>
              </w:rPr>
            </w:pPr>
          </w:p>
        </w:tc>
        <w:tc>
          <w:tcPr>
            <w:tcW w:w="12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2976" w:type="dxa"/>
            <w:vMerge w:val="continue"/>
            <w:vAlign w:val="center"/>
          </w:tcPr>
          <w:p>
            <w:pPr>
              <w:spacing w:line="300" w:lineRule="exact"/>
              <w:jc w:val="left"/>
              <w:rPr>
                <w:rFonts w:ascii="仿宋_GB2312" w:hAnsi="仿宋_GB2312" w:eastAsia="仿宋_GB2312" w:cs="仿宋_GB2312"/>
                <w:sz w:val="28"/>
                <w:szCs w:val="28"/>
              </w:rPr>
            </w:pPr>
          </w:p>
        </w:tc>
        <w:tc>
          <w:tcPr>
            <w:tcW w:w="1417"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统计信息化系统正常运转率</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≥98%</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≥95%</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≥92%</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_GB2312" w:hAnsi="仿宋_GB2312" w:eastAsia="仿宋_GB2312" w:cs="仿宋_GB2312"/>
                <w:b/>
                <w:sz w:val="28"/>
                <w:szCs w:val="28"/>
              </w:rPr>
            </w:pPr>
            <w:r>
              <w:rPr>
                <w:rFonts w:hint="eastAsia" w:ascii="仿宋_GB2312" w:hAnsi="仿宋_GB2312" w:eastAsia="仿宋_GB2312" w:cs="仿宋_GB2312"/>
                <w:bCs/>
                <w:sz w:val="28"/>
                <w:szCs w:val="28"/>
              </w:rPr>
              <w:t>统计政务管理</w:t>
            </w:r>
          </w:p>
        </w:tc>
        <w:tc>
          <w:tcPr>
            <w:tcW w:w="1276" w:type="dxa"/>
            <w:vAlign w:val="center"/>
          </w:tcPr>
          <w:p>
            <w:pPr>
              <w:spacing w:line="300" w:lineRule="exact"/>
              <w:jc w:val="left"/>
              <w:rPr>
                <w:rFonts w:ascii="仿宋_GB2312" w:hAnsi="仿宋_GB2312" w:eastAsia="仿宋_GB2312" w:cs="仿宋_GB2312"/>
                <w:sz w:val="28"/>
                <w:szCs w:val="28"/>
              </w:rPr>
            </w:pPr>
          </w:p>
        </w:tc>
        <w:tc>
          <w:tcPr>
            <w:tcW w:w="2976"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保障机关日常运转，健全全县统计法制建设，指导全县统计专业技术队伍建设。</w:t>
            </w:r>
          </w:p>
        </w:tc>
        <w:tc>
          <w:tcPr>
            <w:tcW w:w="2976"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保障统计信息化建设、统计执法等全县统计专业技术队伍建设。</w:t>
            </w:r>
          </w:p>
        </w:tc>
        <w:tc>
          <w:tcPr>
            <w:tcW w:w="1417" w:type="dxa"/>
            <w:vAlign w:val="center"/>
          </w:tcPr>
          <w:p>
            <w:pPr>
              <w:spacing w:line="300" w:lineRule="exact"/>
              <w:jc w:val="left"/>
              <w:rPr>
                <w:rFonts w:ascii="仿宋_GB2312" w:hAnsi="仿宋_GB2312" w:eastAsia="仿宋_GB2312" w:cs="仿宋_GB2312"/>
                <w:sz w:val="28"/>
                <w:szCs w:val="28"/>
              </w:rPr>
            </w:pPr>
          </w:p>
        </w:tc>
        <w:tc>
          <w:tcPr>
            <w:tcW w:w="737" w:type="dxa"/>
            <w:vAlign w:val="center"/>
          </w:tcPr>
          <w:p>
            <w:pPr>
              <w:spacing w:line="300" w:lineRule="exact"/>
              <w:jc w:val="center"/>
              <w:rPr>
                <w:rFonts w:ascii="仿宋_GB2312" w:hAnsi="仿宋_GB2312" w:eastAsia="仿宋_GB2312" w:cs="仿宋_GB2312"/>
                <w:sz w:val="28"/>
                <w:szCs w:val="28"/>
              </w:rPr>
            </w:pPr>
          </w:p>
        </w:tc>
        <w:tc>
          <w:tcPr>
            <w:tcW w:w="737" w:type="dxa"/>
            <w:vAlign w:val="center"/>
          </w:tcPr>
          <w:p>
            <w:pPr>
              <w:spacing w:line="300" w:lineRule="exact"/>
              <w:jc w:val="center"/>
              <w:rPr>
                <w:rFonts w:ascii="仿宋_GB2312" w:hAnsi="仿宋_GB2312" w:eastAsia="仿宋_GB2312" w:cs="仿宋_GB2312"/>
                <w:sz w:val="28"/>
                <w:szCs w:val="28"/>
              </w:rPr>
            </w:pPr>
          </w:p>
        </w:tc>
        <w:tc>
          <w:tcPr>
            <w:tcW w:w="737" w:type="dxa"/>
            <w:vAlign w:val="center"/>
          </w:tcPr>
          <w:p>
            <w:pPr>
              <w:spacing w:line="300" w:lineRule="exact"/>
              <w:jc w:val="center"/>
              <w:rPr>
                <w:rFonts w:ascii="仿宋_GB2312" w:hAnsi="仿宋_GB2312" w:eastAsia="仿宋_GB2312" w:cs="仿宋_GB2312"/>
                <w:sz w:val="28"/>
                <w:szCs w:val="28"/>
              </w:rPr>
            </w:pPr>
          </w:p>
        </w:tc>
        <w:tc>
          <w:tcPr>
            <w:tcW w:w="737" w:type="dxa"/>
            <w:vAlign w:val="center"/>
          </w:tcPr>
          <w:p>
            <w:pPr>
              <w:spacing w:line="300" w:lineRule="exact"/>
              <w:jc w:val="center"/>
              <w:rPr>
                <w:rFonts w:ascii="仿宋_GB2312" w:hAnsi="仿宋_GB2312" w:eastAsia="仿宋_GB2312" w:cs="仿宋_GB2312"/>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_GB2312" w:hAnsi="仿宋_GB2312" w:eastAsia="仿宋_GB2312" w:cs="仿宋_GB2312"/>
                <w:bCs/>
                <w:sz w:val="28"/>
                <w:szCs w:val="28"/>
              </w:rPr>
            </w:pPr>
            <w:r>
              <w:rPr>
                <w:rFonts w:hint="eastAsia" w:ascii="仿宋_GB2312" w:hAnsi="仿宋_GB2312" w:eastAsia="仿宋_GB2312" w:cs="仿宋_GB2312"/>
                <w:bCs/>
                <w:sz w:val="28"/>
                <w:szCs w:val="28"/>
              </w:rPr>
              <w:t>　　综合业务管理</w:t>
            </w:r>
          </w:p>
        </w:tc>
        <w:tc>
          <w:tcPr>
            <w:tcW w:w="1276" w:type="dxa"/>
            <w:vAlign w:val="center"/>
          </w:tcPr>
          <w:p>
            <w:pPr>
              <w:spacing w:line="300" w:lineRule="exact"/>
              <w:jc w:val="left"/>
              <w:rPr>
                <w:rFonts w:ascii="仿宋_GB2312" w:hAnsi="仿宋_GB2312" w:eastAsia="仿宋_GB2312" w:cs="仿宋_GB2312"/>
                <w:sz w:val="28"/>
                <w:szCs w:val="28"/>
              </w:rPr>
            </w:pPr>
          </w:p>
        </w:tc>
        <w:tc>
          <w:tcPr>
            <w:tcW w:w="2976"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健全全县统计法制建设，严格查处统计违法现象，开展统计基层基础建设，指导全县统计专业技术队伍建设。</w:t>
            </w:r>
          </w:p>
        </w:tc>
        <w:tc>
          <w:tcPr>
            <w:tcW w:w="2976"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开展统计执法检查和培训工作，防范统计违法现象的发生；拟定全县统计教育培训制度、规划等。</w:t>
            </w:r>
          </w:p>
        </w:tc>
        <w:tc>
          <w:tcPr>
            <w:tcW w:w="1417"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培训工作完成率</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100%</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≥95%</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≥90%</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仿宋_GB2312" w:hAnsi="仿宋_GB2312" w:eastAsia="仿宋_GB2312" w:cs="仿宋_GB2312"/>
                <w:bCs/>
                <w:sz w:val="28"/>
                <w:szCs w:val="28"/>
              </w:rPr>
            </w:pPr>
            <w:r>
              <w:rPr>
                <w:rFonts w:hint="eastAsia" w:ascii="仿宋_GB2312" w:hAnsi="仿宋_GB2312" w:eastAsia="仿宋_GB2312" w:cs="仿宋_GB2312"/>
                <w:bCs/>
                <w:sz w:val="28"/>
                <w:szCs w:val="28"/>
              </w:rPr>
              <w:t>　　综合事务管理</w:t>
            </w:r>
          </w:p>
        </w:tc>
        <w:tc>
          <w:tcPr>
            <w:tcW w:w="1276" w:type="dxa"/>
            <w:vAlign w:val="center"/>
          </w:tcPr>
          <w:p>
            <w:pPr>
              <w:spacing w:line="300" w:lineRule="exact"/>
              <w:jc w:val="left"/>
              <w:rPr>
                <w:rFonts w:ascii="仿宋_GB2312" w:hAnsi="仿宋_GB2312" w:eastAsia="仿宋_GB2312" w:cs="仿宋_GB2312"/>
                <w:sz w:val="28"/>
                <w:szCs w:val="28"/>
              </w:rPr>
            </w:pPr>
          </w:p>
        </w:tc>
        <w:tc>
          <w:tcPr>
            <w:tcW w:w="2976"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保障机关日常运转，开展纪检监察、计财内审、人事管理、老干部管理、党建、后勤、行政许可事务性管理等工作。</w:t>
            </w:r>
          </w:p>
        </w:tc>
        <w:tc>
          <w:tcPr>
            <w:tcW w:w="2976"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保障机关正常运转。</w:t>
            </w:r>
          </w:p>
        </w:tc>
        <w:tc>
          <w:tcPr>
            <w:tcW w:w="1417" w:type="dxa"/>
            <w:vAlign w:val="center"/>
          </w:tcPr>
          <w:p>
            <w:pPr>
              <w:spacing w:line="300" w:lineRule="exact"/>
              <w:jc w:val="left"/>
              <w:rPr>
                <w:rFonts w:ascii="仿宋_GB2312" w:hAnsi="仿宋_GB2312" w:eastAsia="仿宋_GB2312" w:cs="仿宋_GB2312"/>
                <w:sz w:val="28"/>
                <w:szCs w:val="28"/>
              </w:rPr>
            </w:pPr>
            <w:r>
              <w:rPr>
                <w:rFonts w:hint="eastAsia" w:ascii="仿宋_GB2312" w:hAnsi="仿宋_GB2312" w:eastAsia="仿宋_GB2312" w:cs="仿宋_GB2312"/>
                <w:sz w:val="28"/>
                <w:szCs w:val="28"/>
              </w:rPr>
              <w:t>综合事务保障率</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100%</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≥95%</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≥90%</w:t>
            </w:r>
          </w:p>
        </w:tc>
        <w:tc>
          <w:tcPr>
            <w:tcW w:w="737" w:type="dxa"/>
            <w:vAlign w:val="center"/>
          </w:tcPr>
          <w:p>
            <w:pPr>
              <w:spacing w:line="300" w:lineRule="exact"/>
              <w:jc w:val="center"/>
              <w:rPr>
                <w:rFonts w:ascii="仿宋_GB2312" w:hAnsi="仿宋_GB2312" w:eastAsia="仿宋_GB2312" w:cs="仿宋_GB2312"/>
                <w:sz w:val="28"/>
                <w:szCs w:val="28"/>
              </w:rPr>
            </w:pPr>
            <w:r>
              <w:rPr>
                <w:rFonts w:hint="eastAsia" w:ascii="仿宋_GB2312" w:hAnsi="仿宋_GB2312" w:eastAsia="仿宋_GB2312" w:cs="仿宋_GB2312"/>
                <w:sz w:val="28"/>
                <w:szCs w:val="28"/>
              </w:rPr>
              <w:t>&lt;90%</w:t>
            </w:r>
          </w:p>
        </w:tc>
      </w:tr>
    </w:tbl>
    <w:p>
      <w:pPr>
        <w:spacing w:line="300" w:lineRule="exact"/>
        <w:jc w:val="left"/>
        <w:outlineLvl w:val="0"/>
        <w:sectPr>
          <w:headerReference r:id="rId5" w:type="first"/>
          <w:footerReference r:id="rId8" w:type="first"/>
          <w:headerReference r:id="rId3" w:type="default"/>
          <w:footerReference r:id="rId6" w:type="default"/>
          <w:headerReference r:id="rId4" w:type="even"/>
          <w:footerReference r:id="rId7" w:type="even"/>
          <w:pgSz w:w="16839" w:h="11907" w:orient="landscape"/>
          <w:pgMar w:top="1020" w:right="1361" w:bottom="1020" w:left="1361" w:header="851" w:footer="992" w:gutter="0"/>
          <w:cols w:space="720" w:num="1"/>
          <w:docGrid w:type="lines" w:linePitch="312" w:charSpace="0"/>
        </w:sectPr>
      </w:pPr>
    </w:p>
    <w:p>
      <w:pPr>
        <w:autoSpaceDE w:val="0"/>
        <w:autoSpaceDN w:val="0"/>
        <w:adjustRightInd w:val="0"/>
        <w:jc w:val="left"/>
        <w:rPr>
          <w:rFonts w:ascii="宋体" w:hAnsi="宋体" w:cs="宋体"/>
          <w:b/>
          <w:bCs/>
          <w:sz w:val="44"/>
          <w:szCs w:val="44"/>
        </w:rPr>
      </w:pPr>
      <w:r>
        <w:rPr>
          <w:rFonts w:hint="eastAsia" w:ascii="黑体" w:hAnsi="黑体" w:eastAsia="黑体" w:cs="黑体"/>
          <w:sz w:val="32"/>
          <w:szCs w:val="32"/>
        </w:rPr>
        <w:t xml:space="preserve">    六、政府采购预算情况</w:t>
      </w:r>
    </w:p>
    <w:p>
      <w:pPr>
        <w:ind w:firstLine="645" w:firstLineChars="215"/>
        <w:rPr>
          <w:rFonts w:ascii="仿宋_GB2312" w:eastAsia="仿宋_GB2312"/>
          <w:sz w:val="30"/>
          <w:szCs w:val="30"/>
        </w:rPr>
      </w:pPr>
      <w:r>
        <w:rPr>
          <w:rFonts w:ascii="仿宋_GB2312" w:eastAsia="仿宋_GB2312"/>
          <w:sz w:val="30"/>
          <w:szCs w:val="30"/>
        </w:rPr>
        <w:t>2017</w:t>
      </w:r>
      <w:r>
        <w:rPr>
          <w:rFonts w:hint="eastAsia" w:ascii="仿宋_GB2312" w:eastAsia="仿宋_GB2312"/>
          <w:sz w:val="30"/>
          <w:szCs w:val="30"/>
        </w:rPr>
        <w:t>年我部门安排政府采购预算</w:t>
      </w:r>
      <w:r>
        <w:rPr>
          <w:rFonts w:ascii="仿宋_GB2312" w:eastAsia="仿宋_GB2312"/>
          <w:sz w:val="30"/>
          <w:szCs w:val="30"/>
        </w:rPr>
        <w:t>0</w:t>
      </w:r>
      <w:r>
        <w:rPr>
          <w:rFonts w:hint="eastAsia" w:ascii="仿宋_GB2312" w:eastAsia="仿宋_GB2312"/>
          <w:sz w:val="30"/>
          <w:szCs w:val="30"/>
        </w:rPr>
        <w:t>万元。</w:t>
      </w:r>
    </w:p>
    <w:p>
      <w:pPr>
        <w:ind w:firstLine="688" w:firstLineChars="215"/>
        <w:rPr>
          <w:rFonts w:ascii="宋体" w:hAnsi="宋体" w:cs="宋体"/>
          <w:b/>
          <w:bCs/>
          <w:sz w:val="44"/>
          <w:szCs w:val="44"/>
        </w:rPr>
      </w:pPr>
      <w:r>
        <w:rPr>
          <w:rFonts w:hint="eastAsia" w:ascii="黑体" w:hAnsi="黑体" w:eastAsia="黑体" w:cs="黑体"/>
          <w:sz w:val="32"/>
          <w:szCs w:val="32"/>
        </w:rPr>
        <w:t>七、国有资产信息</w:t>
      </w:r>
    </w:p>
    <w:p>
      <w:pPr>
        <w:pStyle w:val="7"/>
        <w:ind w:firstLine="640" w:firstLineChars="200"/>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无极县统计局上年末固定资产为55万元（详见下表）。本年度拟购置固定资产为0万元。</w:t>
      </w:r>
    </w:p>
    <w:tbl>
      <w:tblPr>
        <w:tblStyle w:val="4"/>
        <w:tblW w:w="10575" w:type="dxa"/>
        <w:tblInd w:w="1778" w:type="dxa"/>
        <w:tblLayout w:type="fixed"/>
        <w:tblCellMar>
          <w:top w:w="0" w:type="dxa"/>
          <w:left w:w="108" w:type="dxa"/>
          <w:bottom w:w="0" w:type="dxa"/>
          <w:right w:w="108" w:type="dxa"/>
        </w:tblCellMar>
      </w:tblPr>
      <w:tblGrid>
        <w:gridCol w:w="3975"/>
        <w:gridCol w:w="1890"/>
        <w:gridCol w:w="4710"/>
      </w:tblGrid>
      <w:tr>
        <w:tblPrEx>
          <w:tblCellMar>
            <w:top w:w="0" w:type="dxa"/>
            <w:left w:w="108" w:type="dxa"/>
            <w:bottom w:w="0" w:type="dxa"/>
            <w:right w:w="108" w:type="dxa"/>
          </w:tblCellMar>
        </w:tblPrEx>
        <w:trPr>
          <w:trHeight w:val="705" w:hRule="atLeast"/>
        </w:trPr>
        <w:tc>
          <w:tcPr>
            <w:tcW w:w="10575" w:type="dxa"/>
            <w:gridSpan w:val="3"/>
            <w:tcBorders>
              <w:top w:val="nil"/>
              <w:left w:val="nil"/>
              <w:bottom w:val="nil"/>
              <w:right w:val="nil"/>
            </w:tcBorders>
            <w:vAlign w:val="center"/>
          </w:tcPr>
          <w:p>
            <w:pPr>
              <w:widowControl/>
              <w:jc w:val="center"/>
              <w:rPr>
                <w:rFonts w:ascii="仿宋_GB2312" w:hAnsi="仿宋_GB2312" w:eastAsia="仿宋_GB2312" w:cs="仿宋_GB2312"/>
                <w:b/>
                <w:bCs/>
                <w:kern w:val="0"/>
                <w:sz w:val="32"/>
                <w:szCs w:val="32"/>
              </w:rPr>
            </w:pPr>
            <w:r>
              <w:rPr>
                <w:rFonts w:hint="eastAsia" w:ascii="仿宋_GB2312" w:hAnsi="仿宋_GB2312" w:eastAsia="仿宋_GB2312" w:cs="仿宋_GB2312"/>
                <w:kern w:val="0"/>
                <w:sz w:val="32"/>
                <w:szCs w:val="32"/>
              </w:rPr>
              <w:t>无极县统计局固定资产占用情况表</w:t>
            </w:r>
          </w:p>
        </w:tc>
      </w:tr>
      <w:tr>
        <w:tblPrEx>
          <w:tblCellMar>
            <w:top w:w="0" w:type="dxa"/>
            <w:left w:w="108" w:type="dxa"/>
            <w:bottom w:w="0" w:type="dxa"/>
            <w:right w:w="108" w:type="dxa"/>
          </w:tblCellMar>
        </w:tblPrEx>
        <w:trPr>
          <w:trHeight w:val="510" w:hRule="atLeast"/>
        </w:trPr>
        <w:tc>
          <w:tcPr>
            <w:tcW w:w="5865" w:type="dxa"/>
            <w:gridSpan w:val="2"/>
            <w:tcBorders>
              <w:top w:val="nil"/>
              <w:left w:val="nil"/>
              <w:bottom w:val="nil"/>
              <w:right w:val="nil"/>
            </w:tcBorders>
            <w:vAlign w:val="center"/>
          </w:tcPr>
          <w:p>
            <w:pPr>
              <w:widowControl/>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编制部门：</w:t>
            </w:r>
            <w:r>
              <w:rPr>
                <w:rFonts w:hint="eastAsia" w:ascii="仿宋_GB2312" w:hAnsi="仿宋_GB2312" w:eastAsia="仿宋_GB2312" w:cs="仿宋_GB2312"/>
                <w:sz w:val="32"/>
                <w:szCs w:val="32"/>
              </w:rPr>
              <w:t>无极县统计局</w:t>
            </w:r>
          </w:p>
        </w:tc>
        <w:tc>
          <w:tcPr>
            <w:tcW w:w="4710" w:type="dxa"/>
            <w:tcBorders>
              <w:top w:val="nil"/>
              <w:left w:val="nil"/>
              <w:bottom w:val="nil"/>
              <w:right w:val="nil"/>
            </w:tcBorders>
            <w:vAlign w:val="center"/>
          </w:tcPr>
          <w:p>
            <w:pPr>
              <w:widowControl/>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截止时间：2016年12月31日  </w:t>
            </w:r>
          </w:p>
        </w:tc>
      </w:tr>
      <w:tr>
        <w:tblPrEx>
          <w:tblCellMar>
            <w:top w:w="0" w:type="dxa"/>
            <w:left w:w="108" w:type="dxa"/>
            <w:bottom w:w="0" w:type="dxa"/>
            <w:right w:w="108" w:type="dxa"/>
          </w:tblCellMar>
        </w:tblPrEx>
        <w:trPr>
          <w:trHeight w:val="645" w:hRule="atLeast"/>
        </w:trPr>
        <w:tc>
          <w:tcPr>
            <w:tcW w:w="397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项   目</w:t>
            </w:r>
          </w:p>
        </w:tc>
        <w:tc>
          <w:tcPr>
            <w:tcW w:w="1890" w:type="dxa"/>
            <w:tcBorders>
              <w:top w:val="single" w:color="auto" w:sz="4" w:space="0"/>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数量</w:t>
            </w:r>
          </w:p>
        </w:tc>
        <w:tc>
          <w:tcPr>
            <w:tcW w:w="4710" w:type="dxa"/>
            <w:tcBorders>
              <w:top w:val="single" w:color="auto" w:sz="4" w:space="0"/>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价值（金额单位：万元）</w:t>
            </w:r>
          </w:p>
        </w:tc>
      </w:tr>
      <w:tr>
        <w:tblPrEx>
          <w:tblCellMar>
            <w:top w:w="0" w:type="dxa"/>
            <w:left w:w="108" w:type="dxa"/>
            <w:bottom w:w="0" w:type="dxa"/>
            <w:right w:w="108" w:type="dxa"/>
          </w:tblCellMar>
        </w:tblPrEx>
        <w:trPr>
          <w:trHeight w:val="645" w:hRule="atLeast"/>
        </w:trPr>
        <w:tc>
          <w:tcPr>
            <w:tcW w:w="3975" w:type="dxa"/>
            <w:tcBorders>
              <w:top w:val="nil"/>
              <w:left w:val="single" w:color="auto" w:sz="4" w:space="0"/>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资产总额</w:t>
            </w:r>
          </w:p>
        </w:tc>
        <w:tc>
          <w:tcPr>
            <w:tcW w:w="189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p>
        </w:tc>
        <w:tc>
          <w:tcPr>
            <w:tcW w:w="471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55</w:t>
            </w:r>
          </w:p>
        </w:tc>
      </w:tr>
      <w:tr>
        <w:tblPrEx>
          <w:tblCellMar>
            <w:top w:w="0" w:type="dxa"/>
            <w:left w:w="108" w:type="dxa"/>
            <w:bottom w:w="0" w:type="dxa"/>
            <w:right w:w="108" w:type="dxa"/>
          </w:tblCellMar>
        </w:tblPrEx>
        <w:trPr>
          <w:trHeight w:val="645" w:hRule="atLeast"/>
        </w:trPr>
        <w:tc>
          <w:tcPr>
            <w:tcW w:w="3975" w:type="dxa"/>
            <w:tcBorders>
              <w:top w:val="nil"/>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1、房屋（平方米）</w:t>
            </w:r>
          </w:p>
        </w:tc>
        <w:tc>
          <w:tcPr>
            <w:tcW w:w="189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p>
        </w:tc>
        <w:tc>
          <w:tcPr>
            <w:tcW w:w="471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p>
        </w:tc>
      </w:tr>
      <w:tr>
        <w:tblPrEx>
          <w:tblCellMar>
            <w:top w:w="0" w:type="dxa"/>
            <w:left w:w="108" w:type="dxa"/>
            <w:bottom w:w="0" w:type="dxa"/>
            <w:right w:w="108" w:type="dxa"/>
          </w:tblCellMar>
        </w:tblPrEx>
        <w:trPr>
          <w:trHeight w:val="645" w:hRule="atLeast"/>
        </w:trPr>
        <w:tc>
          <w:tcPr>
            <w:tcW w:w="3975" w:type="dxa"/>
            <w:tcBorders>
              <w:top w:val="nil"/>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 xml:space="preserve">  其中：办公用房（平方米）</w:t>
            </w:r>
          </w:p>
        </w:tc>
        <w:tc>
          <w:tcPr>
            <w:tcW w:w="189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p>
        </w:tc>
        <w:tc>
          <w:tcPr>
            <w:tcW w:w="471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p>
        </w:tc>
      </w:tr>
      <w:tr>
        <w:tblPrEx>
          <w:tblCellMar>
            <w:top w:w="0" w:type="dxa"/>
            <w:left w:w="108" w:type="dxa"/>
            <w:bottom w:w="0" w:type="dxa"/>
            <w:right w:w="108" w:type="dxa"/>
          </w:tblCellMar>
        </w:tblPrEx>
        <w:trPr>
          <w:trHeight w:val="645" w:hRule="atLeast"/>
        </w:trPr>
        <w:tc>
          <w:tcPr>
            <w:tcW w:w="3975" w:type="dxa"/>
            <w:tcBorders>
              <w:top w:val="nil"/>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2、车辆（台、辆）</w:t>
            </w:r>
          </w:p>
        </w:tc>
        <w:tc>
          <w:tcPr>
            <w:tcW w:w="189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w:t>
            </w:r>
          </w:p>
        </w:tc>
        <w:tc>
          <w:tcPr>
            <w:tcW w:w="471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13</w:t>
            </w:r>
          </w:p>
        </w:tc>
      </w:tr>
      <w:tr>
        <w:tblPrEx>
          <w:tblCellMar>
            <w:top w:w="0" w:type="dxa"/>
            <w:left w:w="108" w:type="dxa"/>
            <w:bottom w:w="0" w:type="dxa"/>
            <w:right w:w="108" w:type="dxa"/>
          </w:tblCellMar>
        </w:tblPrEx>
        <w:trPr>
          <w:trHeight w:val="645" w:hRule="atLeast"/>
        </w:trPr>
        <w:tc>
          <w:tcPr>
            <w:tcW w:w="3975" w:type="dxa"/>
            <w:tcBorders>
              <w:top w:val="nil"/>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3、单价在20万元以上设备</w:t>
            </w:r>
          </w:p>
        </w:tc>
        <w:tc>
          <w:tcPr>
            <w:tcW w:w="189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p>
        </w:tc>
        <w:tc>
          <w:tcPr>
            <w:tcW w:w="471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p>
        </w:tc>
      </w:tr>
      <w:tr>
        <w:tblPrEx>
          <w:tblCellMar>
            <w:top w:w="0" w:type="dxa"/>
            <w:left w:w="108" w:type="dxa"/>
            <w:bottom w:w="0" w:type="dxa"/>
            <w:right w:w="108" w:type="dxa"/>
          </w:tblCellMar>
        </w:tblPrEx>
        <w:trPr>
          <w:trHeight w:val="645" w:hRule="atLeast"/>
        </w:trPr>
        <w:tc>
          <w:tcPr>
            <w:tcW w:w="3975" w:type="dxa"/>
            <w:tcBorders>
              <w:top w:val="nil"/>
              <w:left w:val="single" w:color="auto" w:sz="4" w:space="0"/>
              <w:bottom w:val="single" w:color="auto" w:sz="4" w:space="0"/>
              <w:right w:val="single" w:color="auto" w:sz="4" w:space="0"/>
            </w:tcBorders>
            <w:vAlign w:val="center"/>
          </w:tcPr>
          <w:p>
            <w:pPr>
              <w:widowControl/>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4、其他固定资产</w:t>
            </w:r>
          </w:p>
        </w:tc>
        <w:tc>
          <w:tcPr>
            <w:tcW w:w="189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p>
        </w:tc>
        <w:tc>
          <w:tcPr>
            <w:tcW w:w="4710" w:type="dxa"/>
            <w:tcBorders>
              <w:top w:val="nil"/>
              <w:left w:val="nil"/>
              <w:bottom w:val="single" w:color="auto" w:sz="4" w:space="0"/>
              <w:right w:val="single" w:color="auto" w:sz="4" w:space="0"/>
            </w:tcBorders>
            <w:vAlign w:val="center"/>
          </w:tcPr>
          <w:p>
            <w:pPr>
              <w:widowControl/>
              <w:jc w:val="center"/>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42</w:t>
            </w:r>
          </w:p>
        </w:tc>
      </w:tr>
    </w:tbl>
    <w:p/>
    <w:p>
      <w:pPr>
        <w:autoSpaceDE w:val="0"/>
        <w:autoSpaceDN w:val="0"/>
        <w:adjustRightInd w:val="0"/>
        <w:jc w:val="left"/>
        <w:rPr>
          <w:rFonts w:hint="eastAsia" w:ascii="宋体" w:hAnsi="宋体" w:cs="宋体"/>
          <w:b/>
          <w:bCs/>
          <w:sz w:val="44"/>
          <w:szCs w:val="44"/>
        </w:rPr>
      </w:pPr>
      <w:r>
        <w:rPr>
          <w:rFonts w:hint="eastAsia" w:ascii="黑体" w:hAnsi="黑体" w:eastAsia="黑体" w:cs="仿宋_GB2312"/>
          <w:sz w:val="32"/>
          <w:szCs w:val="32"/>
        </w:rPr>
        <w:t xml:space="preserve">  </w:t>
      </w:r>
      <w:r>
        <w:rPr>
          <w:rFonts w:hint="eastAsia" w:ascii="宋体" w:hAnsi="宋体" w:cs="宋体"/>
          <w:b/>
          <w:bCs/>
          <w:sz w:val="44"/>
          <w:szCs w:val="44"/>
        </w:rPr>
        <w:t xml:space="preserve"> </w:t>
      </w:r>
    </w:p>
    <w:p>
      <w:pPr>
        <w:autoSpaceDE w:val="0"/>
        <w:autoSpaceDN w:val="0"/>
        <w:adjustRightInd w:val="0"/>
        <w:jc w:val="left"/>
        <w:rPr>
          <w:rFonts w:ascii="黑体" w:hAnsi="黑体" w:eastAsia="黑体" w:cs="黑体"/>
          <w:sz w:val="32"/>
          <w:szCs w:val="32"/>
        </w:rPr>
      </w:pPr>
      <w:r>
        <w:rPr>
          <w:rFonts w:hint="eastAsia" w:ascii="黑体" w:hAnsi="黑体" w:eastAsia="黑体" w:cs="黑体"/>
          <w:sz w:val="32"/>
          <w:szCs w:val="32"/>
        </w:rPr>
        <w:t>八、名词解释</w:t>
      </w:r>
    </w:p>
    <w:p>
      <w:pPr>
        <w:ind w:firstLine="72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1.财政拨款收入</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财政拨款收入是指财政部门按照批复的预算核拨给单位的财政预算资金。</w:t>
      </w:r>
    </w:p>
    <w:p>
      <w:pPr>
        <w:ind w:firstLine="72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2.基本支出、项目支出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基本支出是指预算单位为保障机构正常运转和完成日常工作而发生的各项支出，包括人员经费和日常公用经费。</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项目支出是指在基本支出之外完成特定行政任务和事业发展目标所发生的支出。</w:t>
      </w:r>
    </w:p>
    <w:p>
      <w:pPr>
        <w:ind w:firstLine="72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3.一般公共服务支出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一般公共服务支出是指反映预算单位一般公共服务的支出。</w:t>
      </w:r>
    </w:p>
    <w:p>
      <w:pPr>
        <w:ind w:firstLine="72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4.文化体育与传媒支出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文化体育与传媒支出是指反映预算单位在文化、文物、体育、广播影视、新闻出版等方面的支出。</w:t>
      </w:r>
    </w:p>
    <w:p>
      <w:pPr>
        <w:ind w:firstLine="72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5.社会保障和就业支出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社会保障和就业支出是指预算单位在社会保障和就业方面的支出。</w:t>
      </w:r>
    </w:p>
    <w:p>
      <w:pPr>
        <w:ind w:firstLine="72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6.机关运行经费</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7.“三公”经费</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“三公”经费是指因公出国（境）费、公务用车购置及运行维护费和公务接待费。</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因公出国（境）费是指单位公务出国（境）的国际旅费、国外城市间交通费、住宿费、伙食费、培训费、公杂费等支出。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公务用车购置及运行维护费是指单位购置公务用车及公务用车租用费、燃料费、维修费、路桥费、保险费等支出。</w:t>
      </w:r>
    </w:p>
    <w:p>
      <w:pPr>
        <w:ind w:firstLine="720"/>
        <w:rPr>
          <w:rFonts w:ascii="仿宋_GB2312" w:hAnsi="仿宋_GB2312" w:eastAsia="仿宋_GB2312" w:cs="仿宋_GB2312"/>
          <w:sz w:val="32"/>
          <w:szCs w:val="32"/>
        </w:rPr>
      </w:pPr>
      <w:r>
        <w:rPr>
          <w:rFonts w:hint="eastAsia" w:ascii="仿宋_GB2312" w:hAnsi="仿宋_GB2312" w:eastAsia="仿宋_GB2312" w:cs="仿宋_GB2312"/>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_GB2312" w:hAnsi="仿宋_GB2312" w:eastAsia="仿宋_GB2312" w:cs="仿宋_GB2312"/>
          <w:sz w:val="32"/>
          <w:szCs w:val="32"/>
        </w:rPr>
      </w:pPr>
      <w:r>
        <w:rPr>
          <w:rFonts w:hint="eastAsia" w:ascii="仿宋_GB2312" w:hAnsi="仿宋_GB2312" w:eastAsia="仿宋_GB2312" w:cs="仿宋_GB2312"/>
          <w:sz w:val="32"/>
          <w:szCs w:val="32"/>
        </w:rPr>
        <w:t>无。</w:t>
      </w:r>
    </w:p>
    <w:sectPr>
      <w:pgSz w:w="16839" w:h="11907" w:orient="landscape"/>
      <w:pgMar w:top="1020" w:right="1361" w:bottom="1020" w:left="136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F676F6D"/>
    <w:multiLevelType w:val="singleLevel"/>
    <w:tmpl w:val="DF676F6D"/>
    <w:lvl w:ilvl="0" w:tentative="0">
      <w:start w:val="2"/>
      <w:numFmt w:val="chineseCounting"/>
      <w:suff w:val="nothing"/>
      <w:lvlText w:val="（%1）"/>
      <w:lvlJc w:val="left"/>
    </w:lvl>
  </w:abstractNum>
  <w:abstractNum w:abstractNumId="1">
    <w:nsid w:val="0000000B"/>
    <w:multiLevelType w:val="singleLevel"/>
    <w:tmpl w:val="0000000B"/>
    <w:lvl w:ilvl="0" w:tentative="0">
      <w:start w:val="2"/>
      <w:numFmt w:val="chineseCounting"/>
      <w:suff w:val="nothing"/>
      <w:lvlText w:val="（%1）"/>
      <w:lvlJc w:val="left"/>
    </w:lvl>
  </w:abstractNum>
  <w:abstractNum w:abstractNumId="2">
    <w:nsid w:val="0000000C"/>
    <w:multiLevelType w:val="singleLevel"/>
    <w:tmpl w:val="0000000C"/>
    <w:lvl w:ilvl="0" w:tentative="0">
      <w:start w:val="1"/>
      <w:numFmt w:val="chineseCounting"/>
      <w:suff w:val="nothing"/>
      <w:lvlText w:val="（%1）"/>
      <w:lvlJc w:val="left"/>
    </w:lvl>
  </w:abstractNum>
  <w:abstractNum w:abstractNumId="3">
    <w:nsid w:val="0000000D"/>
    <w:multiLevelType w:val="singleLevel"/>
    <w:tmpl w:val="0000000D"/>
    <w:lvl w:ilvl="0" w:tentative="0">
      <w:start w:val="3"/>
      <w:numFmt w:val="chineseCounting"/>
      <w:suff w:val="nothing"/>
      <w:lvlText w:val="（%1）"/>
      <w:lvlJc w:val="left"/>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57D2"/>
    <w:rsid w:val="005A1BF2"/>
    <w:rsid w:val="006557D2"/>
    <w:rsid w:val="00C13E60"/>
    <w:rsid w:val="329B2C8F"/>
    <w:rsid w:val="5EEB86BF"/>
    <w:rsid w:val="789D1890"/>
    <w:rsid w:val="EBFD39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Calibr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9"/>
    <w:uiPriority w:val="0"/>
    <w:pPr>
      <w:tabs>
        <w:tab w:val="center" w:pos="4153"/>
        <w:tab w:val="right" w:pos="8306"/>
      </w:tabs>
      <w:snapToGrid w:val="0"/>
      <w:jc w:val="left"/>
    </w:pPr>
    <w:rPr>
      <w:sz w:val="18"/>
      <w:szCs w:val="18"/>
    </w:rPr>
  </w:style>
  <w:style w:type="paragraph" w:styleId="3">
    <w:name w:val="header"/>
    <w:basedOn w:val="1"/>
    <w:link w:val="8"/>
    <w:uiPriority w:val="0"/>
    <w:pPr>
      <w:pBdr>
        <w:bottom w:val="single" w:color="auto" w:sz="6" w:space="1"/>
      </w:pBdr>
      <w:tabs>
        <w:tab w:val="center" w:pos="4153"/>
        <w:tab w:val="right" w:pos="8306"/>
      </w:tabs>
      <w:snapToGrid w:val="0"/>
      <w:jc w:val="center"/>
    </w:pPr>
    <w:rPr>
      <w:sz w:val="18"/>
      <w:szCs w:val="18"/>
    </w:rPr>
  </w:style>
  <w:style w:type="paragraph" w:customStyle="1" w:styleId="6">
    <w:name w:val="列出段落1"/>
    <w:basedOn w:val="1"/>
    <w:qFormat/>
    <w:uiPriority w:val="0"/>
    <w:pPr>
      <w:ind w:firstLine="420" w:firstLineChars="200"/>
    </w:pPr>
  </w:style>
  <w:style w:type="paragraph" w:customStyle="1" w:styleId="7">
    <w:name w:val="[Normal]"/>
    <w:uiPriority w:val="0"/>
    <w:rPr>
      <w:rFonts w:ascii="宋体" w:hAnsi="Times New Roman" w:eastAsia="宋体" w:cs="Calibri"/>
      <w:sz w:val="24"/>
      <w:lang w:val="en-US" w:eastAsia="en-US" w:bidi="ar-SA"/>
    </w:rPr>
  </w:style>
  <w:style w:type="character" w:customStyle="1" w:styleId="8">
    <w:name w:val="页眉 Char"/>
    <w:link w:val="3"/>
    <w:semiHidden/>
    <w:uiPriority w:val="0"/>
    <w:rPr>
      <w:rFonts w:ascii="Times New Roman" w:hAnsi="Times New Roman" w:eastAsia="宋体" w:cs="Times New Roman"/>
      <w:sz w:val="18"/>
      <w:szCs w:val="18"/>
    </w:rPr>
  </w:style>
  <w:style w:type="character" w:customStyle="1" w:styleId="9">
    <w:name w:val="页脚 Char"/>
    <w:link w:val="2"/>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12</Pages>
  <Words>773</Words>
  <Characters>4411</Characters>
  <Lines>36</Lines>
  <Paragraphs>10</Paragraphs>
  <TotalTime>12</TotalTime>
  <ScaleCrop>false</ScaleCrop>
  <LinksUpToDate>false</LinksUpToDate>
  <CharactersWithSpaces>5174</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2017-08-22T09:42:00Z</dcterms:created>
  <dc:creator>微软用户</dc:creator>
  <cp:lastModifiedBy>Administrator</cp:lastModifiedBy>
  <dcterms:modified xsi:type="dcterms:W3CDTF">2024-01-31T05:42:37Z</dcterms:modified>
  <dc:title>微软用户</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92A149E5BD5943C4AEB2992FCA0342FF</vt:lpwstr>
  </property>
</Properties>
</file>