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p>
    <w:p>
      <w:pPr>
        <w:ind w:firstLine="4996" w:firstLineChars="1131"/>
        <w:rPr>
          <w:rFonts w:ascii="宋体" w:hAnsi="宋体" w:cs="宋体"/>
          <w:b/>
          <w:bCs/>
          <w:sz w:val="44"/>
          <w:szCs w:val="44"/>
        </w:rPr>
      </w:pPr>
      <w:r>
        <w:rPr>
          <w:rFonts w:hint="eastAsia" w:ascii="宋体" w:hAnsi="宋体" w:cs="宋体"/>
          <w:b/>
          <w:bCs/>
          <w:sz w:val="44"/>
          <w:szCs w:val="44"/>
        </w:rPr>
        <w:t xml:space="preserve">   无极县统计局    </w:t>
      </w:r>
    </w:p>
    <w:p>
      <w:pPr>
        <w:jc w:val="center"/>
        <w:rPr>
          <w:rFonts w:ascii="宋体" w:hAnsi="宋体" w:cs="宋体"/>
          <w:b/>
          <w:bCs/>
          <w:sz w:val="44"/>
          <w:szCs w:val="44"/>
        </w:rPr>
      </w:pPr>
      <w:r>
        <w:rPr>
          <w:rFonts w:hint="eastAsia" w:ascii="宋体" w:hAnsi="宋体" w:cs="宋体"/>
          <w:b/>
          <w:bCs/>
          <w:sz w:val="44"/>
          <w:szCs w:val="44"/>
        </w:rPr>
        <w:t>2019年部门预算信息公开说明目录</w:t>
      </w:r>
    </w:p>
    <w:p>
      <w:pPr>
        <w:rPr>
          <w:rFonts w:ascii="宋体" w:hAnsi="宋体" w:cs="宋体"/>
          <w:b/>
          <w:bCs/>
          <w:sz w:val="44"/>
          <w:szCs w:val="44"/>
        </w:rPr>
      </w:pPr>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九、其他需要说明的事项</w:t>
      </w:r>
    </w:p>
    <w:p>
      <w:pPr>
        <w:autoSpaceDE w:val="0"/>
        <w:autoSpaceDN w:val="0"/>
        <w:adjustRightInd w:val="0"/>
        <w:ind w:firstLine="640" w:firstLineChars="200"/>
        <w:jc w:val="left"/>
        <w:rPr>
          <w:rFonts w:ascii="宋体" w:hAnsi="宋体" w:cs="仿宋_GB2312"/>
          <w:sz w:val="32"/>
          <w:szCs w:val="32"/>
        </w:rPr>
      </w:pPr>
    </w:p>
    <w:p>
      <w:pPr>
        <w:autoSpaceDE w:val="0"/>
        <w:autoSpaceDN w:val="0"/>
        <w:adjustRightInd w:val="0"/>
        <w:ind w:firstLine="640" w:firstLineChars="200"/>
        <w:jc w:val="left"/>
        <w:rPr>
          <w:rFonts w:ascii="宋体" w:hAnsi="宋体" w:cs="仿宋_GB2312"/>
          <w:sz w:val="32"/>
          <w:szCs w:val="32"/>
        </w:rPr>
      </w:pPr>
    </w:p>
    <w:p/>
    <w:p>
      <w:pPr>
        <w:ind w:firstLine="640" w:firstLineChars="200"/>
        <w:rPr>
          <w:rFonts w:ascii="仿宋" w:hAnsi="仿宋" w:eastAsia="仿宋" w:cs="仿宋"/>
          <w:sz w:val="32"/>
          <w:szCs w:val="32"/>
        </w:rPr>
      </w:pPr>
      <w:r>
        <w:rPr>
          <w:rFonts w:hint="eastAsia" w:ascii="仿宋" w:hAnsi="仿宋" w:eastAsia="仿宋" w:cs="仿宋"/>
          <w:sz w:val="32"/>
          <w:szCs w:val="32"/>
        </w:rPr>
        <w:t>按照</w:t>
      </w:r>
      <w:bookmarkStart w:id="2" w:name="_GoBack"/>
      <w:bookmarkEnd w:id="2"/>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、《地方预决算公开操作规程》和《河北省省级预算公开办法》规定，现将无极县统计局</w:t>
      </w:r>
      <w:r>
        <w:rPr>
          <w:rFonts w:ascii="仿宋" w:hAnsi="仿宋" w:eastAsia="仿宋" w:cs="仿宋"/>
          <w:sz w:val="32"/>
          <w:szCs w:val="32"/>
        </w:rPr>
        <w:t>201</w:t>
      </w:r>
      <w:r>
        <w:rPr>
          <w:rFonts w:hint="eastAsia" w:ascii="仿宋" w:hAnsi="仿宋" w:eastAsia="仿宋" w:cs="仿宋"/>
          <w:sz w:val="32"/>
          <w:szCs w:val="32"/>
        </w:rPr>
        <w:t>9年部门预算公开如下：</w:t>
      </w:r>
    </w:p>
    <w:p>
      <w:pPr>
        <w:ind w:left="800"/>
        <w:rPr>
          <w:rFonts w:ascii="黑体" w:hAnsi="黑体" w:eastAsia="黑体" w:cs="黑体"/>
          <w:sz w:val="32"/>
          <w:szCs w:val="32"/>
        </w:rPr>
      </w:pPr>
      <w:r>
        <w:rPr>
          <w:rFonts w:hint="eastAsia" w:ascii="黑体" w:hAnsi="黑体" w:eastAsia="黑体" w:cs="黑体"/>
          <w:sz w:val="32"/>
          <w:szCs w:val="32"/>
        </w:rPr>
        <w:t>一、部门职责及机构设置情况</w:t>
      </w:r>
    </w:p>
    <w:p>
      <w:pPr>
        <w:ind w:firstLine="643" w:firstLineChars="200"/>
        <w:rPr>
          <w:rFonts w:ascii="楷体" w:hAnsi="楷体" w:eastAsia="楷体" w:cs="仿宋_GB2312"/>
          <w:b/>
          <w:bCs/>
          <w:sz w:val="32"/>
          <w:szCs w:val="32"/>
        </w:rPr>
      </w:pPr>
      <w:r>
        <w:rPr>
          <w:rFonts w:hint="eastAsia" w:ascii="楷体" w:hAnsi="楷体" w:eastAsia="楷体" w:cs="楷体_GB2312"/>
          <w:b/>
          <w:sz w:val="32"/>
          <w:szCs w:val="32"/>
        </w:rPr>
        <w:t>部门职责</w:t>
      </w:r>
    </w:p>
    <w:p>
      <w:pPr>
        <w:ind w:firstLine="640" w:firstLineChars="200"/>
        <w:rPr>
          <w:rFonts w:ascii="仿宋" w:hAnsi="仿宋" w:eastAsia="仿宋"/>
          <w:sz w:val="32"/>
          <w:szCs w:val="32"/>
        </w:rPr>
      </w:pPr>
      <w:r>
        <w:rPr>
          <w:rFonts w:hint="eastAsia" w:ascii="仿宋" w:hAnsi="仿宋" w:eastAsia="仿宋"/>
          <w:sz w:val="32"/>
          <w:szCs w:val="32"/>
        </w:rPr>
        <w:t>（一）组织领导和协调全县统计工作，确保统计数据真实、准确、完整、及时。</w:t>
      </w:r>
    </w:p>
    <w:p>
      <w:pPr>
        <w:ind w:firstLine="640" w:firstLineChars="200"/>
        <w:rPr>
          <w:rFonts w:ascii="仿宋" w:hAnsi="仿宋" w:eastAsia="仿宋"/>
          <w:sz w:val="32"/>
          <w:szCs w:val="32"/>
        </w:rPr>
      </w:pPr>
      <w:r>
        <w:rPr>
          <w:rFonts w:hint="eastAsia" w:ascii="仿宋" w:hAnsi="仿宋" w:eastAsia="仿宋"/>
          <w:sz w:val="32"/>
          <w:szCs w:val="32"/>
        </w:rPr>
        <w:t>（二）落实统计工作方面的地方性法规，起草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ind w:firstLine="640" w:firstLineChars="200"/>
        <w:rPr>
          <w:rFonts w:ascii="仿宋" w:hAnsi="仿宋" w:eastAsia="仿宋"/>
          <w:sz w:val="32"/>
          <w:szCs w:val="32"/>
        </w:rPr>
      </w:pPr>
      <w:r>
        <w:rPr>
          <w:rFonts w:hint="eastAsia" w:ascii="仿宋" w:hAnsi="仿宋" w:eastAsia="仿宋"/>
          <w:sz w:val="32"/>
          <w:szCs w:val="32"/>
        </w:rPr>
        <w:t>（三）贯彻执行河北省国民经济核算制度，组织实施全县国民经济核算和民营经济统计工作；统一核算全县地区生产总值及派生产业增加值；组织实施投入产出调查和编表工作；编制全县资产负债表；整理、测算和提供国民经济核算资料，监督管理全县国民经济核算工作。</w:t>
      </w:r>
    </w:p>
    <w:p>
      <w:pPr>
        <w:ind w:firstLine="640" w:firstLineChars="200"/>
        <w:rPr>
          <w:rFonts w:ascii="仿宋" w:hAnsi="仿宋" w:eastAsia="仿宋"/>
          <w:sz w:val="32"/>
          <w:szCs w:val="32"/>
        </w:rPr>
      </w:pPr>
      <w:r>
        <w:rPr>
          <w:rFonts w:hint="eastAsia" w:ascii="仿宋" w:hAnsi="仿宋" w:eastAsia="仿宋"/>
          <w:sz w:val="32"/>
          <w:szCs w:val="32"/>
        </w:rPr>
        <w:t>（四）拟订重大县情县力普查调查计划、方案，组织实施全县人口、经济、农业等重大普查调查，汇总、整理和提供有关县情县力方面的统计数据。</w:t>
      </w:r>
    </w:p>
    <w:p>
      <w:pPr>
        <w:ind w:firstLine="640" w:firstLineChars="200"/>
        <w:rPr>
          <w:rFonts w:ascii="仿宋" w:hAnsi="仿宋" w:eastAsia="仿宋"/>
          <w:sz w:val="32"/>
          <w:szCs w:val="32"/>
        </w:rPr>
      </w:pPr>
      <w:r>
        <w:rPr>
          <w:rFonts w:hint="eastAsia" w:ascii="仿宋" w:hAnsi="仿宋" w:eastAsia="仿宋"/>
          <w:sz w:val="32"/>
          <w:szCs w:val="32"/>
        </w:rPr>
        <w:t>（五）组织实施全县农林牧渔业、工业、建筑业、批发和零售业、住宿和餐饮业、房地产、服务业及能源、投资、消费、人口和城镇化率、劳动工资、就业、社会、科技、文化产业、城市基本情况、乡村两级社会经济基本情况、资源环境、战略性新兴产业、高新技术产业、民营经济等统计调查，收集、汇总、整理和提供统计数据。</w:t>
      </w:r>
    </w:p>
    <w:p>
      <w:pPr>
        <w:ind w:firstLine="480" w:firstLineChars="150"/>
        <w:rPr>
          <w:rFonts w:ascii="仿宋" w:hAnsi="仿宋" w:eastAsia="仿宋"/>
          <w:sz w:val="32"/>
          <w:szCs w:val="32"/>
        </w:rPr>
      </w:pPr>
      <w:r>
        <w:rPr>
          <w:rFonts w:hint="eastAsia" w:ascii="仿宋" w:hAnsi="仿宋" w:eastAsia="仿宋"/>
          <w:sz w:val="32"/>
          <w:szCs w:val="32"/>
        </w:rPr>
        <w:t>（六）组织实施县域经济发展、农业产业化、特色小镇、节能降耗、绿色发展、城镇化发展、妇女儿童监测、新产业新业态新商业模式（以下简称新经济）等统计监测，收集、整理和提供统计数据。</w:t>
      </w:r>
    </w:p>
    <w:p>
      <w:pPr>
        <w:ind w:firstLine="480" w:firstLineChars="150"/>
        <w:rPr>
          <w:rFonts w:ascii="仿宋" w:hAnsi="仿宋" w:eastAsia="仿宋"/>
          <w:sz w:val="32"/>
          <w:szCs w:val="32"/>
        </w:rPr>
      </w:pPr>
      <w:r>
        <w:rPr>
          <w:rFonts w:hint="eastAsia" w:ascii="仿宋" w:hAnsi="仿宋" w:eastAsia="仿宋"/>
          <w:sz w:val="32"/>
          <w:szCs w:val="32"/>
        </w:rPr>
        <w:t>（七）综合整理和提供财政、金融、旅游、交通运输、邮政、文化、教育、体育、卫生、社会保障、公用事业、对外经济、收入、价格等基本统计数据。</w:t>
      </w:r>
    </w:p>
    <w:p>
      <w:pPr>
        <w:ind w:firstLine="480" w:firstLineChars="150"/>
        <w:rPr>
          <w:rFonts w:ascii="仿宋" w:hAnsi="仿宋" w:eastAsia="仿宋"/>
          <w:sz w:val="32"/>
          <w:szCs w:val="32"/>
        </w:rPr>
      </w:pPr>
      <w:r>
        <w:rPr>
          <w:rFonts w:hint="eastAsia" w:ascii="仿宋" w:hAnsi="仿宋" w:eastAsia="仿宋"/>
          <w:sz w:val="32"/>
          <w:szCs w:val="32"/>
        </w:rPr>
        <w:t>（八）组织各乡（镇）和各部门的经济、社会、科技、服务业统计调查，统一核定、管理、公布全县性基本统计资料，定期发布全县国民经济和社会发展情况的统计信息，组织建立统计信息共享制度和发布制度。</w:t>
      </w:r>
    </w:p>
    <w:p>
      <w:pPr>
        <w:ind w:firstLine="480" w:firstLineChars="150"/>
        <w:rPr>
          <w:rFonts w:ascii="仿宋" w:hAnsi="仿宋" w:eastAsia="仿宋"/>
          <w:sz w:val="32"/>
          <w:szCs w:val="32"/>
        </w:rPr>
      </w:pPr>
      <w:r>
        <w:rPr>
          <w:rFonts w:hint="eastAsia" w:ascii="仿宋" w:hAnsi="仿宋" w:eastAsia="仿宋"/>
          <w:sz w:val="32"/>
          <w:szCs w:val="32"/>
        </w:rPr>
        <w:t>（九）对国民经济、社会发展、科技进步和资源环境等情况进行统计分析、统计预测和统计监督，向县委、县政府及有关部门提供统计信息和咨询建议。</w:t>
      </w:r>
    </w:p>
    <w:p>
      <w:pPr>
        <w:ind w:firstLine="480" w:firstLineChars="150"/>
        <w:rPr>
          <w:rFonts w:ascii="仿宋" w:hAnsi="仿宋" w:eastAsia="仿宋"/>
          <w:sz w:val="32"/>
          <w:szCs w:val="32"/>
        </w:rPr>
      </w:pPr>
      <w:r>
        <w:rPr>
          <w:rFonts w:hint="eastAsia" w:ascii="仿宋" w:hAnsi="仿宋" w:eastAsia="仿宋"/>
          <w:sz w:val="32"/>
          <w:szCs w:val="32"/>
        </w:rPr>
        <w:t>（十）依法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ind w:firstLine="480" w:firstLineChars="150"/>
        <w:rPr>
          <w:rFonts w:ascii="仿宋" w:hAnsi="仿宋" w:eastAsia="仿宋"/>
          <w:sz w:val="32"/>
          <w:szCs w:val="32"/>
        </w:rPr>
      </w:pPr>
      <w:r>
        <w:rPr>
          <w:rFonts w:hint="eastAsia" w:ascii="仿宋" w:hAnsi="仿宋" w:eastAsia="仿宋"/>
          <w:sz w:val="32"/>
          <w:szCs w:val="32"/>
        </w:rPr>
        <w:t>（十一）负责全县统计信息化系统和统计数据库体系建设工作，管理全县统计数据库网络，组织全县统计信息化系统建设。</w:t>
      </w:r>
    </w:p>
    <w:p>
      <w:pPr>
        <w:ind w:firstLine="480" w:firstLineChars="150"/>
        <w:rPr>
          <w:rFonts w:ascii="仿宋" w:hAnsi="仿宋" w:eastAsia="仿宋"/>
          <w:sz w:val="32"/>
          <w:szCs w:val="32"/>
        </w:rPr>
      </w:pPr>
      <w:r>
        <w:rPr>
          <w:rFonts w:hint="eastAsia" w:ascii="仿宋" w:hAnsi="仿宋" w:eastAsia="仿宋"/>
          <w:sz w:val="32"/>
          <w:szCs w:val="32"/>
        </w:rPr>
        <w:t>（十二）负责名录库建设、全面建成小康社会统计监测、社情民意调查等工作；监督管理全县中央统计经费和县财政提供的统计经费。</w:t>
      </w:r>
    </w:p>
    <w:p>
      <w:pPr>
        <w:ind w:firstLine="480" w:firstLineChars="150"/>
        <w:rPr>
          <w:rFonts w:ascii="仿宋" w:hAnsi="仿宋" w:eastAsia="仿宋"/>
          <w:sz w:val="32"/>
          <w:szCs w:val="32"/>
        </w:rPr>
      </w:pPr>
      <w:r>
        <w:rPr>
          <w:rFonts w:hint="eastAsia" w:ascii="仿宋" w:hAnsi="仿宋" w:eastAsia="仿宋"/>
          <w:sz w:val="32"/>
          <w:szCs w:val="32"/>
        </w:rP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ind w:firstLine="480" w:firstLineChars="150"/>
        <w:rPr>
          <w:rFonts w:ascii="仿宋" w:hAnsi="仿宋" w:eastAsia="仿宋"/>
          <w:sz w:val="32"/>
          <w:szCs w:val="32"/>
        </w:rPr>
      </w:pPr>
      <w:r>
        <w:rPr>
          <w:rFonts w:hint="eastAsia" w:ascii="仿宋" w:hAnsi="仿宋" w:eastAsia="仿宋"/>
          <w:sz w:val="32"/>
          <w:szCs w:val="32"/>
        </w:rPr>
        <w:t>（十四）完成县委、县政府和市统计局交办的其他任务。</w:t>
      </w:r>
    </w:p>
    <w:p>
      <w:pPr>
        <w:ind w:firstLine="630" w:firstLineChars="196"/>
        <w:rPr>
          <w:rFonts w:ascii="楷体" w:hAnsi="楷体" w:eastAsia="楷体"/>
          <w:b/>
          <w:sz w:val="32"/>
        </w:rPr>
      </w:pPr>
      <w:r>
        <w:rPr>
          <w:rFonts w:hint="eastAsia" w:ascii="楷体" w:hAnsi="楷体" w:eastAsia="楷体"/>
          <w:b/>
          <w:sz w:val="32"/>
        </w:rPr>
        <w:t>机构设置：</w:t>
      </w:r>
    </w:p>
    <w:p>
      <w:pPr>
        <w:rPr>
          <w:rFonts w:ascii="仿宋" w:hAnsi="仿宋" w:eastAsia="仿宋"/>
          <w:sz w:val="32"/>
        </w:rPr>
      </w:pPr>
      <w:r>
        <w:rPr>
          <w:rFonts w:ascii="仿宋" w:hAnsi="仿宋" w:eastAsia="仿宋"/>
          <w:sz w:val="32"/>
        </w:rPr>
        <w:t>部门</w:t>
      </w:r>
      <w:r>
        <w:rPr>
          <w:rFonts w:hint="eastAsia" w:ascii="仿宋" w:hAnsi="仿宋" w:eastAsia="仿宋"/>
          <w:sz w:val="32"/>
        </w:rPr>
        <w:t>机构设置情况</w:t>
      </w:r>
    </w:p>
    <w:tbl>
      <w:tblPr>
        <w:tblStyle w:val="5"/>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52"/>
        <w:gridCol w:w="1590"/>
        <w:gridCol w:w="1685"/>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tblHeader/>
          <w:jc w:val="center"/>
        </w:trPr>
        <w:tc>
          <w:tcPr>
            <w:tcW w:w="3552" w:type="dxa"/>
            <w:vMerge w:val="restart"/>
            <w:vAlign w:val="center"/>
          </w:tcPr>
          <w:p>
            <w:pPr>
              <w:rPr>
                <w:rFonts w:ascii="仿宋_GB2312" w:hAnsi="仿宋_GB2312" w:eastAsia="仿宋_GB2312"/>
                <w:b/>
                <w:sz w:val="32"/>
              </w:rPr>
            </w:pPr>
            <w:r>
              <w:rPr>
                <w:rFonts w:ascii="仿宋_GB2312" w:hAnsi="仿宋_GB2312" w:eastAsia="仿宋_GB2312"/>
                <w:b/>
                <w:sz w:val="32"/>
              </w:rPr>
              <w:t>单位名称</w:t>
            </w:r>
          </w:p>
        </w:tc>
        <w:tc>
          <w:tcPr>
            <w:tcW w:w="1590" w:type="dxa"/>
            <w:vMerge w:val="restart"/>
            <w:vAlign w:val="center"/>
          </w:tcPr>
          <w:p>
            <w:pPr>
              <w:rPr>
                <w:rFonts w:ascii="仿宋_GB2312" w:hAnsi="仿宋_GB2312" w:eastAsia="仿宋_GB2312"/>
                <w:b/>
                <w:sz w:val="32"/>
              </w:rPr>
            </w:pPr>
            <w:r>
              <w:rPr>
                <w:rFonts w:ascii="仿宋_GB2312" w:hAnsi="仿宋_GB2312" w:eastAsia="仿宋_GB2312"/>
                <w:b/>
                <w:sz w:val="32"/>
              </w:rPr>
              <w:t>单位性质</w:t>
            </w:r>
          </w:p>
        </w:tc>
        <w:tc>
          <w:tcPr>
            <w:tcW w:w="1685" w:type="dxa"/>
            <w:vMerge w:val="restart"/>
            <w:vAlign w:val="center"/>
          </w:tcPr>
          <w:p>
            <w:pPr>
              <w:rPr>
                <w:rFonts w:ascii="仿宋_GB2312" w:hAnsi="仿宋_GB2312" w:eastAsia="仿宋_GB2312"/>
                <w:b/>
                <w:sz w:val="32"/>
              </w:rPr>
            </w:pPr>
            <w:r>
              <w:rPr>
                <w:rFonts w:ascii="仿宋_GB2312" w:hAnsi="仿宋_GB2312" w:eastAsia="仿宋_GB2312"/>
                <w:b/>
                <w:sz w:val="32"/>
              </w:rPr>
              <w:t>单位规格</w:t>
            </w:r>
          </w:p>
        </w:tc>
        <w:tc>
          <w:tcPr>
            <w:tcW w:w="2902" w:type="dxa"/>
            <w:vMerge w:val="restart"/>
            <w:vAlign w:val="center"/>
          </w:tcPr>
          <w:p>
            <w:pPr>
              <w:rPr>
                <w:rFonts w:ascii="仿宋_GB2312" w:hAnsi="仿宋_GB2312" w:eastAsia="仿宋_GB2312"/>
                <w:b/>
                <w:sz w:val="32"/>
              </w:rPr>
            </w:pPr>
            <w:r>
              <w:rPr>
                <w:rFonts w:ascii="仿宋_GB2312" w:hAnsi="仿宋_GB2312" w:eastAsia="仿宋_GB2312"/>
                <w:b/>
                <w:sz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tblHeader/>
          <w:jc w:val="center"/>
        </w:trPr>
        <w:tc>
          <w:tcPr>
            <w:tcW w:w="3552" w:type="dxa"/>
            <w:vMerge w:val="continue"/>
            <w:vAlign w:val="center"/>
          </w:tcPr>
          <w:p>
            <w:pPr>
              <w:rPr>
                <w:rFonts w:ascii="仿宋_GB2312" w:hAnsi="仿宋_GB2312" w:eastAsia="仿宋_GB2312"/>
                <w:sz w:val="32"/>
              </w:rPr>
            </w:pPr>
          </w:p>
        </w:tc>
        <w:tc>
          <w:tcPr>
            <w:tcW w:w="1590" w:type="dxa"/>
            <w:vMerge w:val="continue"/>
            <w:vAlign w:val="center"/>
          </w:tcPr>
          <w:p>
            <w:pPr>
              <w:rPr>
                <w:rFonts w:ascii="仿宋_GB2312" w:hAnsi="仿宋_GB2312" w:eastAsia="仿宋_GB2312"/>
                <w:sz w:val="32"/>
              </w:rPr>
            </w:pPr>
          </w:p>
        </w:tc>
        <w:tc>
          <w:tcPr>
            <w:tcW w:w="1685" w:type="dxa"/>
            <w:vMerge w:val="continue"/>
            <w:vAlign w:val="center"/>
          </w:tcPr>
          <w:p>
            <w:pPr>
              <w:rPr>
                <w:rFonts w:ascii="仿宋_GB2312" w:hAnsi="仿宋_GB2312" w:eastAsia="仿宋_GB2312"/>
                <w:sz w:val="32"/>
              </w:rPr>
            </w:pPr>
          </w:p>
        </w:tc>
        <w:tc>
          <w:tcPr>
            <w:tcW w:w="2902" w:type="dxa"/>
            <w:vMerge w:val="continue"/>
            <w:vAlign w:val="center"/>
          </w:tcPr>
          <w:p>
            <w:pPr>
              <w:rPr>
                <w:rFonts w:ascii="仿宋_GB2312" w:hAnsi="仿宋_GB2312" w:eastAsia="仿宋_GB2312"/>
                <w:sz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552" w:type="dxa"/>
            <w:vAlign w:val="center"/>
          </w:tcPr>
          <w:p>
            <w:pPr>
              <w:rPr>
                <w:rFonts w:ascii="仿宋_GB2312" w:hAnsi="仿宋_GB2312" w:eastAsia="仿宋_GB2312"/>
                <w:sz w:val="32"/>
              </w:rPr>
            </w:pPr>
            <w:r>
              <w:rPr>
                <w:rFonts w:hint="eastAsia" w:ascii="仿宋_GB2312" w:hAnsi="仿宋_GB2312" w:eastAsia="仿宋_GB2312"/>
                <w:sz w:val="32"/>
              </w:rPr>
              <w:t>无极县统计局</w:t>
            </w:r>
          </w:p>
        </w:tc>
        <w:tc>
          <w:tcPr>
            <w:tcW w:w="1590" w:type="dxa"/>
            <w:vAlign w:val="center"/>
          </w:tcPr>
          <w:p>
            <w:pPr>
              <w:rPr>
                <w:rFonts w:ascii="仿宋_GB2312" w:hAnsi="仿宋_GB2312" w:eastAsia="仿宋_GB2312"/>
                <w:sz w:val="32"/>
              </w:rPr>
            </w:pPr>
            <w:r>
              <w:rPr>
                <w:rFonts w:hint="eastAsia" w:ascii="仿宋_GB2312" w:hAnsi="仿宋_GB2312" w:eastAsia="仿宋_GB2312"/>
                <w:sz w:val="32"/>
              </w:rPr>
              <w:t>行政</w:t>
            </w:r>
          </w:p>
        </w:tc>
        <w:tc>
          <w:tcPr>
            <w:tcW w:w="1685" w:type="dxa"/>
            <w:vAlign w:val="center"/>
          </w:tcPr>
          <w:p>
            <w:pPr>
              <w:rPr>
                <w:rFonts w:ascii="仿宋_GB2312" w:hAnsi="仿宋_GB2312" w:eastAsia="仿宋_GB2312"/>
                <w:sz w:val="32"/>
              </w:rPr>
            </w:pPr>
            <w:r>
              <w:rPr>
                <w:rFonts w:hint="eastAsia" w:ascii="仿宋_GB2312" w:hAnsi="仿宋_GB2312" w:eastAsia="仿宋_GB2312"/>
                <w:sz w:val="32"/>
              </w:rPr>
              <w:t>正科级</w:t>
            </w:r>
          </w:p>
        </w:tc>
        <w:tc>
          <w:tcPr>
            <w:tcW w:w="2902" w:type="dxa"/>
            <w:vAlign w:val="center"/>
          </w:tcPr>
          <w:p>
            <w:pPr>
              <w:rPr>
                <w:rFonts w:ascii="仿宋_GB2312" w:hAnsi="仿宋_GB2312" w:eastAsia="仿宋_GB2312"/>
                <w:sz w:val="32"/>
              </w:rPr>
            </w:pPr>
            <w:r>
              <w:rPr>
                <w:rFonts w:hint="eastAsia" w:ascii="仿宋_GB2312" w:hAnsi="仿宋_GB2312" w:eastAsia="仿宋_GB2312"/>
                <w:sz w:val="32"/>
              </w:rPr>
              <w:t>财政拨款</w:t>
            </w:r>
          </w:p>
        </w:tc>
      </w:tr>
    </w:tbl>
    <w:p>
      <w:pPr>
        <w:rPr>
          <w:rFonts w:ascii="仿宋" w:hAnsi="仿宋" w:eastAsia="仿宋"/>
          <w:sz w:val="32"/>
          <w:szCs w:val="32"/>
        </w:rPr>
      </w:pPr>
    </w:p>
    <w:p>
      <w:pPr>
        <w:ind w:firstLine="640" w:firstLineChars="200"/>
        <w:rPr>
          <w:rFonts w:ascii="黑体" w:hAnsi="黑体" w:eastAsia="黑体" w:cs="黑体"/>
          <w:sz w:val="32"/>
          <w:szCs w:val="32"/>
        </w:rPr>
      </w:pPr>
      <w:r>
        <w:rPr>
          <w:rFonts w:hint="eastAsia" w:ascii="黑体" w:hAnsi="黑体" w:eastAsia="黑体" w:cs="黑体"/>
          <w:sz w:val="32"/>
          <w:szCs w:val="32"/>
        </w:rPr>
        <w:t>二、部门预算安排的总体情况</w:t>
      </w:r>
    </w:p>
    <w:p>
      <w:pPr>
        <w:ind w:firstLine="640" w:firstLineChars="200"/>
        <w:rPr>
          <w:rFonts w:ascii="仿宋" w:hAnsi="仿宋" w:eastAsia="仿宋" w:cs="仿宋_GB2312"/>
          <w:sz w:val="32"/>
          <w:szCs w:val="32"/>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p>
    <w:p>
      <w:pPr>
        <w:numPr>
          <w:ilvl w:val="0"/>
          <w:numId w:val="1"/>
        </w:numPr>
        <w:ind w:firstLine="640" w:firstLineChars="200"/>
        <w:rPr>
          <w:rFonts w:ascii="楷体" w:hAnsi="楷体" w:eastAsia="楷体" w:cs="楷体_GB2312"/>
          <w:sz w:val="32"/>
          <w:szCs w:val="32"/>
        </w:rPr>
      </w:pPr>
      <w:r>
        <w:rPr>
          <w:rFonts w:hint="eastAsia" w:ascii="楷体" w:hAnsi="楷体" w:eastAsia="楷体" w:cs="楷体_GB2312"/>
          <w:sz w:val="32"/>
          <w:szCs w:val="32"/>
        </w:rPr>
        <w:t>收入说明</w:t>
      </w:r>
    </w:p>
    <w:p>
      <w:pPr>
        <w:adjustRightInd w:val="0"/>
        <w:snapToGrid w:val="0"/>
        <w:spacing w:line="600" w:lineRule="exact"/>
        <w:ind w:firstLine="640" w:firstLineChars="200"/>
        <w:jc w:val="left"/>
        <w:rPr>
          <w:rFonts w:ascii="仿宋" w:hAnsi="仿宋" w:eastAsia="仿宋" w:cs="仿宋_GB2312"/>
          <w:sz w:val="30"/>
          <w:szCs w:val="30"/>
        </w:rPr>
      </w:pPr>
      <w:r>
        <w:rPr>
          <w:rFonts w:hint="eastAsia" w:ascii="仿宋" w:hAnsi="仿宋" w:eastAsia="仿宋" w:cs="仿宋_GB2312"/>
          <w:bCs/>
          <w:sz w:val="32"/>
          <w:szCs w:val="32"/>
        </w:rPr>
        <w:t>无极县统计局2019年预算收入总计378.05万元。其中一般公共预算收入378.05万元、政府性基金收入0万元、财政专户核拨收入0万元，其他来源收入0万元。</w:t>
      </w:r>
    </w:p>
    <w:p>
      <w:pPr>
        <w:numPr>
          <w:ilvl w:val="0"/>
          <w:numId w:val="2"/>
        </w:numPr>
        <w:ind w:firstLine="645"/>
        <w:rPr>
          <w:rFonts w:ascii="楷体" w:hAnsi="楷体" w:eastAsia="楷体" w:cs="宋体"/>
          <w:sz w:val="32"/>
          <w:szCs w:val="32"/>
        </w:rPr>
      </w:pPr>
      <w:r>
        <w:rPr>
          <w:rFonts w:hint="eastAsia" w:ascii="楷体" w:hAnsi="楷体" w:eastAsia="楷体" w:cs="楷体_GB2312"/>
          <w:sz w:val="32"/>
          <w:szCs w:val="32"/>
        </w:rPr>
        <w:t>支出说明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2019年预算支出</w:t>
      </w:r>
      <w:r>
        <w:rPr>
          <w:rFonts w:hint="eastAsia" w:ascii="仿宋" w:hAnsi="仿宋" w:eastAsia="仿宋"/>
          <w:sz w:val="32"/>
          <w:szCs w:val="32"/>
        </w:rPr>
        <w:t>378.05</w:t>
      </w:r>
      <w:r>
        <w:rPr>
          <w:rFonts w:hint="eastAsia" w:ascii="仿宋" w:hAnsi="仿宋" w:eastAsia="仿宋" w:cs="仿宋_GB2312"/>
          <w:bCs/>
          <w:sz w:val="32"/>
          <w:szCs w:val="32"/>
        </w:rPr>
        <w:t>万元。其中，人员经费支出283.85万元，正常公用经费30.95万元，项目支出63.25万元。</w:t>
      </w:r>
    </w:p>
    <w:p>
      <w:pPr>
        <w:numPr>
          <w:ilvl w:val="0"/>
          <w:numId w:val="3"/>
        </w:numPr>
        <w:ind w:firstLine="645"/>
        <w:rPr>
          <w:rFonts w:ascii="楷体" w:hAnsi="楷体" w:eastAsia="楷体" w:cs="楷体_GB2312"/>
          <w:sz w:val="32"/>
          <w:szCs w:val="32"/>
        </w:rPr>
      </w:pPr>
      <w:r>
        <w:rPr>
          <w:rFonts w:hint="eastAsia" w:ascii="楷体" w:hAnsi="楷体" w:eastAsia="楷体" w:cs="楷体_GB2312"/>
          <w:sz w:val="32"/>
          <w:szCs w:val="32"/>
        </w:rPr>
        <w:t>比上年增减情况</w:t>
      </w:r>
    </w:p>
    <w:p>
      <w:pPr>
        <w:rPr>
          <w:rFonts w:ascii="仿宋" w:hAnsi="仿宋" w:eastAsia="仿宋"/>
          <w:sz w:val="32"/>
          <w:szCs w:val="32"/>
        </w:rPr>
      </w:pPr>
      <w:r>
        <w:rPr>
          <w:rFonts w:hint="eastAsia" w:ascii="仿宋_GB2312" w:eastAsia="仿宋_GB2312" w:cs="仿宋_GB2312"/>
          <w:bCs/>
          <w:sz w:val="32"/>
          <w:szCs w:val="32"/>
        </w:rPr>
        <w:t xml:space="preserve">  </w:t>
      </w:r>
      <w:r>
        <w:rPr>
          <w:rFonts w:hint="eastAsia" w:ascii="仿宋" w:hAnsi="仿宋" w:eastAsia="仿宋" w:cs="仿宋_GB2312"/>
          <w:bCs/>
          <w:sz w:val="32"/>
          <w:szCs w:val="32"/>
        </w:rPr>
        <w:t xml:space="preserve">  2019年预算收入总计378.05万元,与2017年相比增加32.71万元,增加原因为人员经费增加。</w:t>
      </w:r>
    </w:p>
    <w:p>
      <w:pPr>
        <w:rPr>
          <w:rFonts w:ascii="黑体" w:hAnsi="黑体" w:eastAsia="黑体" w:cs="黑体"/>
          <w:sz w:val="32"/>
          <w:szCs w:val="32"/>
        </w:rPr>
      </w:pPr>
      <w:r>
        <w:rPr>
          <w:rFonts w:hint="eastAsia" w:ascii="仿宋" w:hAnsi="仿宋" w:eastAsia="仿宋" w:cs="黑体"/>
          <w:sz w:val="32"/>
          <w:szCs w:val="32"/>
        </w:rPr>
        <w:t xml:space="preserve">   </w:t>
      </w:r>
      <w:r>
        <w:rPr>
          <w:rFonts w:hint="eastAsia" w:ascii="黑体" w:hAnsi="黑体" w:eastAsia="黑体" w:cs="黑体"/>
          <w:sz w:val="32"/>
          <w:szCs w:val="32"/>
        </w:rPr>
        <w:t xml:space="preserve"> 三、机关运行经费安排情况</w:t>
      </w:r>
    </w:p>
    <w:p>
      <w:pPr>
        <w:adjustRightInd w:val="0"/>
        <w:snapToGrid w:val="0"/>
        <w:spacing w:line="600" w:lineRule="exact"/>
        <w:ind w:firstLine="320" w:firstLineChars="100"/>
        <w:jc w:val="left"/>
        <w:rPr>
          <w:rFonts w:ascii="仿宋" w:hAnsi="仿宋" w:eastAsia="仿宋" w:cs="仿宋_GB2312"/>
          <w:sz w:val="32"/>
          <w:szCs w:val="32"/>
        </w:rPr>
      </w:pPr>
      <w:r>
        <w:rPr>
          <w:rFonts w:hint="eastAsia" w:ascii="仿宋_GB2312" w:hAnsi="仿宋_GB2312" w:eastAsia="仿宋_GB2312" w:cs="仿宋_GB2312"/>
          <w:sz w:val="32"/>
          <w:szCs w:val="32"/>
        </w:rPr>
        <w:t xml:space="preserve"> </w:t>
      </w:r>
      <w:r>
        <w:rPr>
          <w:rFonts w:hint="eastAsia" w:ascii="仿宋" w:hAnsi="仿宋" w:eastAsia="仿宋" w:cs="仿宋_GB2312"/>
          <w:sz w:val="32"/>
          <w:szCs w:val="32"/>
        </w:rPr>
        <w:t xml:space="preserve"> 2019年机关运行经费共计安排30.95万元，主要用于我部门日常办公、邮电费及公务用车运行维护费等日常运行支出。</w:t>
      </w:r>
    </w:p>
    <w:p>
      <w:pPr>
        <w:autoSpaceDE w:val="0"/>
        <w:autoSpaceDN w:val="0"/>
        <w:adjustRightInd w:val="0"/>
        <w:ind w:firstLine="640" w:firstLineChars="200"/>
        <w:jc w:val="left"/>
        <w:rPr>
          <w:rFonts w:ascii="黑体" w:hAnsi="黑体" w:eastAsia="黑体" w:cs="黑体"/>
          <w:sz w:val="32"/>
          <w:szCs w:val="32"/>
        </w:rPr>
      </w:pPr>
      <w:r>
        <w:rPr>
          <w:rFonts w:hint="eastAsia" w:ascii="黑体" w:hAnsi="黑体" w:eastAsia="黑体" w:cs="黑体"/>
          <w:sz w:val="32"/>
          <w:szCs w:val="32"/>
        </w:rPr>
        <w:t>四、财政拨款“三公”经费预算情况及增减变化原因</w:t>
      </w:r>
    </w:p>
    <w:p>
      <w:pPr>
        <w:ind w:firstLine="640" w:firstLineChars="200"/>
        <w:rPr>
          <w:rFonts w:ascii="仿宋" w:hAnsi="仿宋" w:eastAsia="仿宋" w:cs="仿宋_GB2312"/>
          <w:bCs/>
          <w:sz w:val="32"/>
          <w:szCs w:val="32"/>
        </w:rPr>
      </w:pPr>
      <w:r>
        <w:rPr>
          <w:rFonts w:hint="eastAsia" w:ascii="仿宋" w:hAnsi="仿宋" w:eastAsia="仿宋" w:cs="仿宋_GB2312"/>
          <w:bCs/>
          <w:sz w:val="32"/>
          <w:szCs w:val="32"/>
        </w:rPr>
        <w:t>2019年，我部门财政拨款“三公”经费预算安排3.2元，其中：因公出国（境）费0万元；公务用车购置及运维费3万元（其中：公务用车购置费0万元，公务用车运行维护费3万元)；公务接待费0.2万元。均与上年持平无增减变化。</w:t>
      </w:r>
    </w:p>
    <w:p>
      <w:pPr>
        <w:ind w:firstLine="640" w:firstLineChars="200"/>
        <w:rPr>
          <w:rFonts w:ascii="黑体" w:hAnsi="黑体" w:eastAsia="黑体" w:cs="黑体"/>
          <w:sz w:val="32"/>
          <w:szCs w:val="32"/>
        </w:rPr>
      </w:pPr>
      <w:r>
        <w:rPr>
          <w:rFonts w:hint="eastAsia" w:ascii="黑体" w:hAnsi="黑体" w:eastAsia="黑体" w:cs="黑体"/>
          <w:sz w:val="32"/>
          <w:szCs w:val="32"/>
        </w:rPr>
        <w:t>五、绩效预算信息</w:t>
      </w:r>
    </w:p>
    <w:p>
      <w:pPr>
        <w:tabs>
          <w:tab w:val="left" w:pos="1276"/>
        </w:tabs>
        <w:ind w:firstLine="645"/>
        <w:rPr>
          <w:rFonts w:ascii="楷体" w:hAnsi="楷体" w:eastAsia="楷体" w:cs="楷体_GB2312"/>
          <w:sz w:val="32"/>
          <w:szCs w:val="32"/>
        </w:rPr>
      </w:pPr>
      <w:r>
        <w:rPr>
          <w:rFonts w:hint="eastAsia" w:ascii="楷体" w:hAnsi="楷体" w:eastAsia="楷体" w:cs="楷体_GB2312"/>
          <w:sz w:val="32"/>
          <w:szCs w:val="32"/>
        </w:rPr>
        <w:t>（一）总体绩效目标</w:t>
      </w:r>
    </w:p>
    <w:p>
      <w:pPr>
        <w:spacing w:line="500" w:lineRule="exact"/>
        <w:ind w:firstLine="560"/>
        <w:rPr>
          <w:rFonts w:ascii="仿宋" w:hAnsi="仿宋" w:eastAsia="仿宋"/>
          <w:sz w:val="32"/>
          <w:szCs w:val="32"/>
        </w:rPr>
      </w:pPr>
      <w:r>
        <w:rPr>
          <w:rFonts w:hint="eastAsia" w:ascii="仿宋" w:hAnsi="仿宋" w:eastAsia="仿宋"/>
          <w:sz w:val="32"/>
          <w:szCs w:val="32"/>
        </w:rPr>
        <w:t xml:space="preserve">1、做好2019年全国第四次全国经济普查工作前期准备工作，确保普查顺利开展。    </w:t>
      </w:r>
    </w:p>
    <w:p>
      <w:pPr>
        <w:spacing w:line="500" w:lineRule="exact"/>
        <w:ind w:left="425" w:leftChars="50" w:hanging="320" w:hangingChars="100"/>
        <w:rPr>
          <w:rFonts w:ascii="仿宋" w:hAnsi="仿宋" w:eastAsia="仿宋"/>
          <w:sz w:val="32"/>
          <w:szCs w:val="32"/>
        </w:rPr>
      </w:pPr>
      <w:r>
        <w:rPr>
          <w:rFonts w:hint="eastAsia" w:ascii="仿宋" w:hAnsi="仿宋" w:eastAsia="仿宋"/>
          <w:sz w:val="32"/>
          <w:szCs w:val="32"/>
        </w:rPr>
        <w:t xml:space="preserve">   2、继续做好全面建成小康社会统计监测工作在县政府领导下，加强与成员单位的联系，对统计监测内容及时做好培训工作，确保上报基础数据及时准确，对各项监测指标进行认真分析、评估，特别是未达标的指标进行重要监测、分析，提出意见和建设，供领导参考，同时撰写好小康社会统计监测报告。</w:t>
      </w:r>
    </w:p>
    <w:p>
      <w:pPr>
        <w:spacing w:line="500" w:lineRule="exact"/>
        <w:ind w:firstLine="560"/>
        <w:rPr>
          <w:rFonts w:ascii="楷体" w:hAnsi="楷体" w:eastAsia="楷体"/>
          <w:sz w:val="32"/>
          <w:szCs w:val="32"/>
        </w:rPr>
      </w:pPr>
      <w:r>
        <w:rPr>
          <w:rFonts w:hint="eastAsia" w:ascii="楷体" w:hAnsi="楷体" w:eastAsia="楷体"/>
          <w:sz w:val="32"/>
          <w:szCs w:val="32"/>
        </w:rPr>
        <w:t>3、做好统计基层基础规范化建设工作，继续巩固创建优秀县成果。</w:t>
      </w:r>
    </w:p>
    <w:p>
      <w:pPr>
        <w:spacing w:line="500" w:lineRule="exact"/>
        <w:ind w:left="420" w:leftChars="200" w:firstLine="640" w:firstLineChars="200"/>
        <w:rPr>
          <w:rFonts w:ascii="仿宋" w:hAnsi="仿宋" w:eastAsia="仿宋"/>
          <w:sz w:val="32"/>
          <w:szCs w:val="32"/>
        </w:rPr>
      </w:pPr>
      <w:r>
        <w:rPr>
          <w:rFonts w:hint="eastAsia" w:ascii="仿宋" w:hAnsi="仿宋" w:eastAsia="仿宋"/>
          <w:sz w:val="32"/>
          <w:szCs w:val="32"/>
        </w:rPr>
        <w:t>按照省《乡镇和街道办事处统计业务工作规范化评定办法》和《无极县乡镇统计工作综合考核实施办法》，对各乡镇统计站建设的各项指标进行评估，不完善的地方继续完善提高。同时，</w:t>
      </w:r>
      <w:r>
        <w:rPr>
          <w:rFonts w:hint="default" w:ascii="仿宋" w:hAnsi="仿宋" w:eastAsia="仿宋"/>
          <w:sz w:val="32"/>
          <w:szCs w:val="32"/>
          <w:lang w:val="en-US"/>
        </w:rPr>
        <w:t>对</w:t>
      </w:r>
      <w:r>
        <w:rPr>
          <w:rFonts w:hint="eastAsia" w:ascii="仿宋" w:hAnsi="仿宋" w:eastAsia="仿宋"/>
          <w:sz w:val="32"/>
          <w:szCs w:val="32"/>
        </w:rPr>
        <w:t>企业的</w:t>
      </w:r>
      <w:r>
        <w:rPr>
          <w:rFonts w:hint="eastAsia" w:ascii="仿宋" w:hAnsi="仿宋" w:eastAsia="仿宋"/>
          <w:sz w:val="32"/>
          <w:szCs w:val="32"/>
          <w:lang w:eastAsia="zh-CN"/>
        </w:rPr>
        <w:t>统计台账</w:t>
      </w:r>
      <w:r>
        <w:rPr>
          <w:rFonts w:hint="eastAsia" w:ascii="仿宋" w:hAnsi="仿宋" w:eastAsia="仿宋"/>
          <w:sz w:val="32"/>
          <w:szCs w:val="32"/>
        </w:rPr>
        <w:t>、统计资料进行规范完善，确保数出有源，数出有据。</w:t>
      </w:r>
    </w:p>
    <w:p>
      <w:pPr>
        <w:spacing w:line="500" w:lineRule="exact"/>
        <w:ind w:firstLine="560"/>
        <w:rPr>
          <w:rFonts w:ascii="楷体" w:hAnsi="楷体" w:eastAsia="楷体"/>
          <w:sz w:val="32"/>
          <w:szCs w:val="32"/>
        </w:rPr>
      </w:pPr>
      <w:r>
        <w:rPr>
          <w:rFonts w:hint="eastAsia" w:ascii="楷体" w:hAnsi="楷体" w:eastAsia="楷体"/>
          <w:sz w:val="32"/>
          <w:szCs w:val="32"/>
        </w:rPr>
        <w:t>4、进一步做好统计服务、统计监测和预警工作</w:t>
      </w:r>
    </w:p>
    <w:p>
      <w:pPr>
        <w:spacing w:line="500" w:lineRule="exact"/>
        <w:ind w:left="425" w:leftChars="50" w:hanging="320" w:hangingChars="100"/>
        <w:rPr>
          <w:rFonts w:ascii="仿宋" w:hAnsi="仿宋" w:eastAsia="仿宋"/>
          <w:sz w:val="32"/>
          <w:szCs w:val="32"/>
        </w:rPr>
      </w:pPr>
      <w:r>
        <w:rPr>
          <w:rFonts w:hint="eastAsia" w:ascii="仿宋" w:hAnsi="仿宋" w:eastAsia="仿宋"/>
          <w:sz w:val="32"/>
          <w:szCs w:val="32"/>
        </w:rPr>
        <w:t>以GDP核算为龙头，专业配合，完成2017年统计年报及2018年定期报表工作，对全县经济运行形势进行月、季分析，及时反馈我县各行各业经济运行情况，以统计月报和统计资料等形势向县领导报送经济运行情况分析。同时，加大监测力度，重点是社会发展、工业经济、节能减排、固定资产投资、居民收入、全面小康社会进程等重点指标的监测工作，力求这些指标能够客观、科学地反应全县经济发展现状和趋势，及时发现经济运行过程中出现的各种新情况、新问题，及时进行分析和预警。</w:t>
      </w:r>
    </w:p>
    <w:p>
      <w:pPr>
        <w:spacing w:line="500" w:lineRule="exact"/>
        <w:ind w:firstLine="560"/>
        <w:rPr>
          <w:rFonts w:ascii="楷体" w:hAnsi="楷体" w:eastAsia="楷体"/>
          <w:sz w:val="32"/>
          <w:szCs w:val="32"/>
        </w:rPr>
      </w:pPr>
      <w:r>
        <w:rPr>
          <w:rFonts w:hint="eastAsia" w:ascii="楷体" w:hAnsi="楷体" w:eastAsia="楷体"/>
          <w:sz w:val="32"/>
          <w:szCs w:val="32"/>
        </w:rPr>
        <w:t>5、继续加强统计法制建设</w:t>
      </w:r>
    </w:p>
    <w:p>
      <w:pPr>
        <w:spacing w:line="500" w:lineRule="exact"/>
        <w:ind w:left="425" w:leftChars="50" w:hanging="320" w:hangingChars="100"/>
        <w:rPr>
          <w:rFonts w:ascii="仿宋" w:hAnsi="仿宋" w:eastAsia="仿宋"/>
          <w:sz w:val="32"/>
          <w:szCs w:val="32"/>
        </w:rPr>
      </w:pPr>
      <w:r>
        <w:rPr>
          <w:rFonts w:hint="eastAsia" w:ascii="仿宋" w:hAnsi="仿宋" w:eastAsia="仿宋"/>
          <w:sz w:val="32"/>
          <w:szCs w:val="32"/>
        </w:rPr>
        <w:t xml:space="preserve">     （一）是利用全国第四次全国经济普查、统计开放日、统计宣传月大力宣传统计法律法规，通过电视讲座，印制统计宣传资料，制作展牌、条幅等多种形式宣传“一法一规”，使</w:t>
      </w:r>
      <w:r>
        <w:rPr>
          <w:rFonts w:hint="eastAsia" w:ascii="仿宋" w:hAnsi="仿宋" w:eastAsia="仿宋"/>
          <w:sz w:val="32"/>
          <w:szCs w:val="32"/>
          <w:lang w:eastAsia="zh-CN"/>
        </w:rPr>
        <w:t>《中华人民共和国统计法》</w:t>
      </w:r>
      <w:r>
        <w:rPr>
          <w:rFonts w:hint="eastAsia" w:ascii="仿宋" w:hAnsi="仿宋" w:eastAsia="仿宋"/>
          <w:sz w:val="32"/>
          <w:szCs w:val="32"/>
        </w:rPr>
        <w:t xml:space="preserve">和《统计违法违纪行为处分规定》家喻户晓，人人皆知。在全社会形成知法、懂法、守法的良好氛围。二是认真做好统计执法检查。不定期深入基层单位、企业进行统计执法检查，对违反“一法一规”的行为不手软、不迁就，坚决予以查处。通过查办违法违规案件，形成威慑作用，确保统计数据质量。              </w:t>
      </w:r>
    </w:p>
    <w:p>
      <w:pPr>
        <w:ind w:firstLine="800" w:firstLineChars="250"/>
        <w:rPr>
          <w:rFonts w:ascii="楷体" w:hAnsi="楷体" w:eastAsia="楷体" w:cs="楷体_GB2312"/>
          <w:sz w:val="32"/>
          <w:szCs w:val="32"/>
        </w:rPr>
      </w:pPr>
      <w:r>
        <w:rPr>
          <w:rFonts w:hint="eastAsia" w:ascii="楷体" w:hAnsi="楷体" w:eastAsia="楷体" w:cs="楷体_GB2312"/>
          <w:sz w:val="32"/>
          <w:szCs w:val="32"/>
        </w:rPr>
        <w:t>（二）职责分类绩效目标</w:t>
      </w:r>
    </w:p>
    <w:p>
      <w:pPr>
        <w:ind w:firstLine="560"/>
        <w:rPr>
          <w:rFonts w:ascii="仿宋" w:hAnsi="仿宋" w:eastAsia="仿宋" w:cs="仿宋_GB2312"/>
          <w:sz w:val="32"/>
          <w:szCs w:val="32"/>
        </w:rPr>
      </w:pPr>
      <w:r>
        <w:rPr>
          <w:rFonts w:hint="eastAsia" w:ascii="仿宋" w:hAnsi="仿宋" w:eastAsia="仿宋" w:cs="仿宋_GB2312"/>
          <w:sz w:val="32"/>
          <w:szCs w:val="32"/>
        </w:rPr>
        <w:t xml:space="preserve">完成全县年度、季度数按照国家统计局、财政部关于印发《关于统计部门周期性普查和大型调查经费开支问题的暂行规定》，分年度完成普查工作，确保普查的顺利完成。据及各市年度数据的测算审核认定工作；完成必要分析，对相关经济决策提供重要依据。组织开展专项统计调查工作，了解基层情况和动态提供统计信息和咨询建议。保障全县统计信息自动化系统和统计数据库系统运行安全平稳。保证统计数据的顺利报送汇总。开展统计执法检查和培训工作，防范统计违法现象的发生；拟定全县统计教育培训制度、规划等，统一归口管理指导全县统计教育培训工作； 开展全县统计专业技术人员职称资格考试和评定工作。保障机关正常运转 。    </w:t>
      </w:r>
    </w:p>
    <w:p>
      <w:pPr>
        <w:autoSpaceDE w:val="0"/>
        <w:autoSpaceDN w:val="0"/>
        <w:adjustRightInd w:val="0"/>
        <w:spacing w:line="360" w:lineRule="auto"/>
        <w:ind w:left="198" w:firstLine="560" w:firstLineChars="200"/>
        <w:jc w:val="left"/>
        <w:rPr>
          <w:rFonts w:ascii="仿宋" w:hAnsi="仿宋" w:eastAsia="仿宋" w:cs="仿宋_GB2312"/>
          <w:sz w:val="32"/>
          <w:szCs w:val="32"/>
        </w:rPr>
      </w:pPr>
      <w:r>
        <w:rPr>
          <w:rFonts w:hint="eastAsia" w:ascii="方正楷体_GBK" w:eastAsia="方正楷体_GBK"/>
          <w:b/>
          <w:sz w:val="28"/>
        </w:rPr>
        <w:t>实现年度发展规划目标的保障措施</w:t>
      </w:r>
    </w:p>
    <w:p>
      <w:pPr>
        <w:autoSpaceDE w:val="0"/>
        <w:autoSpaceDN w:val="0"/>
        <w:adjustRightInd w:val="0"/>
        <w:spacing w:line="360" w:lineRule="auto"/>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为了更好的实现本年度检察工作规划目标，我院制定了严格的考核奖惩机制，从制度上约束干警努力工作，为全院争先创优作出贡献。一是加强干警政治思想教育学习，提高政治觉悟，坚定政治立场；二是要加强业务知识学习，增强工作能力，防止冤假错案发生。三是加强经费使用管理，尤其是上级转移支付资金的使用，做到专款专用，严格把钱用到统计工作上，杜绝浪费。</w:t>
      </w:r>
    </w:p>
    <w:p>
      <w:pPr>
        <w:rPr>
          <w:rFonts w:ascii="楷体" w:hAnsi="楷体" w:eastAsia="楷体" w:cs="楷体_GB2312"/>
          <w:sz w:val="32"/>
          <w:szCs w:val="32"/>
        </w:rPr>
      </w:pPr>
      <w:r>
        <w:rPr>
          <w:rFonts w:hint="eastAsia" w:ascii="楷体" w:hAnsi="楷体" w:eastAsia="楷体" w:cs="楷体_GB2312"/>
          <w:sz w:val="32"/>
          <w:szCs w:val="32"/>
        </w:rPr>
        <w:t>(三)部门职责-工作活动绩效目标</w:t>
      </w:r>
    </w:p>
    <w:p>
      <w:pPr>
        <w:jc w:val="center"/>
        <w:outlineLvl w:val="0"/>
        <w:rPr>
          <w:rFonts w:ascii="方正小标宋_GBK" w:eastAsia="方正小标宋_GBK"/>
          <w:color w:val="FFFFFF"/>
          <w:sz w:val="32"/>
        </w:rPr>
      </w:pPr>
      <w:bookmarkStart w:id="0" w:name="_Toc478559742"/>
      <w:bookmarkEnd w:id="0"/>
      <w:bookmarkStart w:id="1" w:name="_Toc2353468"/>
      <w:r>
        <w:rPr>
          <w:rFonts w:hint="eastAsia" w:ascii="方正小标宋_GBK" w:eastAsia="方正小标宋_GBK"/>
          <w:sz w:val="32"/>
        </w:rPr>
        <w:t>部门职责-工作活动绩效目标</w:t>
      </w:r>
      <w:r>
        <w:rPr>
          <w:rStyle w:val="7"/>
          <w:rFonts w:ascii="方正小标宋_GBK" w:eastAsia="方正小标宋_GBK"/>
          <w:color w:val="FFFFFF"/>
          <w:sz w:val="32"/>
        </w:rPr>
        <w:footnoteReference w:id="0" w:customMarkFollows="1"/>
        <w:sym w:font="Symbol" w:char="F020"/>
      </w:r>
      <w:bookmarkEnd w:id="1"/>
    </w:p>
    <w:tbl>
      <w:tblPr>
        <w:tblStyle w:val="5"/>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仿宋" w:hAnsi="仿宋" w:eastAsia="仿宋"/>
                <w:sz w:val="32"/>
                <w:szCs w:val="32"/>
              </w:rPr>
            </w:pPr>
            <w:r>
              <w:rPr>
                <w:rFonts w:ascii="仿宋" w:hAnsi="仿宋" w:eastAsia="仿宋"/>
                <w:sz w:val="32"/>
                <w:szCs w:val="32"/>
              </w:rPr>
              <w:t>410</w:t>
            </w:r>
            <w:r>
              <w:rPr>
                <w:rFonts w:hint="eastAsia" w:ascii="仿宋" w:hAnsi="仿宋" w:eastAsia="仿宋"/>
                <w:sz w:val="32"/>
                <w:szCs w:val="32"/>
              </w:rPr>
              <w:t>无极县统计局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仿宋" w:hAnsi="仿宋" w:eastAsia="仿宋"/>
                <w:sz w:val="32"/>
                <w:szCs w:val="32"/>
              </w:rPr>
            </w:pPr>
            <w:r>
              <w:rPr>
                <w:rFonts w:hint="eastAsia" w:ascii="仿宋" w:hAnsi="仿宋" w:eastAsia="仿宋"/>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职责活动</w:t>
            </w:r>
          </w:p>
        </w:tc>
        <w:tc>
          <w:tcPr>
            <w:tcW w:w="1276" w:type="dxa"/>
            <w:vMerge w:val="restart"/>
            <w:shd w:val="clear" w:color="auto" w:fill="auto"/>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年度预算数</w:t>
            </w:r>
          </w:p>
        </w:tc>
        <w:tc>
          <w:tcPr>
            <w:tcW w:w="2976" w:type="dxa"/>
            <w:vMerge w:val="restart"/>
            <w:shd w:val="clear" w:color="auto" w:fill="auto"/>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内容描述</w:t>
            </w:r>
          </w:p>
        </w:tc>
        <w:tc>
          <w:tcPr>
            <w:tcW w:w="2976" w:type="dxa"/>
            <w:vMerge w:val="restart"/>
            <w:shd w:val="clear" w:color="auto" w:fill="auto"/>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绩效目标</w:t>
            </w:r>
          </w:p>
        </w:tc>
        <w:tc>
          <w:tcPr>
            <w:tcW w:w="1417" w:type="dxa"/>
            <w:vMerge w:val="restart"/>
            <w:shd w:val="clear" w:color="auto" w:fill="auto"/>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绩效指标</w:t>
            </w:r>
          </w:p>
        </w:tc>
        <w:tc>
          <w:tcPr>
            <w:tcW w:w="2948" w:type="dxa"/>
            <w:gridSpan w:val="4"/>
            <w:shd w:val="clear" w:color="auto" w:fill="auto"/>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rPr>
                <w:rFonts w:ascii="仿宋" w:hAnsi="仿宋" w:eastAsia="仿宋"/>
                <w:sz w:val="32"/>
                <w:szCs w:val="32"/>
              </w:rPr>
            </w:pPr>
          </w:p>
        </w:tc>
        <w:tc>
          <w:tcPr>
            <w:tcW w:w="1276" w:type="dxa"/>
            <w:vMerge w:val="continue"/>
            <w:shd w:val="clear" w:color="auto" w:fill="auto"/>
            <w:vAlign w:val="center"/>
          </w:tcPr>
          <w:p>
            <w:pPr>
              <w:spacing w:line="300" w:lineRule="exact"/>
              <w:jc w:val="left"/>
              <w:outlineLvl w:val="0"/>
              <w:rPr>
                <w:rFonts w:ascii="仿宋" w:hAnsi="仿宋" w:eastAsia="仿宋"/>
                <w:sz w:val="32"/>
                <w:szCs w:val="32"/>
              </w:rPr>
            </w:pPr>
          </w:p>
        </w:tc>
        <w:tc>
          <w:tcPr>
            <w:tcW w:w="2976" w:type="dxa"/>
            <w:vMerge w:val="continue"/>
            <w:shd w:val="clear" w:color="auto" w:fill="auto"/>
            <w:vAlign w:val="center"/>
          </w:tcPr>
          <w:p>
            <w:pPr>
              <w:spacing w:line="300" w:lineRule="exact"/>
              <w:jc w:val="left"/>
              <w:outlineLvl w:val="0"/>
              <w:rPr>
                <w:rFonts w:ascii="仿宋" w:hAnsi="仿宋" w:eastAsia="仿宋"/>
                <w:sz w:val="32"/>
                <w:szCs w:val="32"/>
              </w:rPr>
            </w:pPr>
          </w:p>
        </w:tc>
        <w:tc>
          <w:tcPr>
            <w:tcW w:w="2976" w:type="dxa"/>
            <w:vMerge w:val="continue"/>
            <w:shd w:val="clear" w:color="auto" w:fill="auto"/>
            <w:vAlign w:val="center"/>
          </w:tcPr>
          <w:p>
            <w:pPr>
              <w:spacing w:line="300" w:lineRule="exact"/>
              <w:jc w:val="left"/>
              <w:outlineLvl w:val="0"/>
              <w:rPr>
                <w:rFonts w:ascii="仿宋" w:hAnsi="仿宋" w:eastAsia="仿宋"/>
                <w:sz w:val="32"/>
                <w:szCs w:val="32"/>
              </w:rPr>
            </w:pPr>
          </w:p>
        </w:tc>
        <w:tc>
          <w:tcPr>
            <w:tcW w:w="1417" w:type="dxa"/>
            <w:vMerge w:val="continue"/>
            <w:shd w:val="clear" w:color="auto" w:fill="auto"/>
            <w:vAlign w:val="center"/>
          </w:tcPr>
          <w:p>
            <w:pPr>
              <w:spacing w:line="300" w:lineRule="exact"/>
              <w:jc w:val="left"/>
              <w:outlineLvl w:val="0"/>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优</w:t>
            </w:r>
          </w:p>
        </w:tc>
        <w:tc>
          <w:tcPr>
            <w:tcW w:w="737" w:type="dxa"/>
            <w:shd w:val="clear" w:color="auto" w:fill="auto"/>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良</w:t>
            </w:r>
          </w:p>
        </w:tc>
        <w:tc>
          <w:tcPr>
            <w:tcW w:w="737" w:type="dxa"/>
            <w:shd w:val="clear" w:color="auto" w:fill="auto"/>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中</w:t>
            </w:r>
          </w:p>
        </w:tc>
        <w:tc>
          <w:tcPr>
            <w:tcW w:w="737" w:type="dxa"/>
            <w:shd w:val="clear" w:color="auto" w:fill="auto"/>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仿宋" w:hAnsi="仿宋" w:eastAsia="仿宋"/>
                <w:b/>
                <w:sz w:val="32"/>
                <w:szCs w:val="32"/>
              </w:rPr>
            </w:pPr>
            <w:r>
              <w:rPr>
                <w:rFonts w:hint="eastAsia" w:ascii="仿宋" w:hAnsi="仿宋" w:eastAsia="仿宋"/>
                <w:b/>
                <w:sz w:val="32"/>
                <w:szCs w:val="32"/>
              </w:rPr>
              <w:t>一、国民经济核算</w:t>
            </w:r>
          </w:p>
        </w:tc>
        <w:tc>
          <w:tcPr>
            <w:tcW w:w="1276" w:type="dxa"/>
            <w:shd w:val="clear" w:color="auto" w:fill="auto"/>
            <w:vAlign w:val="center"/>
          </w:tcPr>
          <w:p>
            <w:pPr>
              <w:spacing w:line="300" w:lineRule="exact"/>
              <w:jc w:val="left"/>
              <w:rPr>
                <w:rFonts w:ascii="仿宋" w:hAnsi="仿宋" w:eastAsia="仿宋"/>
                <w:sz w:val="32"/>
                <w:szCs w:val="32"/>
              </w:rPr>
            </w:pPr>
          </w:p>
        </w:tc>
        <w:tc>
          <w:tcPr>
            <w:tcW w:w="2976"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在全县开展</w:t>
            </w:r>
            <w:r>
              <w:rPr>
                <w:rFonts w:ascii="仿宋" w:hAnsi="仿宋" w:eastAsia="仿宋"/>
                <w:sz w:val="32"/>
                <w:szCs w:val="32"/>
              </w:rPr>
              <w:t>GDP</w:t>
            </w:r>
            <w:r>
              <w:rPr>
                <w:rFonts w:hint="eastAsia" w:ascii="仿宋" w:hAnsi="仿宋" w:eastAsia="仿宋"/>
                <w:sz w:val="32"/>
                <w:szCs w:val="32"/>
              </w:rPr>
              <w:t>核算、资产负债核算、资金流量核算工作。</w:t>
            </w:r>
          </w:p>
        </w:tc>
        <w:tc>
          <w:tcPr>
            <w:tcW w:w="2976"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完成全县年度数据的测算审核认定工作；完成全县季度数据审核认定工作；完成必要分析，对相关经济决策提供重要依据。</w:t>
            </w:r>
          </w:p>
        </w:tc>
        <w:tc>
          <w:tcPr>
            <w:tcW w:w="1417" w:type="dxa"/>
            <w:shd w:val="clear" w:color="auto" w:fill="auto"/>
            <w:vAlign w:val="center"/>
          </w:tcPr>
          <w:p>
            <w:pPr>
              <w:spacing w:line="300" w:lineRule="exact"/>
              <w:jc w:val="left"/>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仿宋" w:hAnsi="仿宋" w:eastAsia="仿宋"/>
                <w:b/>
                <w:sz w:val="32"/>
                <w:szCs w:val="32"/>
              </w:rPr>
            </w:pPr>
            <w:r>
              <w:rPr>
                <w:rFonts w:hint="eastAsia" w:ascii="仿宋" w:hAnsi="仿宋" w:eastAsia="仿宋"/>
                <w:b/>
                <w:sz w:val="32"/>
                <w:szCs w:val="32"/>
              </w:rPr>
              <w:t>　　</w:t>
            </w:r>
            <w:r>
              <w:rPr>
                <w:rFonts w:ascii="仿宋" w:hAnsi="仿宋" w:eastAsia="仿宋"/>
                <w:b/>
                <w:sz w:val="32"/>
                <w:szCs w:val="32"/>
              </w:rPr>
              <w:t>1</w:t>
            </w:r>
            <w:r>
              <w:rPr>
                <w:rFonts w:hint="eastAsia" w:ascii="仿宋" w:hAnsi="仿宋" w:eastAsia="仿宋"/>
                <w:b/>
                <w:sz w:val="32"/>
                <w:szCs w:val="32"/>
              </w:rPr>
              <w:t>、国民经济核算</w:t>
            </w:r>
          </w:p>
        </w:tc>
        <w:tc>
          <w:tcPr>
            <w:tcW w:w="1276" w:type="dxa"/>
            <w:vMerge w:val="restart"/>
            <w:shd w:val="clear" w:color="auto" w:fill="auto"/>
            <w:vAlign w:val="center"/>
          </w:tcPr>
          <w:p>
            <w:pPr>
              <w:spacing w:line="300" w:lineRule="exact"/>
              <w:jc w:val="left"/>
              <w:rPr>
                <w:rFonts w:ascii="仿宋" w:hAnsi="仿宋" w:eastAsia="仿宋"/>
                <w:sz w:val="32"/>
                <w:szCs w:val="32"/>
              </w:rPr>
            </w:pPr>
          </w:p>
        </w:tc>
        <w:tc>
          <w:tcPr>
            <w:tcW w:w="2976" w:type="dxa"/>
            <w:vMerge w:val="restart"/>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贯彻执行国家国民经济核算制度，组织实施全县国民经济核算制度和投入产出调查，核算全县生产总值，整理、测算和提供国民经济核算资料，监督管理全县国民经济核算工作。</w:t>
            </w:r>
          </w:p>
        </w:tc>
        <w:tc>
          <w:tcPr>
            <w:tcW w:w="2976" w:type="dxa"/>
            <w:vMerge w:val="restart"/>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完成全县年度、季度数据的测算审核认定工作；完成必要分析，对相关经济决策提供重要依据。</w:t>
            </w: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业务培训覆盖率</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98%</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92%</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sz w:val="32"/>
                <w:szCs w:val="32"/>
              </w:rPr>
            </w:pPr>
          </w:p>
        </w:tc>
        <w:tc>
          <w:tcPr>
            <w:tcW w:w="12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统计信息采用量</w:t>
            </w:r>
            <w:r>
              <w:rPr>
                <w:rFonts w:ascii="仿宋" w:hAnsi="仿宋" w:eastAsia="仿宋"/>
                <w:sz w:val="32"/>
                <w:szCs w:val="32"/>
              </w:rPr>
              <w:t>(</w:t>
            </w:r>
            <w:r>
              <w:rPr>
                <w:rFonts w:hint="eastAsia" w:ascii="仿宋" w:hAnsi="仿宋" w:eastAsia="仿宋"/>
                <w:sz w:val="32"/>
                <w:szCs w:val="32"/>
              </w:rPr>
              <w:t>篇</w:t>
            </w:r>
            <w:r>
              <w:rPr>
                <w:rFonts w:ascii="仿宋" w:hAnsi="仿宋" w:eastAsia="仿宋"/>
                <w:sz w:val="32"/>
                <w:szCs w:val="32"/>
              </w:rPr>
              <w:t>)</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6</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3</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sz w:val="32"/>
                <w:szCs w:val="32"/>
              </w:rPr>
            </w:pPr>
          </w:p>
        </w:tc>
        <w:tc>
          <w:tcPr>
            <w:tcW w:w="12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调查对象覆盖率</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98%</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92%</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sz w:val="32"/>
                <w:szCs w:val="32"/>
              </w:rPr>
            </w:pPr>
          </w:p>
        </w:tc>
        <w:tc>
          <w:tcPr>
            <w:tcW w:w="12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专项统计完成率</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98%</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92%</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仿宋" w:hAnsi="仿宋" w:eastAsia="仿宋"/>
                <w:b/>
                <w:sz w:val="32"/>
                <w:szCs w:val="32"/>
              </w:rPr>
            </w:pPr>
            <w:r>
              <w:rPr>
                <w:rFonts w:hint="eastAsia" w:ascii="仿宋" w:hAnsi="仿宋" w:eastAsia="仿宋"/>
                <w:b/>
                <w:sz w:val="32"/>
                <w:szCs w:val="32"/>
              </w:rPr>
              <w:t>二、统计调查</w:t>
            </w:r>
          </w:p>
        </w:tc>
        <w:tc>
          <w:tcPr>
            <w:tcW w:w="1276" w:type="dxa"/>
            <w:shd w:val="clear" w:color="auto" w:fill="auto"/>
            <w:vAlign w:val="center"/>
          </w:tcPr>
          <w:p>
            <w:pPr>
              <w:spacing w:line="300" w:lineRule="exact"/>
              <w:jc w:val="left"/>
              <w:rPr>
                <w:rFonts w:ascii="仿宋" w:hAnsi="仿宋" w:eastAsia="仿宋"/>
                <w:sz w:val="32"/>
                <w:szCs w:val="32"/>
              </w:rPr>
            </w:pPr>
            <w:r>
              <w:rPr>
                <w:rFonts w:ascii="仿宋" w:hAnsi="仿宋" w:eastAsia="仿宋"/>
                <w:sz w:val="32"/>
                <w:szCs w:val="32"/>
              </w:rPr>
              <w:t>35.00</w:t>
            </w:r>
          </w:p>
        </w:tc>
        <w:tc>
          <w:tcPr>
            <w:tcW w:w="2976"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组织国情国力普查和涉及工业、农业、社科、教育、节能、卫生等相关行业的专项统计调查监测，收集、整理统计数据，提供咨询建议。</w:t>
            </w:r>
          </w:p>
        </w:tc>
        <w:tc>
          <w:tcPr>
            <w:tcW w:w="2976"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进行业务培训，组织开展深层次课题研究，发布普查主要数据公报，完成普查工作总结和表彰。</w:t>
            </w:r>
          </w:p>
        </w:tc>
        <w:tc>
          <w:tcPr>
            <w:tcW w:w="1417" w:type="dxa"/>
            <w:shd w:val="clear" w:color="auto" w:fill="auto"/>
            <w:vAlign w:val="center"/>
          </w:tcPr>
          <w:p>
            <w:pPr>
              <w:spacing w:line="300" w:lineRule="exact"/>
              <w:jc w:val="left"/>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仿宋" w:hAnsi="仿宋" w:eastAsia="仿宋"/>
                <w:b/>
                <w:sz w:val="32"/>
                <w:szCs w:val="32"/>
              </w:rPr>
            </w:pPr>
            <w:r>
              <w:rPr>
                <w:rFonts w:hint="eastAsia" w:ascii="仿宋" w:hAnsi="仿宋" w:eastAsia="仿宋"/>
                <w:b/>
                <w:sz w:val="32"/>
                <w:szCs w:val="32"/>
              </w:rPr>
              <w:t>　　</w:t>
            </w:r>
            <w:r>
              <w:rPr>
                <w:rFonts w:ascii="仿宋" w:hAnsi="仿宋" w:eastAsia="仿宋"/>
                <w:b/>
                <w:sz w:val="32"/>
                <w:szCs w:val="32"/>
              </w:rPr>
              <w:t>1</w:t>
            </w:r>
            <w:r>
              <w:rPr>
                <w:rFonts w:hint="eastAsia" w:ascii="仿宋" w:hAnsi="仿宋" w:eastAsia="仿宋"/>
                <w:b/>
                <w:sz w:val="32"/>
                <w:szCs w:val="32"/>
              </w:rPr>
              <w:t>、国情国力普查</w:t>
            </w:r>
          </w:p>
        </w:tc>
        <w:tc>
          <w:tcPr>
            <w:tcW w:w="1276" w:type="dxa"/>
            <w:vMerge w:val="restart"/>
            <w:shd w:val="clear" w:color="auto" w:fill="auto"/>
            <w:vAlign w:val="center"/>
          </w:tcPr>
          <w:p>
            <w:pPr>
              <w:spacing w:line="300" w:lineRule="exact"/>
              <w:jc w:val="left"/>
              <w:rPr>
                <w:rFonts w:ascii="仿宋" w:hAnsi="仿宋" w:eastAsia="仿宋"/>
                <w:sz w:val="32"/>
                <w:szCs w:val="32"/>
              </w:rPr>
            </w:pPr>
            <w:r>
              <w:rPr>
                <w:rFonts w:ascii="仿宋" w:hAnsi="仿宋" w:eastAsia="仿宋"/>
                <w:sz w:val="32"/>
                <w:szCs w:val="32"/>
              </w:rPr>
              <w:t>15.00</w:t>
            </w:r>
          </w:p>
        </w:tc>
        <w:tc>
          <w:tcPr>
            <w:tcW w:w="2976" w:type="dxa"/>
            <w:vMerge w:val="restart"/>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组织完成国情国力普查及重要调查任务，研究提出重大县情县力普查和抽样调查计划并组织实施，汇总、整理和提供有关县情县力方面的统计数据。</w:t>
            </w:r>
          </w:p>
        </w:tc>
        <w:tc>
          <w:tcPr>
            <w:tcW w:w="2976" w:type="dxa"/>
            <w:vMerge w:val="restart"/>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按照国家统计局、财政部关于印发《关于统计部门周期性普查和大型调查经费开支问题的暂行规定》，分年度完成普查工作，确保普查的顺利完成。</w:t>
            </w: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业务培训覆盖率</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98%</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92%</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sz w:val="32"/>
                <w:szCs w:val="32"/>
              </w:rPr>
            </w:pPr>
          </w:p>
        </w:tc>
        <w:tc>
          <w:tcPr>
            <w:tcW w:w="12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统计信息采用量</w:t>
            </w:r>
            <w:r>
              <w:rPr>
                <w:rFonts w:ascii="仿宋" w:hAnsi="仿宋" w:eastAsia="仿宋"/>
                <w:sz w:val="32"/>
                <w:szCs w:val="32"/>
              </w:rPr>
              <w:t>(</w:t>
            </w:r>
            <w:r>
              <w:rPr>
                <w:rFonts w:hint="eastAsia" w:ascii="仿宋" w:hAnsi="仿宋" w:eastAsia="仿宋"/>
                <w:sz w:val="32"/>
                <w:szCs w:val="32"/>
              </w:rPr>
              <w:t>篇</w:t>
            </w:r>
            <w:r>
              <w:rPr>
                <w:rFonts w:ascii="仿宋" w:hAnsi="仿宋" w:eastAsia="仿宋"/>
                <w:sz w:val="32"/>
                <w:szCs w:val="32"/>
              </w:rPr>
              <w:t>)</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6</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3</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sz w:val="32"/>
                <w:szCs w:val="32"/>
              </w:rPr>
            </w:pPr>
          </w:p>
        </w:tc>
        <w:tc>
          <w:tcPr>
            <w:tcW w:w="12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调查对象覆盖率</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98%</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92%</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sz w:val="32"/>
                <w:szCs w:val="32"/>
              </w:rPr>
            </w:pPr>
          </w:p>
        </w:tc>
        <w:tc>
          <w:tcPr>
            <w:tcW w:w="12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普查统计完成率</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98%</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92%</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仿宋" w:hAnsi="仿宋" w:eastAsia="仿宋"/>
                <w:b/>
                <w:sz w:val="32"/>
                <w:szCs w:val="32"/>
              </w:rPr>
            </w:pPr>
            <w:r>
              <w:rPr>
                <w:rFonts w:hint="eastAsia" w:ascii="仿宋" w:hAnsi="仿宋" w:eastAsia="仿宋"/>
                <w:b/>
                <w:sz w:val="32"/>
                <w:szCs w:val="32"/>
              </w:rPr>
              <w:t>　　</w:t>
            </w:r>
            <w:r>
              <w:rPr>
                <w:rFonts w:ascii="仿宋" w:hAnsi="仿宋" w:eastAsia="仿宋"/>
                <w:b/>
                <w:sz w:val="32"/>
                <w:szCs w:val="32"/>
              </w:rPr>
              <w:t>2</w:t>
            </w:r>
            <w:r>
              <w:rPr>
                <w:rFonts w:hint="eastAsia" w:ascii="仿宋" w:hAnsi="仿宋" w:eastAsia="仿宋"/>
                <w:b/>
                <w:sz w:val="32"/>
                <w:szCs w:val="32"/>
              </w:rPr>
              <w:t>、专项统计调查</w:t>
            </w:r>
          </w:p>
        </w:tc>
        <w:tc>
          <w:tcPr>
            <w:tcW w:w="1276" w:type="dxa"/>
            <w:vMerge w:val="restart"/>
            <w:shd w:val="clear" w:color="auto" w:fill="auto"/>
            <w:vAlign w:val="center"/>
          </w:tcPr>
          <w:p>
            <w:pPr>
              <w:spacing w:line="300" w:lineRule="exact"/>
              <w:jc w:val="left"/>
              <w:rPr>
                <w:rFonts w:ascii="仿宋" w:hAnsi="仿宋" w:eastAsia="仿宋"/>
                <w:sz w:val="32"/>
                <w:szCs w:val="32"/>
              </w:rPr>
            </w:pPr>
            <w:r>
              <w:rPr>
                <w:rFonts w:ascii="仿宋" w:hAnsi="仿宋" w:eastAsia="仿宋"/>
                <w:sz w:val="32"/>
                <w:szCs w:val="32"/>
              </w:rPr>
              <w:t>20.00</w:t>
            </w:r>
          </w:p>
        </w:tc>
        <w:tc>
          <w:tcPr>
            <w:tcW w:w="2976" w:type="dxa"/>
            <w:vMerge w:val="restart"/>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根据省、市政府有关文件要求，组织实施涉及相关行业数据的专项统计调查。</w:t>
            </w:r>
          </w:p>
        </w:tc>
        <w:tc>
          <w:tcPr>
            <w:tcW w:w="2976" w:type="dxa"/>
            <w:vMerge w:val="restart"/>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组织开展专项统计调查工作，了解基层情况和动态提供统计信息和咨询建议。</w:t>
            </w: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业务培训覆盖率</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98%</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92%</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sz w:val="32"/>
                <w:szCs w:val="32"/>
              </w:rPr>
            </w:pPr>
          </w:p>
        </w:tc>
        <w:tc>
          <w:tcPr>
            <w:tcW w:w="12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统计信息采用量</w:t>
            </w:r>
            <w:r>
              <w:rPr>
                <w:rFonts w:ascii="仿宋" w:hAnsi="仿宋" w:eastAsia="仿宋"/>
                <w:sz w:val="32"/>
                <w:szCs w:val="32"/>
              </w:rPr>
              <w:t>(</w:t>
            </w:r>
            <w:r>
              <w:rPr>
                <w:rFonts w:hint="eastAsia" w:ascii="仿宋" w:hAnsi="仿宋" w:eastAsia="仿宋"/>
                <w:sz w:val="32"/>
                <w:szCs w:val="32"/>
              </w:rPr>
              <w:t>篇</w:t>
            </w:r>
            <w:r>
              <w:rPr>
                <w:rFonts w:ascii="仿宋" w:hAnsi="仿宋" w:eastAsia="仿宋"/>
                <w:sz w:val="32"/>
                <w:szCs w:val="32"/>
              </w:rPr>
              <w:t>)</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6</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3</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sz w:val="32"/>
                <w:szCs w:val="32"/>
              </w:rPr>
            </w:pPr>
          </w:p>
        </w:tc>
        <w:tc>
          <w:tcPr>
            <w:tcW w:w="12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调查对象覆盖率</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98%</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92%</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sz w:val="32"/>
                <w:szCs w:val="32"/>
              </w:rPr>
            </w:pPr>
          </w:p>
        </w:tc>
        <w:tc>
          <w:tcPr>
            <w:tcW w:w="12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专项统计完成率</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98%</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92%</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仿宋" w:hAnsi="仿宋" w:eastAsia="仿宋"/>
                <w:b/>
                <w:sz w:val="32"/>
                <w:szCs w:val="32"/>
              </w:rPr>
            </w:pPr>
            <w:r>
              <w:rPr>
                <w:rFonts w:hint="eastAsia" w:ascii="仿宋" w:hAnsi="仿宋" w:eastAsia="仿宋"/>
                <w:b/>
                <w:sz w:val="32"/>
                <w:szCs w:val="32"/>
              </w:rPr>
              <w:t>　　</w:t>
            </w:r>
            <w:r>
              <w:rPr>
                <w:rFonts w:ascii="仿宋" w:hAnsi="仿宋" w:eastAsia="仿宋"/>
                <w:b/>
                <w:sz w:val="32"/>
                <w:szCs w:val="32"/>
              </w:rPr>
              <w:t>3</w:t>
            </w:r>
            <w:r>
              <w:rPr>
                <w:rFonts w:hint="eastAsia" w:ascii="仿宋" w:hAnsi="仿宋" w:eastAsia="仿宋"/>
                <w:b/>
                <w:sz w:val="32"/>
                <w:szCs w:val="32"/>
              </w:rPr>
              <w:t>、统计数据采集决策咨询</w:t>
            </w:r>
          </w:p>
        </w:tc>
        <w:tc>
          <w:tcPr>
            <w:tcW w:w="1276" w:type="dxa"/>
            <w:vMerge w:val="restart"/>
            <w:shd w:val="clear" w:color="auto" w:fill="auto"/>
            <w:vAlign w:val="center"/>
          </w:tcPr>
          <w:p>
            <w:pPr>
              <w:spacing w:line="300" w:lineRule="exact"/>
              <w:jc w:val="left"/>
              <w:rPr>
                <w:rFonts w:ascii="仿宋" w:hAnsi="仿宋" w:eastAsia="仿宋"/>
                <w:sz w:val="32"/>
                <w:szCs w:val="32"/>
              </w:rPr>
            </w:pPr>
          </w:p>
        </w:tc>
        <w:tc>
          <w:tcPr>
            <w:tcW w:w="2976" w:type="dxa"/>
            <w:vMerge w:val="restart"/>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管理全县统计数据库网络；落实全县统计信息化系统建设。组织全县统计系统各级各专业实施以企业一套表制度为核心的统计四大工程：建立并管理全县统计信息自动化系统和统计数据库系统。</w:t>
            </w:r>
          </w:p>
        </w:tc>
        <w:tc>
          <w:tcPr>
            <w:tcW w:w="2976" w:type="dxa"/>
            <w:vMerge w:val="restart"/>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保障全县统计信息自动化系统和统计数据库系统运行安全平稳。保证统计数据的顺利报送汇总。</w:t>
            </w: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统计信息化系统建设完成率</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98%</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92%</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仿宋" w:hAnsi="仿宋" w:eastAsia="仿宋"/>
                <w:b/>
                <w:sz w:val="32"/>
                <w:szCs w:val="32"/>
              </w:rPr>
            </w:pPr>
          </w:p>
        </w:tc>
        <w:tc>
          <w:tcPr>
            <w:tcW w:w="12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2976" w:type="dxa"/>
            <w:vMerge w:val="continue"/>
            <w:shd w:val="clear" w:color="auto" w:fill="auto"/>
            <w:vAlign w:val="center"/>
          </w:tcPr>
          <w:p>
            <w:pPr>
              <w:spacing w:line="300" w:lineRule="exact"/>
              <w:jc w:val="left"/>
              <w:rPr>
                <w:rFonts w:ascii="仿宋" w:hAnsi="仿宋" w:eastAsia="仿宋"/>
                <w:sz w:val="32"/>
                <w:szCs w:val="32"/>
              </w:rPr>
            </w:pP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统计信息化系统正常运转率</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98%</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92%</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仿宋" w:hAnsi="仿宋" w:eastAsia="仿宋"/>
                <w:b/>
                <w:sz w:val="32"/>
                <w:szCs w:val="32"/>
              </w:rPr>
            </w:pPr>
            <w:r>
              <w:rPr>
                <w:rFonts w:hint="eastAsia" w:ascii="仿宋" w:hAnsi="仿宋" w:eastAsia="仿宋"/>
                <w:b/>
                <w:sz w:val="32"/>
                <w:szCs w:val="32"/>
              </w:rPr>
              <w:t>三、统计政务管理</w:t>
            </w:r>
          </w:p>
        </w:tc>
        <w:tc>
          <w:tcPr>
            <w:tcW w:w="1276" w:type="dxa"/>
            <w:shd w:val="clear" w:color="auto" w:fill="auto"/>
            <w:vAlign w:val="center"/>
          </w:tcPr>
          <w:p>
            <w:pPr>
              <w:spacing w:line="300" w:lineRule="exact"/>
              <w:jc w:val="left"/>
              <w:rPr>
                <w:rFonts w:ascii="仿宋" w:hAnsi="仿宋" w:eastAsia="仿宋"/>
                <w:sz w:val="32"/>
                <w:szCs w:val="32"/>
              </w:rPr>
            </w:pPr>
            <w:r>
              <w:rPr>
                <w:rFonts w:ascii="仿宋" w:hAnsi="仿宋" w:eastAsia="仿宋"/>
                <w:sz w:val="32"/>
                <w:szCs w:val="32"/>
              </w:rPr>
              <w:t>28.25</w:t>
            </w:r>
          </w:p>
        </w:tc>
        <w:tc>
          <w:tcPr>
            <w:tcW w:w="2976"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保障机关日常运转，健全全县统计法制建设，指导全县统计专业技术队伍建设。</w:t>
            </w:r>
          </w:p>
        </w:tc>
        <w:tc>
          <w:tcPr>
            <w:tcW w:w="2976"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保障统计信息化建设、统计执法等全县统计专业技术队伍建设。</w:t>
            </w:r>
          </w:p>
        </w:tc>
        <w:tc>
          <w:tcPr>
            <w:tcW w:w="1417" w:type="dxa"/>
            <w:shd w:val="clear" w:color="auto" w:fill="auto"/>
            <w:vAlign w:val="center"/>
          </w:tcPr>
          <w:p>
            <w:pPr>
              <w:spacing w:line="300" w:lineRule="exact"/>
              <w:jc w:val="left"/>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c>
          <w:tcPr>
            <w:tcW w:w="737" w:type="dxa"/>
            <w:shd w:val="clear" w:color="auto" w:fill="auto"/>
            <w:vAlign w:val="center"/>
          </w:tcPr>
          <w:p>
            <w:pPr>
              <w:spacing w:line="300" w:lineRule="exact"/>
              <w:jc w:val="center"/>
              <w:rPr>
                <w:rFonts w:ascii="仿宋" w:hAnsi="仿宋" w:eastAsia="仿宋"/>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仿宋" w:hAnsi="仿宋" w:eastAsia="仿宋"/>
                <w:b/>
                <w:sz w:val="32"/>
                <w:szCs w:val="32"/>
              </w:rPr>
            </w:pPr>
            <w:r>
              <w:rPr>
                <w:rFonts w:hint="eastAsia" w:ascii="仿宋" w:hAnsi="仿宋" w:eastAsia="仿宋"/>
                <w:b/>
                <w:sz w:val="32"/>
                <w:szCs w:val="32"/>
              </w:rPr>
              <w:t>　　</w:t>
            </w:r>
            <w:r>
              <w:rPr>
                <w:rFonts w:ascii="仿宋" w:hAnsi="仿宋" w:eastAsia="仿宋"/>
                <w:b/>
                <w:sz w:val="32"/>
                <w:szCs w:val="32"/>
              </w:rPr>
              <w:t>1</w:t>
            </w:r>
            <w:r>
              <w:rPr>
                <w:rFonts w:hint="eastAsia" w:ascii="仿宋" w:hAnsi="仿宋" w:eastAsia="仿宋"/>
                <w:b/>
                <w:sz w:val="32"/>
                <w:szCs w:val="32"/>
              </w:rPr>
              <w:t>、综合业务管理</w:t>
            </w:r>
          </w:p>
        </w:tc>
        <w:tc>
          <w:tcPr>
            <w:tcW w:w="1276" w:type="dxa"/>
            <w:shd w:val="clear" w:color="auto" w:fill="auto"/>
            <w:vAlign w:val="center"/>
          </w:tcPr>
          <w:p>
            <w:pPr>
              <w:spacing w:line="300" w:lineRule="exact"/>
              <w:jc w:val="left"/>
              <w:rPr>
                <w:rFonts w:ascii="仿宋" w:hAnsi="仿宋" w:eastAsia="仿宋"/>
                <w:sz w:val="32"/>
                <w:szCs w:val="32"/>
              </w:rPr>
            </w:pPr>
            <w:r>
              <w:rPr>
                <w:rFonts w:ascii="仿宋" w:hAnsi="仿宋" w:eastAsia="仿宋"/>
                <w:sz w:val="32"/>
                <w:szCs w:val="32"/>
              </w:rPr>
              <w:t>28.25</w:t>
            </w:r>
          </w:p>
        </w:tc>
        <w:tc>
          <w:tcPr>
            <w:tcW w:w="2976"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健全全县统计法制建设，严格查处统计违法现象，开展统计基层基础建设，指导全县统计专业技术队伍建设。</w:t>
            </w:r>
          </w:p>
        </w:tc>
        <w:tc>
          <w:tcPr>
            <w:tcW w:w="2976"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开展统计执法检查和培训工作，防范统计违法现象的发生；拟定全县统计教育培训制度、规划等。</w:t>
            </w: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培训工作完成率</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100%</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仿宋" w:hAnsi="仿宋" w:eastAsia="仿宋"/>
                <w:b/>
                <w:sz w:val="32"/>
                <w:szCs w:val="32"/>
              </w:rPr>
            </w:pPr>
            <w:r>
              <w:rPr>
                <w:rFonts w:hint="eastAsia" w:ascii="仿宋" w:hAnsi="仿宋" w:eastAsia="仿宋"/>
                <w:b/>
                <w:sz w:val="32"/>
                <w:szCs w:val="32"/>
              </w:rPr>
              <w:t>　　</w:t>
            </w:r>
            <w:r>
              <w:rPr>
                <w:rFonts w:ascii="仿宋" w:hAnsi="仿宋" w:eastAsia="仿宋"/>
                <w:b/>
                <w:sz w:val="32"/>
                <w:szCs w:val="32"/>
              </w:rPr>
              <w:t>2</w:t>
            </w:r>
            <w:r>
              <w:rPr>
                <w:rFonts w:hint="eastAsia" w:ascii="仿宋" w:hAnsi="仿宋" w:eastAsia="仿宋"/>
                <w:b/>
                <w:sz w:val="32"/>
                <w:szCs w:val="32"/>
              </w:rPr>
              <w:t>、综合事务管理</w:t>
            </w:r>
          </w:p>
        </w:tc>
        <w:tc>
          <w:tcPr>
            <w:tcW w:w="1276" w:type="dxa"/>
            <w:shd w:val="clear" w:color="auto" w:fill="auto"/>
            <w:vAlign w:val="center"/>
          </w:tcPr>
          <w:p>
            <w:pPr>
              <w:spacing w:line="300" w:lineRule="exact"/>
              <w:jc w:val="left"/>
              <w:rPr>
                <w:rFonts w:ascii="仿宋" w:hAnsi="仿宋" w:eastAsia="仿宋"/>
                <w:sz w:val="32"/>
                <w:szCs w:val="32"/>
              </w:rPr>
            </w:pPr>
          </w:p>
        </w:tc>
        <w:tc>
          <w:tcPr>
            <w:tcW w:w="2976"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保障机关日常运转，开展纪检监察、计财内审、人事管理、老干部管理、党建、后勤、行政许可事务性管理等工作。</w:t>
            </w:r>
          </w:p>
        </w:tc>
        <w:tc>
          <w:tcPr>
            <w:tcW w:w="2976"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保障机关正常运转。</w:t>
            </w:r>
          </w:p>
        </w:tc>
        <w:tc>
          <w:tcPr>
            <w:tcW w:w="1417" w:type="dxa"/>
            <w:shd w:val="clear" w:color="auto" w:fill="auto"/>
            <w:vAlign w:val="center"/>
          </w:tcPr>
          <w:p>
            <w:pPr>
              <w:spacing w:line="300" w:lineRule="exact"/>
              <w:jc w:val="left"/>
              <w:rPr>
                <w:rFonts w:ascii="仿宋" w:hAnsi="仿宋" w:eastAsia="仿宋"/>
                <w:sz w:val="32"/>
                <w:szCs w:val="32"/>
              </w:rPr>
            </w:pPr>
            <w:r>
              <w:rPr>
                <w:rFonts w:hint="eastAsia" w:ascii="仿宋" w:hAnsi="仿宋" w:eastAsia="仿宋"/>
                <w:sz w:val="32"/>
                <w:szCs w:val="32"/>
              </w:rPr>
              <w:t>综合事务保障率</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100%</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95%</w:t>
            </w:r>
          </w:p>
        </w:tc>
        <w:tc>
          <w:tcPr>
            <w:tcW w:w="737" w:type="dxa"/>
            <w:shd w:val="clear" w:color="auto" w:fill="auto"/>
            <w:vAlign w:val="center"/>
          </w:tcPr>
          <w:p>
            <w:pPr>
              <w:spacing w:line="300" w:lineRule="exact"/>
              <w:jc w:val="center"/>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90%</w:t>
            </w:r>
          </w:p>
        </w:tc>
        <w:tc>
          <w:tcPr>
            <w:tcW w:w="737" w:type="dxa"/>
            <w:shd w:val="clear" w:color="auto" w:fill="auto"/>
            <w:vAlign w:val="center"/>
          </w:tcPr>
          <w:p>
            <w:pPr>
              <w:spacing w:line="300" w:lineRule="exact"/>
              <w:jc w:val="center"/>
              <w:rPr>
                <w:rFonts w:ascii="仿宋" w:hAnsi="仿宋" w:eastAsia="仿宋"/>
                <w:sz w:val="32"/>
                <w:szCs w:val="32"/>
              </w:rPr>
            </w:pPr>
            <w:r>
              <w:rPr>
                <w:rFonts w:ascii="仿宋" w:hAnsi="仿宋" w:eastAsia="仿宋"/>
                <w:sz w:val="32"/>
                <w:szCs w:val="32"/>
              </w:rPr>
              <w:t>&lt;90%</w:t>
            </w:r>
          </w:p>
        </w:tc>
      </w:tr>
    </w:tbl>
    <w:p>
      <w:pPr>
        <w:numPr>
          <w:ilvl w:val="0"/>
          <w:numId w:val="4"/>
        </w:numPr>
        <w:autoSpaceDE w:val="0"/>
        <w:autoSpaceDN w:val="0"/>
        <w:adjustRightInd w:val="0"/>
        <w:ind w:firstLine="640" w:firstLineChars="200"/>
        <w:jc w:val="left"/>
        <w:rPr>
          <w:rFonts w:ascii="黑体" w:hAnsi="黑体" w:eastAsia="黑体" w:cs="黑体"/>
          <w:sz w:val="32"/>
          <w:szCs w:val="32"/>
        </w:rPr>
      </w:pPr>
      <w:r>
        <w:rPr>
          <w:rFonts w:hint="eastAsia" w:ascii="黑体" w:hAnsi="黑体" w:eastAsia="黑体" w:cs="黑体"/>
          <w:sz w:val="32"/>
          <w:szCs w:val="32"/>
        </w:rPr>
        <w:t>政府采购预算情况</w:t>
      </w:r>
    </w:p>
    <w:p>
      <w:pPr>
        <w:autoSpaceDE w:val="0"/>
        <w:autoSpaceDN w:val="0"/>
        <w:adjustRightInd w:val="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2019年我单位没有安排政府采购预算，政府采购预算金额为0万元。</w:t>
      </w:r>
    </w:p>
    <w:p>
      <w:pPr>
        <w:jc w:val="center"/>
        <w:rPr>
          <w:rFonts w:ascii="仿宋_GB2312" w:eastAsia="仿宋_GB2312"/>
          <w:sz w:val="32"/>
          <w:szCs w:val="32"/>
        </w:rPr>
      </w:pPr>
      <w:r>
        <w:rPr>
          <w:rFonts w:hint="eastAsia" w:ascii="仿宋_GB2312" w:eastAsia="仿宋_GB2312"/>
          <w:sz w:val="32"/>
          <w:szCs w:val="32"/>
        </w:rPr>
        <w:t>部门政府采购预算</w:t>
      </w:r>
    </w:p>
    <w:p>
      <w:pPr>
        <w:jc w:val="left"/>
        <w:rPr>
          <w:rFonts w:ascii="仿宋_GB2312" w:eastAsia="仿宋_GB2312"/>
          <w:sz w:val="32"/>
          <w:szCs w:val="32"/>
        </w:rPr>
      </w:pPr>
      <w:r>
        <w:rPr>
          <w:rFonts w:hint="eastAsia" w:ascii="仿宋_GB2312" w:eastAsia="仿宋_GB2312"/>
          <w:sz w:val="32"/>
          <w:szCs w:val="32"/>
        </w:rPr>
        <w:t>410   无极县统计局                                                          单位：万元</w:t>
      </w:r>
    </w:p>
    <w:tbl>
      <w:tblPr>
        <w:tblStyle w:val="5"/>
        <w:tblW w:w="141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vAlign w:val="center"/>
          </w:tcPr>
          <w:p>
            <w:pPr>
              <w:jc w:val="center"/>
              <w:rPr>
                <w:rFonts w:ascii="仿宋_GB2312" w:eastAsia="仿宋_GB2312"/>
                <w:szCs w:val="32"/>
              </w:rPr>
            </w:pPr>
            <w:r>
              <w:rPr>
                <w:rFonts w:hint="eastAsia" w:ascii="仿宋_GB2312" w:eastAsia="仿宋_GB2312"/>
                <w:szCs w:val="32"/>
              </w:rPr>
              <w:t>政府采购项目来源</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采购物品名称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政府采购目录序号</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数量单位</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w:t>
            </w: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单价</w:t>
            </w:r>
          </w:p>
        </w:tc>
        <w:tc>
          <w:tcPr>
            <w:tcW w:w="7017" w:type="dxa"/>
            <w:gridSpan w:val="7"/>
            <w:vAlign w:val="center"/>
          </w:tcPr>
          <w:p>
            <w:pPr>
              <w:jc w:val="center"/>
              <w:rPr>
                <w:rFonts w:ascii="仿宋_GB2312" w:eastAsia="仿宋_GB2312"/>
                <w:szCs w:val="32"/>
              </w:rPr>
            </w:pPr>
            <w:r>
              <w:rPr>
                <w:rFonts w:hint="eastAsia" w:ascii="仿宋_GB2312" w:eastAsia="仿宋_GB2312"/>
                <w:szCs w:val="32"/>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vAlign w:val="center"/>
          </w:tcPr>
          <w:p>
            <w:pPr>
              <w:jc w:val="center"/>
              <w:rPr>
                <w:rFonts w:ascii="仿宋_GB2312" w:eastAsia="仿宋_GB2312"/>
                <w:szCs w:val="32"/>
              </w:rPr>
            </w:pPr>
            <w:r>
              <w:rPr>
                <w:rFonts w:hint="eastAsia" w:ascii="仿宋_GB2312" w:eastAsia="仿宋_GB2312"/>
                <w:szCs w:val="32"/>
              </w:rPr>
              <w:t>项目名称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预算资金</w:t>
            </w: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总计</w:t>
            </w:r>
          </w:p>
        </w:tc>
        <w:tc>
          <w:tcPr>
            <w:tcW w:w="4995" w:type="dxa"/>
            <w:gridSpan w:val="5"/>
            <w:vAlign w:val="center"/>
          </w:tcPr>
          <w:p>
            <w:pPr>
              <w:jc w:val="center"/>
              <w:rPr>
                <w:rFonts w:ascii="仿宋_GB2312" w:eastAsia="仿宋_GB2312"/>
                <w:szCs w:val="32"/>
              </w:rPr>
            </w:pPr>
            <w:r>
              <w:rPr>
                <w:rFonts w:hint="eastAsia" w:ascii="仿宋_GB2312" w:eastAsia="仿宋_GB2312"/>
                <w:szCs w:val="32"/>
              </w:rPr>
              <w:t>当年部门预算安排资金</w:t>
            </w:r>
          </w:p>
        </w:tc>
        <w:tc>
          <w:tcPr>
            <w:tcW w:w="1002" w:type="dxa"/>
            <w:vMerge w:val="restart"/>
            <w:vAlign w:val="center"/>
          </w:tcPr>
          <w:p>
            <w:pPr>
              <w:jc w:val="center"/>
              <w:rPr>
                <w:rFonts w:ascii="仿宋_GB2312" w:eastAsia="仿宋_GB2312"/>
                <w:szCs w:val="32"/>
              </w:rPr>
            </w:pPr>
            <w:r>
              <w:rPr>
                <w:rFonts w:hint="eastAsia" w:ascii="仿宋_GB2312" w:eastAsia="仿宋_GB2312"/>
                <w:szCs w:val="32"/>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r>
              <w:rPr>
                <w:rFonts w:hint="eastAsia" w:ascii="仿宋_GB2312" w:eastAsia="仿宋_GB2312"/>
                <w:szCs w:val="32"/>
              </w:rPr>
              <w:t>合计</w:t>
            </w:r>
          </w:p>
        </w:tc>
        <w:tc>
          <w:tcPr>
            <w:tcW w:w="1020" w:type="dxa"/>
            <w:vAlign w:val="center"/>
          </w:tcPr>
          <w:p>
            <w:pPr>
              <w:jc w:val="center"/>
              <w:rPr>
                <w:rFonts w:ascii="仿宋_GB2312" w:eastAsia="仿宋_GB2312"/>
                <w:szCs w:val="32"/>
              </w:rPr>
            </w:pPr>
            <w:r>
              <w:rPr>
                <w:rFonts w:hint="eastAsia" w:ascii="仿宋_GB2312" w:eastAsia="仿宋_GB2312"/>
                <w:szCs w:val="32"/>
              </w:rPr>
              <w:t>一般公共预算拨款</w:t>
            </w:r>
          </w:p>
        </w:tc>
        <w:tc>
          <w:tcPr>
            <w:tcW w:w="1007" w:type="dxa"/>
            <w:vAlign w:val="center"/>
          </w:tcPr>
          <w:p>
            <w:pPr>
              <w:jc w:val="center"/>
              <w:rPr>
                <w:rFonts w:ascii="仿宋_GB2312" w:eastAsia="仿宋_GB2312"/>
                <w:szCs w:val="32"/>
              </w:rPr>
            </w:pPr>
            <w:r>
              <w:rPr>
                <w:rFonts w:hint="eastAsia" w:ascii="仿宋_GB2312" w:eastAsia="仿宋_GB2312"/>
                <w:szCs w:val="32"/>
              </w:rPr>
              <w:t>基金预算拨款</w:t>
            </w:r>
          </w:p>
        </w:tc>
        <w:tc>
          <w:tcPr>
            <w:tcW w:w="998" w:type="dxa"/>
            <w:vAlign w:val="center"/>
          </w:tcPr>
          <w:p>
            <w:pPr>
              <w:jc w:val="center"/>
              <w:rPr>
                <w:rFonts w:ascii="仿宋_GB2312" w:eastAsia="仿宋_GB2312"/>
                <w:szCs w:val="32"/>
              </w:rPr>
            </w:pPr>
            <w:r>
              <w:rPr>
                <w:rFonts w:hint="eastAsia" w:ascii="仿宋_GB2312" w:eastAsia="仿宋_GB2312"/>
                <w:szCs w:val="32"/>
              </w:rPr>
              <w:t>财政专户核拨</w:t>
            </w:r>
          </w:p>
        </w:tc>
        <w:tc>
          <w:tcPr>
            <w:tcW w:w="950" w:type="dxa"/>
            <w:vAlign w:val="center"/>
          </w:tcPr>
          <w:p>
            <w:pPr>
              <w:jc w:val="center"/>
              <w:rPr>
                <w:rFonts w:ascii="仿宋_GB2312" w:eastAsia="仿宋_GB2312"/>
                <w:szCs w:val="32"/>
              </w:rPr>
            </w:pPr>
            <w:r>
              <w:rPr>
                <w:rFonts w:hint="eastAsia" w:ascii="仿宋_GB2312" w:eastAsia="仿宋_GB2312"/>
                <w:szCs w:val="32"/>
              </w:rPr>
              <w:t>其他来源收入</w:t>
            </w:r>
          </w:p>
        </w:tc>
        <w:tc>
          <w:tcPr>
            <w:tcW w:w="1002" w:type="dxa"/>
            <w:vMerge w:val="continue"/>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bl>
    <w:p>
      <w:pPr>
        <w:jc w:val="left"/>
        <w:rPr>
          <w:rFonts w:ascii="仿宋_GB2312" w:eastAsia="仿宋_GB2312"/>
          <w:sz w:val="32"/>
          <w:szCs w:val="32"/>
        </w:rPr>
      </w:pPr>
      <w:r>
        <w:rPr>
          <w:rFonts w:hint="eastAsia" w:ascii="仿宋_GB2312" w:eastAsia="仿宋_GB2312"/>
          <w:sz w:val="32"/>
          <w:szCs w:val="32"/>
        </w:rPr>
        <w:t>注：我单位无政府采购，空表列示。</w:t>
      </w:r>
    </w:p>
    <w:p>
      <w:pPr>
        <w:autoSpaceDE w:val="0"/>
        <w:autoSpaceDN w:val="0"/>
        <w:adjustRightInd w:val="0"/>
        <w:jc w:val="left"/>
        <w:rPr>
          <w:rFonts w:ascii="黑体" w:hAnsi="黑体" w:eastAsia="黑体" w:cs="黑体"/>
          <w:sz w:val="32"/>
          <w:szCs w:val="32"/>
        </w:rPr>
      </w:pPr>
    </w:p>
    <w:p>
      <w:pPr>
        <w:ind w:firstLine="688" w:firstLineChars="215"/>
        <w:rPr>
          <w:rFonts w:ascii="宋体" w:hAnsi="宋体" w:cs="宋体"/>
          <w:b/>
          <w:bCs/>
          <w:sz w:val="44"/>
          <w:szCs w:val="44"/>
        </w:rPr>
      </w:pPr>
      <w:r>
        <w:rPr>
          <w:rFonts w:hint="eastAsia" w:ascii="黑体" w:hAnsi="黑体" w:eastAsia="黑体" w:cs="黑体"/>
          <w:sz w:val="32"/>
          <w:szCs w:val="32"/>
        </w:rPr>
        <w:t>七、国有资产信息</w:t>
      </w:r>
    </w:p>
    <w:p>
      <w:pPr>
        <w:pStyle w:val="9"/>
        <w:ind w:firstLine="640" w:firstLineChars="200"/>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无极县统计局上年末固定资产为55.32818万元（详见下表）。本年度拟购置固定资产为0万元。</w:t>
      </w:r>
    </w:p>
    <w:tbl>
      <w:tblPr>
        <w:tblStyle w:val="5"/>
        <w:tblW w:w="10575" w:type="dxa"/>
        <w:tblInd w:w="1778" w:type="dxa"/>
        <w:tblLayout w:type="fixed"/>
        <w:tblCellMar>
          <w:top w:w="0" w:type="dxa"/>
          <w:left w:w="108" w:type="dxa"/>
          <w:bottom w:w="0" w:type="dxa"/>
          <w:right w:w="108" w:type="dxa"/>
        </w:tblCellMar>
      </w:tblPr>
      <w:tblGrid>
        <w:gridCol w:w="3975"/>
        <w:gridCol w:w="1890"/>
        <w:gridCol w:w="4710"/>
      </w:tblGrid>
      <w:tr>
        <w:tblPrEx>
          <w:tblCellMar>
            <w:top w:w="0" w:type="dxa"/>
            <w:left w:w="108" w:type="dxa"/>
            <w:bottom w:w="0" w:type="dxa"/>
            <w:right w:w="108" w:type="dxa"/>
          </w:tblCellMar>
        </w:tblPrEx>
        <w:trPr>
          <w:trHeight w:val="705" w:hRule="atLeast"/>
        </w:trPr>
        <w:tc>
          <w:tcPr>
            <w:tcW w:w="10575" w:type="dxa"/>
            <w:gridSpan w:val="3"/>
            <w:tcBorders>
              <w:top w:val="nil"/>
              <w:left w:val="nil"/>
              <w:bottom w:val="nil"/>
              <w:right w:val="nil"/>
            </w:tcBorders>
            <w:vAlign w:val="center"/>
          </w:tcPr>
          <w:p>
            <w:pPr>
              <w:widowControl/>
              <w:jc w:val="center"/>
              <w:rPr>
                <w:rFonts w:ascii="仿宋_GB2312" w:hAnsi="仿宋_GB2312" w:eastAsia="仿宋_GB2312" w:cs="仿宋_GB2312"/>
                <w:b/>
                <w:bCs/>
                <w:kern w:val="0"/>
                <w:sz w:val="32"/>
                <w:szCs w:val="32"/>
              </w:rPr>
            </w:pPr>
            <w:r>
              <w:rPr>
                <w:rFonts w:hint="eastAsia" w:ascii="仿宋_GB2312" w:hAnsi="仿宋_GB2312" w:eastAsia="仿宋_GB2312" w:cs="仿宋_GB2312"/>
                <w:kern w:val="0"/>
                <w:sz w:val="32"/>
                <w:szCs w:val="32"/>
              </w:rPr>
              <w:t>无极县统计局固定资产占用情况表</w:t>
            </w:r>
          </w:p>
        </w:tc>
      </w:tr>
      <w:tr>
        <w:tblPrEx>
          <w:tblCellMar>
            <w:top w:w="0" w:type="dxa"/>
            <w:left w:w="108" w:type="dxa"/>
            <w:bottom w:w="0" w:type="dxa"/>
            <w:right w:w="108" w:type="dxa"/>
          </w:tblCellMar>
        </w:tblPrEx>
        <w:trPr>
          <w:trHeight w:val="510" w:hRule="atLeast"/>
        </w:trPr>
        <w:tc>
          <w:tcPr>
            <w:tcW w:w="5865" w:type="dxa"/>
            <w:gridSpan w:val="2"/>
            <w:tcBorders>
              <w:top w:val="nil"/>
              <w:left w:val="nil"/>
              <w:bottom w:val="nil"/>
              <w:right w:val="nil"/>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编制部门：</w:t>
            </w:r>
            <w:r>
              <w:rPr>
                <w:rFonts w:hint="eastAsia" w:ascii="仿宋_GB2312" w:hAnsi="仿宋_GB2312" w:eastAsia="仿宋_GB2312" w:cs="仿宋_GB2312"/>
                <w:sz w:val="32"/>
                <w:szCs w:val="32"/>
              </w:rPr>
              <w:t>无极县统计局</w:t>
            </w:r>
          </w:p>
        </w:tc>
        <w:tc>
          <w:tcPr>
            <w:tcW w:w="4710" w:type="dxa"/>
            <w:tcBorders>
              <w:top w:val="nil"/>
              <w:left w:val="nil"/>
              <w:bottom w:val="nil"/>
              <w:right w:val="nil"/>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截止时间：2018年12月31日  </w:t>
            </w:r>
          </w:p>
        </w:tc>
      </w:tr>
      <w:tr>
        <w:tblPrEx>
          <w:tblCellMar>
            <w:top w:w="0" w:type="dxa"/>
            <w:left w:w="108" w:type="dxa"/>
            <w:bottom w:w="0" w:type="dxa"/>
            <w:right w:w="108" w:type="dxa"/>
          </w:tblCellMar>
        </w:tblPrEx>
        <w:trPr>
          <w:trHeight w:val="645" w:hRule="atLeast"/>
        </w:trPr>
        <w:tc>
          <w:tcPr>
            <w:tcW w:w="397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项   目</w:t>
            </w:r>
          </w:p>
        </w:tc>
        <w:tc>
          <w:tcPr>
            <w:tcW w:w="1890" w:type="dxa"/>
            <w:tcBorders>
              <w:top w:val="single" w:color="auto" w:sz="4" w:space="0"/>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数量</w:t>
            </w:r>
          </w:p>
        </w:tc>
        <w:tc>
          <w:tcPr>
            <w:tcW w:w="4710" w:type="dxa"/>
            <w:tcBorders>
              <w:top w:val="single" w:color="auto" w:sz="4" w:space="0"/>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价值（金额单位：万元）</w:t>
            </w: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资产总额</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55.32818</w:t>
            </w: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1、房屋（平方米）</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其中：办公用房（平方米）</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2、车辆（台、辆）</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w:t>
            </w: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14.2088</w:t>
            </w: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3、单价在20万元以上设备</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4、其他固定资产</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41.11938</w:t>
            </w:r>
          </w:p>
        </w:tc>
      </w:tr>
    </w:tbl>
    <w:p/>
    <w:p>
      <w:pPr>
        <w:autoSpaceDE w:val="0"/>
        <w:autoSpaceDN w:val="0"/>
        <w:adjustRightInd w:val="0"/>
        <w:jc w:val="left"/>
        <w:rPr>
          <w:rFonts w:ascii="宋体" w:hAnsi="宋体" w:cs="宋体"/>
          <w:b/>
          <w:bCs/>
          <w:sz w:val="44"/>
          <w:szCs w:val="44"/>
        </w:rPr>
      </w:pPr>
    </w:p>
    <w:p>
      <w:pPr>
        <w:autoSpaceDE w:val="0"/>
        <w:autoSpaceDN w:val="0"/>
        <w:adjustRightInd w:val="0"/>
        <w:jc w:val="left"/>
        <w:rPr>
          <w:rFonts w:ascii="黑体" w:hAnsi="黑体" w:eastAsia="黑体" w:cs="黑体"/>
          <w:sz w:val="32"/>
          <w:szCs w:val="32"/>
        </w:rPr>
      </w:pPr>
      <w:r>
        <w:rPr>
          <w:rFonts w:hint="eastAsia" w:ascii="黑体" w:hAnsi="黑体" w:eastAsia="黑体" w:cs="黑体"/>
          <w:sz w:val="32"/>
          <w:szCs w:val="32"/>
        </w:rPr>
        <w:t>八、名词解释</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1.财政拨款收入</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财政拨款收入是指财政部门按照批复的预算核拨给单位的财政预算资金。</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2.基本支出、项目支出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基本支出是指预算单位为保障机构正常运转和完成日常工作而发生的各项支出，包括人员经费和日常公用经费。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项目支出是指在基本支出之外完成特定行政任务和事业发展目标所发生的支出。</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3.一般公共服务支出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一般公共服务支出是指反映预算单位一般公共服务的支出。</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4.文化体育与传媒支出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文化体育与传媒支出是指反映预算单位在文化、文物、体育、广播影视、新闻出版等方面的支出。</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5.社会保障和就业支出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社会保障和就业支出是指预算单位在社会保障和就业方面的支出。</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6.机关运行经费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7.“三公”经费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“三公”经费是指因公出国（境）费、公务用车购置及运行维护费和公务接待费。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因公出国（境）费是指单位公务出国（境）的国际旅费、国外城市间交通费、住宿费、伙食费、培训费、公杂费等支出。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公务用车购置及运行维护费是指单位购置公务用车及公务用车租用费、燃料费、维修费、路桥费、保险费等支出。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公务接待费是指单位按规定开支的各类公务接待（含外宾接待）费用。</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9、上年结转：指以前年度尚未完成、结转到本年仍按原规定用途继续使用的资金。</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10、事业单位经营支出：指事业单位在专业业务活动及其辅助活动之外开展非独立核算经营活动发生的支出。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_GB2312" w:hAnsi="仿宋_GB2312" w:eastAsia="仿宋_GB2312" w:cs="仿宋_GB2312"/>
          <w:sz w:val="32"/>
          <w:szCs w:val="32"/>
        </w:rPr>
      </w:pPr>
      <w:r>
        <w:rPr>
          <w:rFonts w:hint="eastAsia" w:ascii="仿宋_GB2312" w:hAnsi="仿宋_GB2312" w:eastAsia="仿宋_GB2312" w:cs="仿宋_GB2312"/>
          <w:sz w:val="32"/>
          <w:szCs w:val="32"/>
        </w:rPr>
        <w:t>我部门无其他需要说明的</w:t>
      </w:r>
    </w:p>
    <w:sectPr>
      <w:headerReference r:id="rId4" w:type="default"/>
      <w:pgSz w:w="16839" w:h="11907" w:orient="landscape"/>
      <w:pgMar w:top="1020" w:right="1361" w:bottom="1020" w:left="136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楷体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4"/>
      </w:pPr>
      <w:r>
        <w:rPr>
          <w:rStyle w:val="7"/>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B"/>
    <w:multiLevelType w:val="singleLevel"/>
    <w:tmpl w:val="0000000B"/>
    <w:lvl w:ilvl="0" w:tentative="0">
      <w:start w:val="2"/>
      <w:numFmt w:val="chineseCounting"/>
      <w:suff w:val="nothing"/>
      <w:lvlText w:val="（%1）"/>
      <w:lvlJc w:val="left"/>
    </w:lvl>
  </w:abstractNum>
  <w:abstractNum w:abstractNumId="1">
    <w:nsid w:val="0000000C"/>
    <w:multiLevelType w:val="singleLevel"/>
    <w:tmpl w:val="0000000C"/>
    <w:lvl w:ilvl="0" w:tentative="0">
      <w:start w:val="1"/>
      <w:numFmt w:val="chineseCounting"/>
      <w:suff w:val="nothing"/>
      <w:lvlText w:val="（%1）"/>
      <w:lvlJc w:val="left"/>
    </w:lvl>
  </w:abstractNum>
  <w:abstractNum w:abstractNumId="2">
    <w:nsid w:val="0000000D"/>
    <w:multiLevelType w:val="singleLevel"/>
    <w:tmpl w:val="0000000D"/>
    <w:lvl w:ilvl="0" w:tentative="0">
      <w:start w:val="3"/>
      <w:numFmt w:val="chineseCounting"/>
      <w:suff w:val="nothing"/>
      <w:lvlText w:val="（%1）"/>
      <w:lvlJc w:val="left"/>
    </w:lvl>
  </w:abstractNum>
  <w:abstractNum w:abstractNumId="3">
    <w:nsid w:val="60A760CE"/>
    <w:multiLevelType w:val="singleLevel"/>
    <w:tmpl w:val="60A760CE"/>
    <w:lvl w:ilvl="0" w:tentative="0">
      <w:start w:val="6"/>
      <w:numFmt w:val="chineseCounting"/>
      <w:suff w:val="nothing"/>
      <w:lvlText w:val="%1、"/>
      <w:lvlJc w:val="left"/>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7D2"/>
    <w:rsid w:val="00010A1E"/>
    <w:rsid w:val="000675AD"/>
    <w:rsid w:val="000C4CE2"/>
    <w:rsid w:val="000F5767"/>
    <w:rsid w:val="00107A80"/>
    <w:rsid w:val="0012674A"/>
    <w:rsid w:val="00175D85"/>
    <w:rsid w:val="001A3EC8"/>
    <w:rsid w:val="003A6B5C"/>
    <w:rsid w:val="004338ED"/>
    <w:rsid w:val="004818AA"/>
    <w:rsid w:val="004961E9"/>
    <w:rsid w:val="004A72BC"/>
    <w:rsid w:val="00561C5A"/>
    <w:rsid w:val="005848C9"/>
    <w:rsid w:val="005A1BF2"/>
    <w:rsid w:val="00632EB9"/>
    <w:rsid w:val="006557D2"/>
    <w:rsid w:val="00681EDB"/>
    <w:rsid w:val="00722B68"/>
    <w:rsid w:val="00726ECB"/>
    <w:rsid w:val="007D5B88"/>
    <w:rsid w:val="00855538"/>
    <w:rsid w:val="00873BB7"/>
    <w:rsid w:val="00991C26"/>
    <w:rsid w:val="009976A9"/>
    <w:rsid w:val="009C2F81"/>
    <w:rsid w:val="00A25059"/>
    <w:rsid w:val="00A837C8"/>
    <w:rsid w:val="00AA4480"/>
    <w:rsid w:val="00B81DA2"/>
    <w:rsid w:val="00B942CB"/>
    <w:rsid w:val="00C13E60"/>
    <w:rsid w:val="00C9436B"/>
    <w:rsid w:val="00D066B3"/>
    <w:rsid w:val="00D11D8C"/>
    <w:rsid w:val="00E35DF4"/>
    <w:rsid w:val="00E950F7"/>
    <w:rsid w:val="00EB34CA"/>
    <w:rsid w:val="00F01A05"/>
    <w:rsid w:val="00F1002F"/>
    <w:rsid w:val="00FD1C0C"/>
    <w:rsid w:val="00FF7432"/>
    <w:rsid w:val="047F776A"/>
    <w:rsid w:val="097A01BA"/>
    <w:rsid w:val="11C32131"/>
    <w:rsid w:val="12E14BFB"/>
    <w:rsid w:val="3CBE2B50"/>
    <w:rsid w:val="3FDF1F9D"/>
    <w:rsid w:val="474A0370"/>
    <w:rsid w:val="4E076D0E"/>
    <w:rsid w:val="57384008"/>
    <w:rsid w:val="5EED1817"/>
    <w:rsid w:val="668D4A2C"/>
    <w:rsid w:val="73950339"/>
    <w:rsid w:val="E7FEC29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0"/>
    <w:pPr>
      <w:tabs>
        <w:tab w:val="center" w:pos="4153"/>
        <w:tab w:val="right" w:pos="8306"/>
      </w:tabs>
      <w:snapToGrid w:val="0"/>
      <w:jc w:val="left"/>
    </w:pPr>
    <w:rPr>
      <w:kern w:val="0"/>
      <w:sz w:val="18"/>
      <w:szCs w:val="18"/>
    </w:rPr>
  </w:style>
  <w:style w:type="paragraph" w:styleId="3">
    <w:name w:val="header"/>
    <w:basedOn w:val="1"/>
    <w:link w:val="10"/>
    <w:qFormat/>
    <w:uiPriority w:val="0"/>
    <w:pPr>
      <w:pBdr>
        <w:bottom w:val="single" w:color="auto" w:sz="6" w:space="1"/>
      </w:pBdr>
      <w:tabs>
        <w:tab w:val="center" w:pos="4153"/>
        <w:tab w:val="right" w:pos="8306"/>
      </w:tabs>
      <w:snapToGrid w:val="0"/>
      <w:jc w:val="center"/>
    </w:pPr>
    <w:rPr>
      <w:kern w:val="0"/>
      <w:sz w:val="18"/>
      <w:szCs w:val="18"/>
    </w:rPr>
  </w:style>
  <w:style w:type="paragraph" w:styleId="4">
    <w:name w:val="footnote text"/>
    <w:basedOn w:val="1"/>
    <w:link w:val="12"/>
    <w:semiHidden/>
    <w:uiPriority w:val="0"/>
    <w:pPr>
      <w:snapToGrid w:val="0"/>
      <w:jc w:val="left"/>
    </w:pPr>
    <w:rPr>
      <w:sz w:val="18"/>
      <w:szCs w:val="18"/>
    </w:rPr>
  </w:style>
  <w:style w:type="character" w:styleId="7">
    <w:name w:val="footnote reference"/>
    <w:basedOn w:val="6"/>
    <w:semiHidden/>
    <w:qFormat/>
    <w:uiPriority w:val="0"/>
    <w:rPr>
      <w:vertAlign w:val="superscript"/>
    </w:rPr>
  </w:style>
  <w:style w:type="paragraph" w:customStyle="1" w:styleId="8">
    <w:name w:val="列出段落1"/>
    <w:basedOn w:val="1"/>
    <w:qFormat/>
    <w:uiPriority w:val="0"/>
    <w:pPr>
      <w:ind w:firstLine="420" w:firstLineChars="200"/>
    </w:pPr>
  </w:style>
  <w:style w:type="paragraph" w:customStyle="1" w:styleId="9">
    <w:name w:val="[Normal]"/>
    <w:qFormat/>
    <w:uiPriority w:val="0"/>
    <w:rPr>
      <w:rFonts w:ascii="宋体" w:hAnsi="Times New Roman" w:eastAsia="宋体" w:cs="Calibri"/>
      <w:sz w:val="24"/>
      <w:lang w:val="en-US" w:eastAsia="en-US" w:bidi="ar-SA"/>
    </w:rPr>
  </w:style>
  <w:style w:type="character" w:customStyle="1" w:styleId="10">
    <w:name w:val="页眉 Char"/>
    <w:link w:val="3"/>
    <w:semiHidden/>
    <w:qFormat/>
    <w:uiPriority w:val="0"/>
    <w:rPr>
      <w:rFonts w:ascii="Times New Roman" w:hAnsi="Times New Roman" w:eastAsia="宋体" w:cs="Times New Roman"/>
      <w:sz w:val="18"/>
      <w:szCs w:val="18"/>
    </w:rPr>
  </w:style>
  <w:style w:type="character" w:customStyle="1" w:styleId="11">
    <w:name w:val="页脚 Char"/>
    <w:link w:val="2"/>
    <w:semiHidden/>
    <w:qFormat/>
    <w:uiPriority w:val="0"/>
    <w:rPr>
      <w:rFonts w:ascii="Times New Roman" w:hAnsi="Times New Roman" w:eastAsia="宋体" w:cs="Times New Roman"/>
      <w:sz w:val="18"/>
      <w:szCs w:val="18"/>
    </w:rPr>
  </w:style>
  <w:style w:type="character" w:customStyle="1" w:styleId="12">
    <w:name w:val="脚注文本 Char"/>
    <w:basedOn w:val="6"/>
    <w:link w:val="4"/>
    <w:semiHidden/>
    <w:uiPriority w:val="0"/>
    <w:rPr>
      <w:rFonts w:ascii="Times New Roman" w:hAnsi="Times New Roman" w:cs="Times New Roman"/>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14</Pages>
  <Words>939</Words>
  <Characters>5353</Characters>
  <Lines>44</Lines>
  <Paragraphs>12</Paragraphs>
  <TotalTime>6</TotalTime>
  <ScaleCrop>false</ScaleCrop>
  <LinksUpToDate>false</LinksUpToDate>
  <CharactersWithSpaces>6280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2017-08-22T09:42:00Z</dcterms:created>
  <dc:creator>微软用户</dc:creator>
  <cp:lastModifiedBy>Administrator</cp:lastModifiedBy>
  <dcterms:modified xsi:type="dcterms:W3CDTF">2024-01-31T04:52:23Z</dcterms:modified>
  <dc:title>微软用户</dc:title>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5B17BB32B796492D8A7426C4A919A95F</vt:lpwstr>
  </property>
</Properties>
</file>