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bookmarkStart w:id="0" w:name="_GoBack"/>
      <w:bookmarkEnd w:id="0"/>
    </w:p>
    <w:p>
      <w:pPr>
        <w:ind w:firstLine="4996" w:firstLineChars="1131"/>
        <w:rPr>
          <w:rFonts w:ascii="宋体" w:hAnsi="宋体" w:cs="宋体"/>
          <w:b/>
          <w:bCs/>
          <w:sz w:val="44"/>
          <w:szCs w:val="44"/>
        </w:rPr>
      </w:pPr>
      <w:r>
        <w:rPr>
          <w:rFonts w:hint="eastAsia" w:ascii="宋体" w:hAnsi="宋体" w:cs="宋体"/>
          <w:b/>
          <w:bCs/>
          <w:sz w:val="44"/>
          <w:szCs w:val="44"/>
        </w:rPr>
        <w:t>无极县农林畜牧局</w:t>
      </w:r>
    </w:p>
    <w:p>
      <w:pPr>
        <w:jc w:val="center"/>
        <w:rPr>
          <w:rFonts w:ascii="宋体" w:hAnsi="宋体" w:cs="宋体"/>
          <w:b/>
          <w:bCs/>
          <w:sz w:val="44"/>
          <w:szCs w:val="44"/>
        </w:rPr>
      </w:pPr>
      <w:r>
        <w:rPr>
          <w:rFonts w:hint="eastAsia" w:ascii="宋体" w:hAnsi="宋体" w:cs="宋体"/>
          <w:b/>
          <w:bCs/>
          <w:sz w:val="44"/>
          <w:szCs w:val="44"/>
        </w:rPr>
        <w:t>2017年部门预算信息公开说明目录</w:t>
      </w:r>
    </w:p>
    <w:p/>
    <w:p/>
    <w:p>
      <w:pPr>
        <w:ind w:firstLine="640" w:firstLineChars="200"/>
        <w:rPr>
          <w:rFonts w:ascii="宋体" w:hAns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hAns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hAns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hAns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hAnsi="宋体"/>
          <w:sz w:val="32"/>
          <w:szCs w:val="32"/>
        </w:rPr>
      </w:pPr>
      <w:r>
        <w:rPr>
          <w:rFonts w:hint="eastAsia" w:ascii="宋体" w:hAnsi="宋体" w:cs="仿宋_GB2312"/>
          <w:sz w:val="32"/>
          <w:szCs w:val="32"/>
        </w:rPr>
        <w:t>九、其他需要说明的事项</w:t>
      </w:r>
    </w:p>
    <w:p/>
    <w:p>
      <w:pPr>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《中华人民共和国预算法》</w:t>
      </w:r>
      <w:r>
        <w:rPr>
          <w:rFonts w:hint="eastAsia" w:ascii="仿宋" w:hAnsi="仿宋" w:eastAsia="仿宋" w:cs="仿宋"/>
          <w:sz w:val="32"/>
          <w:szCs w:val="32"/>
        </w:rPr>
        <w:t>、《地方预决算公开操作规程》和《河北省省级预算公开办法》规定，现将无极县农林畜牧局2017年部门预算公开如下：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560"/>
        <w:rPr>
          <w:rFonts w:ascii="仿宋" w:hAnsi="仿宋" w:eastAsia="仿宋"/>
          <w:sz w:val="32"/>
          <w:szCs w:val="32"/>
        </w:rPr>
      </w:pPr>
      <w:r>
        <w:rPr>
          <w:rFonts w:ascii="仿宋" w:hAnsi="仿宋" w:eastAsia="仿宋"/>
          <w:sz w:val="32"/>
          <w:szCs w:val="32"/>
        </w:rPr>
        <w:t>无极县农林畜牧局是县政府主管全县农业、农村、农机、林业、畜牧工作的职能部门，主要职能是：</w:t>
      </w:r>
    </w:p>
    <w:p>
      <w:pPr>
        <w:ind w:firstLine="720" w:firstLineChars="225"/>
        <w:rPr>
          <w:rFonts w:ascii="仿宋" w:hAnsi="仿宋" w:eastAsia="仿宋"/>
          <w:sz w:val="32"/>
          <w:szCs w:val="32"/>
        </w:rPr>
      </w:pPr>
      <w:r>
        <w:rPr>
          <w:rFonts w:ascii="仿宋" w:hAnsi="仿宋" w:eastAsia="仿宋"/>
          <w:sz w:val="32"/>
          <w:szCs w:val="32"/>
        </w:rPr>
        <w:t>1</w:t>
      </w:r>
      <w:r>
        <w:rPr>
          <w:rFonts w:hint="eastAsia" w:ascii="仿宋" w:hAnsi="仿宋" w:eastAsia="仿宋"/>
          <w:sz w:val="32"/>
          <w:szCs w:val="32"/>
        </w:rPr>
        <w:t>.</w:t>
      </w:r>
      <w:r>
        <w:rPr>
          <w:rFonts w:ascii="仿宋" w:hAnsi="仿宋" w:eastAsia="仿宋"/>
          <w:sz w:val="32"/>
          <w:szCs w:val="32"/>
        </w:rPr>
        <w:t>参与研究拟定全县农业和农村经济的发展规划及农业产业的有关政策。</w:t>
      </w:r>
    </w:p>
    <w:p>
      <w:pPr>
        <w:ind w:firstLine="560"/>
        <w:rPr>
          <w:rFonts w:ascii="仿宋" w:hAnsi="仿宋" w:eastAsia="仿宋"/>
          <w:sz w:val="32"/>
          <w:szCs w:val="32"/>
        </w:rPr>
      </w:pPr>
      <w:r>
        <w:rPr>
          <w:rFonts w:ascii="仿宋" w:eastAsia="仿宋"/>
          <w:sz w:val="32"/>
          <w:szCs w:val="32"/>
        </w:rPr>
        <w:t>  </w:t>
      </w:r>
      <w:r>
        <w:rPr>
          <w:rFonts w:ascii="仿宋" w:hAnsi="仿宋" w:eastAsia="仿宋"/>
          <w:sz w:val="32"/>
          <w:szCs w:val="32"/>
        </w:rPr>
        <w:t>2</w:t>
      </w:r>
      <w:r>
        <w:rPr>
          <w:rFonts w:hint="eastAsia" w:ascii="仿宋" w:hAnsi="仿宋" w:eastAsia="仿宋"/>
          <w:sz w:val="32"/>
          <w:szCs w:val="32"/>
        </w:rPr>
        <w:t>.</w:t>
      </w:r>
      <w:r>
        <w:rPr>
          <w:rFonts w:ascii="仿宋" w:hAnsi="仿宋" w:eastAsia="仿宋"/>
          <w:sz w:val="32"/>
          <w:szCs w:val="32"/>
        </w:rPr>
        <w:t>研究提出全县种植业发展规划及重大技术措施并组织实施；指导农业种植业结构的合理调整和农业资源的合理配置。</w:t>
      </w:r>
    </w:p>
    <w:p>
      <w:pPr>
        <w:ind w:firstLine="560"/>
        <w:rPr>
          <w:rFonts w:ascii="仿宋" w:hAnsi="仿宋" w:eastAsia="仿宋"/>
          <w:sz w:val="32"/>
          <w:szCs w:val="32"/>
        </w:rPr>
      </w:pPr>
      <w:r>
        <w:rPr>
          <w:rFonts w:ascii="仿宋" w:eastAsia="仿宋"/>
          <w:sz w:val="32"/>
          <w:szCs w:val="32"/>
        </w:rPr>
        <w:t>  </w:t>
      </w:r>
      <w:r>
        <w:rPr>
          <w:rFonts w:ascii="仿宋" w:hAnsi="仿宋" w:eastAsia="仿宋"/>
          <w:sz w:val="32"/>
          <w:szCs w:val="32"/>
        </w:rPr>
        <w:t>3</w:t>
      </w:r>
      <w:r>
        <w:rPr>
          <w:rFonts w:hint="eastAsia" w:ascii="仿宋" w:hAnsi="仿宋" w:eastAsia="仿宋"/>
          <w:sz w:val="32"/>
          <w:szCs w:val="32"/>
        </w:rPr>
        <w:t>.</w:t>
      </w:r>
      <w:r>
        <w:rPr>
          <w:rFonts w:ascii="仿宋" w:hAnsi="仿宋" w:eastAsia="仿宋"/>
          <w:sz w:val="32"/>
          <w:szCs w:val="32"/>
        </w:rPr>
        <w:t>参与指导农村经济体制改革，指导农业社会化服务体系建设和乡村集体经济组织、合作经济组织建设；稳定和完善农村基本经营制度和政策，调节农村经济利益关系，指导、监督农民负担和农村财务工作。</w:t>
      </w:r>
    </w:p>
    <w:p>
      <w:pPr>
        <w:ind w:firstLine="560"/>
        <w:rPr>
          <w:rFonts w:ascii="仿宋" w:hAnsi="仿宋" w:eastAsia="仿宋"/>
          <w:sz w:val="32"/>
          <w:szCs w:val="32"/>
        </w:rPr>
      </w:pPr>
      <w:r>
        <w:rPr>
          <w:rFonts w:ascii="仿宋" w:eastAsia="仿宋"/>
          <w:sz w:val="32"/>
          <w:szCs w:val="32"/>
        </w:rPr>
        <w:t> </w:t>
      </w:r>
      <w:r>
        <w:rPr>
          <w:rFonts w:ascii="仿宋" w:hAnsi="仿宋" w:eastAsia="仿宋"/>
          <w:sz w:val="32"/>
          <w:szCs w:val="32"/>
        </w:rPr>
        <w:t>4</w:t>
      </w:r>
      <w:r>
        <w:rPr>
          <w:rFonts w:hint="eastAsia" w:ascii="仿宋" w:hAnsi="仿宋" w:eastAsia="仿宋"/>
          <w:sz w:val="32"/>
          <w:szCs w:val="32"/>
        </w:rPr>
        <w:t>.</w:t>
      </w:r>
      <w:r>
        <w:rPr>
          <w:rFonts w:ascii="仿宋" w:hAnsi="仿宋" w:eastAsia="仿宋"/>
          <w:sz w:val="32"/>
          <w:szCs w:val="32"/>
        </w:rPr>
        <w:t>参与大宗农产品产地批发市场建设和农业信息网络建设，预测、发布农产品及农业生产资料供求情况等农村经济信息。</w:t>
      </w:r>
    </w:p>
    <w:p>
      <w:pPr>
        <w:ind w:firstLine="560"/>
        <w:rPr>
          <w:rFonts w:ascii="仿宋" w:hAnsi="仿宋" w:eastAsia="仿宋"/>
          <w:sz w:val="32"/>
          <w:szCs w:val="32"/>
        </w:rPr>
      </w:pPr>
      <w:r>
        <w:rPr>
          <w:rFonts w:ascii="仿宋" w:eastAsia="仿宋"/>
          <w:sz w:val="32"/>
          <w:szCs w:val="32"/>
        </w:rPr>
        <w:t> </w:t>
      </w:r>
      <w:r>
        <w:rPr>
          <w:rFonts w:ascii="仿宋" w:hAnsi="仿宋" w:eastAsia="仿宋"/>
          <w:sz w:val="32"/>
          <w:szCs w:val="32"/>
        </w:rPr>
        <w:t>5</w:t>
      </w:r>
      <w:r>
        <w:rPr>
          <w:rFonts w:hint="eastAsia" w:ascii="仿宋" w:hAnsi="仿宋" w:eastAsia="仿宋"/>
          <w:sz w:val="32"/>
          <w:szCs w:val="32"/>
        </w:rPr>
        <w:t>.</w:t>
      </w:r>
      <w:r>
        <w:rPr>
          <w:rFonts w:ascii="仿宋" w:hAnsi="仿宋" w:eastAsia="仿宋"/>
          <w:sz w:val="32"/>
          <w:szCs w:val="32"/>
        </w:rPr>
        <w:t>组织实施生态农业和农业环境保护工作；指导农用土地及农村可再生能源开发利用和农业生物物种资源保护与管理，拟定主管产业技术标准并组织实施；对主管产业产品、绿色食品、无公害农产品进行质量监督、组织认证和农业植物品种保护工作。</w:t>
      </w:r>
    </w:p>
    <w:p>
      <w:pPr>
        <w:ind w:firstLine="560"/>
        <w:rPr>
          <w:rFonts w:ascii="仿宋" w:hAnsi="仿宋" w:eastAsia="仿宋"/>
          <w:sz w:val="32"/>
          <w:szCs w:val="32"/>
        </w:rPr>
      </w:pPr>
      <w:r>
        <w:rPr>
          <w:rFonts w:ascii="仿宋" w:eastAsia="仿宋"/>
          <w:sz w:val="32"/>
          <w:szCs w:val="32"/>
        </w:rPr>
        <w:t>  </w:t>
      </w:r>
      <w:r>
        <w:rPr>
          <w:rFonts w:ascii="仿宋" w:hAnsi="仿宋" w:eastAsia="仿宋"/>
          <w:sz w:val="32"/>
          <w:szCs w:val="32"/>
        </w:rPr>
        <w:t>6</w:t>
      </w:r>
      <w:r>
        <w:rPr>
          <w:rFonts w:hint="eastAsia" w:ascii="仿宋" w:hAnsi="仿宋" w:eastAsia="仿宋"/>
          <w:sz w:val="32"/>
          <w:szCs w:val="32"/>
        </w:rPr>
        <w:t>.</w:t>
      </w:r>
      <w:r>
        <w:rPr>
          <w:rFonts w:ascii="仿宋" w:hAnsi="仿宋" w:eastAsia="仿宋"/>
          <w:sz w:val="32"/>
          <w:szCs w:val="32"/>
        </w:rPr>
        <w:t>拟定全县农业科技及其队伍建设的发展规划和相关政策，并组织实施；组织重大农业技术推广项目的筛选和实施；并负责农业科技宣传和培训。</w:t>
      </w:r>
    </w:p>
    <w:p>
      <w:pPr>
        <w:ind w:firstLine="720" w:firstLineChars="225"/>
        <w:rPr>
          <w:rFonts w:ascii="仿宋" w:hAnsi="仿宋" w:eastAsia="仿宋"/>
          <w:sz w:val="32"/>
          <w:szCs w:val="32"/>
        </w:rPr>
      </w:pPr>
      <w:r>
        <w:rPr>
          <w:rFonts w:ascii="仿宋" w:hAnsi="仿宋" w:eastAsia="仿宋"/>
          <w:sz w:val="32"/>
          <w:szCs w:val="32"/>
        </w:rPr>
        <w:t>7</w:t>
      </w:r>
      <w:r>
        <w:rPr>
          <w:rFonts w:hint="eastAsia" w:ascii="仿宋" w:hAnsi="仿宋" w:eastAsia="仿宋"/>
          <w:sz w:val="32"/>
          <w:szCs w:val="32"/>
        </w:rPr>
        <w:t>.</w:t>
      </w:r>
      <w:r>
        <w:rPr>
          <w:rFonts w:ascii="仿宋" w:hAnsi="仿宋" w:eastAsia="仿宋"/>
          <w:sz w:val="32"/>
          <w:szCs w:val="32"/>
        </w:rPr>
        <w:t>组织起草农业产业有关的地方性政策法规草案；指导农业行政执法体系建设和法制宣传教育；组织种子、农药等农业生产资料的质量检测、鉴定和执法监督管理；组织、监督、管理全县植物防疫和检疫工作，发布疫情并组织扑灭。</w:t>
      </w:r>
    </w:p>
    <w:p>
      <w:pPr>
        <w:ind w:firstLine="720" w:firstLineChars="225"/>
        <w:rPr>
          <w:rFonts w:ascii="仿宋" w:hAnsi="仿宋" w:eastAsia="仿宋"/>
          <w:sz w:val="32"/>
          <w:szCs w:val="32"/>
        </w:rPr>
      </w:pPr>
      <w:r>
        <w:rPr>
          <w:rFonts w:ascii="仿宋" w:hAnsi="仿宋" w:eastAsia="仿宋"/>
          <w:sz w:val="32"/>
          <w:szCs w:val="32"/>
        </w:rPr>
        <w:t>8</w:t>
      </w:r>
      <w:r>
        <w:rPr>
          <w:rFonts w:hint="eastAsia" w:ascii="仿宋" w:hAnsi="仿宋" w:eastAsia="仿宋"/>
          <w:sz w:val="32"/>
          <w:szCs w:val="32"/>
        </w:rPr>
        <w:t>.</w:t>
      </w:r>
      <w:r>
        <w:rPr>
          <w:rFonts w:ascii="仿宋" w:hAnsi="仿宋" w:eastAsia="仿宋"/>
          <w:sz w:val="32"/>
          <w:szCs w:val="32"/>
        </w:rPr>
        <w:t>负责全县农业机械装备的监督管理和推广服务。</w:t>
      </w:r>
    </w:p>
    <w:p>
      <w:pPr>
        <w:ind w:firstLine="720" w:firstLineChars="225"/>
        <w:rPr>
          <w:rFonts w:ascii="仿宋" w:hAnsi="仿宋" w:eastAsia="仿宋"/>
          <w:sz w:val="32"/>
          <w:szCs w:val="32"/>
        </w:rPr>
      </w:pPr>
      <w:r>
        <w:rPr>
          <w:rFonts w:ascii="仿宋" w:hAnsi="仿宋" w:eastAsia="仿宋"/>
          <w:sz w:val="32"/>
          <w:szCs w:val="32"/>
        </w:rPr>
        <w:t>9</w:t>
      </w:r>
      <w:r>
        <w:rPr>
          <w:rFonts w:hint="eastAsia" w:ascii="仿宋" w:hAnsi="仿宋" w:eastAsia="仿宋"/>
          <w:sz w:val="32"/>
          <w:szCs w:val="32"/>
        </w:rPr>
        <w:t>.</w:t>
      </w:r>
      <w:r>
        <w:rPr>
          <w:rFonts w:ascii="仿宋" w:hAnsi="仿宋" w:eastAsia="仿宋"/>
          <w:sz w:val="32"/>
          <w:szCs w:val="32"/>
        </w:rPr>
        <w:t>组织兽医医政、兽药药政药检工作。</w:t>
      </w:r>
    </w:p>
    <w:p>
      <w:pPr>
        <w:ind w:firstLine="720" w:firstLineChars="225"/>
        <w:rPr>
          <w:rFonts w:ascii="仿宋" w:hAnsi="仿宋" w:eastAsia="仿宋"/>
          <w:sz w:val="32"/>
          <w:szCs w:val="32"/>
        </w:rPr>
      </w:pPr>
      <w:r>
        <w:rPr>
          <w:rFonts w:ascii="仿宋" w:hAnsi="仿宋" w:eastAsia="仿宋"/>
          <w:sz w:val="32"/>
          <w:szCs w:val="32"/>
        </w:rPr>
        <w:t>10</w:t>
      </w:r>
      <w:r>
        <w:rPr>
          <w:rFonts w:hint="eastAsia" w:ascii="仿宋" w:hAnsi="仿宋" w:eastAsia="仿宋"/>
          <w:sz w:val="32"/>
          <w:szCs w:val="32"/>
        </w:rPr>
        <w:t>.</w:t>
      </w:r>
      <w:r>
        <w:rPr>
          <w:rFonts w:ascii="仿宋" w:hAnsi="仿宋" w:eastAsia="仿宋"/>
          <w:sz w:val="32"/>
          <w:szCs w:val="32"/>
        </w:rPr>
        <w:t>组织农业对外经济技术交流与合作工作，负责主管产业项目的管理工作。</w:t>
      </w:r>
    </w:p>
    <w:p>
      <w:pPr>
        <w:ind w:firstLine="720" w:firstLineChars="225"/>
        <w:rPr>
          <w:rFonts w:ascii="仿宋" w:hAnsi="仿宋" w:eastAsia="仿宋"/>
          <w:sz w:val="32"/>
          <w:szCs w:val="32"/>
        </w:rPr>
      </w:pPr>
      <w:r>
        <w:rPr>
          <w:rFonts w:ascii="仿宋" w:hAnsi="仿宋" w:eastAsia="仿宋"/>
          <w:sz w:val="32"/>
          <w:szCs w:val="32"/>
        </w:rPr>
        <w:t>11</w:t>
      </w:r>
      <w:r>
        <w:rPr>
          <w:rFonts w:hint="eastAsia" w:ascii="仿宋" w:hAnsi="仿宋" w:eastAsia="仿宋"/>
          <w:sz w:val="32"/>
          <w:szCs w:val="32"/>
        </w:rPr>
        <w:t>.</w:t>
      </w:r>
      <w:r>
        <w:rPr>
          <w:rFonts w:ascii="仿宋" w:hAnsi="仿宋" w:eastAsia="仿宋"/>
          <w:sz w:val="32"/>
          <w:szCs w:val="32"/>
        </w:rPr>
        <w:t>贯彻执行国家林业工作方针、政策，依照《森林法》及林业管理的有关法规、规章，行使林政法权，保护我县动植物资源。</w:t>
      </w:r>
    </w:p>
    <w:p>
      <w:pPr>
        <w:ind w:firstLine="800" w:firstLineChars="250"/>
        <w:rPr>
          <w:rFonts w:ascii="仿宋" w:hAnsi="仿宋" w:eastAsia="仿宋" w:cs="仿宋_GB2312"/>
          <w:sz w:val="32"/>
          <w:szCs w:val="32"/>
        </w:rPr>
      </w:pPr>
      <w:r>
        <w:rPr>
          <w:rFonts w:ascii="仿宋" w:hAnsi="仿宋" w:eastAsia="仿宋"/>
          <w:sz w:val="32"/>
          <w:szCs w:val="32"/>
        </w:rPr>
        <w:t>12</w:t>
      </w:r>
      <w:r>
        <w:rPr>
          <w:rFonts w:hint="eastAsia" w:ascii="仿宋" w:hAnsi="仿宋" w:eastAsia="仿宋"/>
          <w:sz w:val="32"/>
          <w:szCs w:val="32"/>
        </w:rPr>
        <w:t>.</w:t>
      </w:r>
      <w:r>
        <w:rPr>
          <w:rFonts w:ascii="仿宋" w:hAnsi="仿宋" w:eastAsia="仿宋"/>
          <w:sz w:val="32"/>
          <w:szCs w:val="32"/>
        </w:rPr>
        <w:t>负责局机关及直属单位的组织人事、劳动工资、机构编制工作；负责行业管理，指导有关社团工作</w:t>
      </w:r>
      <w:r>
        <w:rPr>
          <w:rFonts w:hint="eastAsia" w:ascii="仿宋" w:hAnsi="仿宋" w:eastAsia="仿宋"/>
          <w:sz w:val="32"/>
          <w:szCs w:val="32"/>
        </w:rPr>
        <w:t>;</w:t>
      </w:r>
      <w:r>
        <w:rPr>
          <w:rFonts w:ascii="仿宋" w:hAnsi="仿宋" w:eastAsia="仿宋"/>
          <w:sz w:val="32"/>
          <w:szCs w:val="32"/>
        </w:rPr>
        <w:t>承办县政府交办的其它事项。</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sz w:val="32"/>
          <w:szCs w:val="32"/>
        </w:rPr>
      </w:pPr>
      <w:r>
        <w:rPr>
          <w:rFonts w:hint="eastAsia" w:ascii="仿宋" w:hAnsi="仿宋" w:eastAsia="仿宋"/>
          <w:sz w:val="32"/>
          <w:szCs w:val="32"/>
        </w:rPr>
        <w:t>部门机构设置情况</w:t>
      </w:r>
    </w:p>
    <w:tbl>
      <w:tblPr>
        <w:tblStyle w:val="4"/>
        <w:tblW w:w="85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82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827"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353" w:type="dxa"/>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无极县农林畜牧局</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行政</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235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无极县农业技术推广中心</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股级</w:t>
            </w:r>
          </w:p>
        </w:tc>
        <w:tc>
          <w:tcPr>
            <w:tcW w:w="2353" w:type="dxa"/>
            <w:shd w:val="clear" w:color="auto" w:fill="auto"/>
            <w:vAlign w:val="center"/>
          </w:tcPr>
          <w:p>
            <w:pPr>
              <w:spacing w:line="300" w:lineRule="exact"/>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无极县动物卫生监督所</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股级</w:t>
            </w:r>
          </w:p>
        </w:tc>
        <w:tc>
          <w:tcPr>
            <w:tcW w:w="2353" w:type="dxa"/>
            <w:shd w:val="clear" w:color="auto" w:fill="auto"/>
            <w:vAlign w:val="center"/>
          </w:tcPr>
          <w:p>
            <w:pPr>
              <w:spacing w:line="300" w:lineRule="exact"/>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无极县农业执法大队</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股级</w:t>
            </w:r>
          </w:p>
        </w:tc>
        <w:tc>
          <w:tcPr>
            <w:tcW w:w="2353" w:type="dxa"/>
            <w:shd w:val="clear" w:color="auto" w:fill="auto"/>
            <w:vAlign w:val="center"/>
          </w:tcPr>
          <w:p>
            <w:pPr>
              <w:spacing w:line="300" w:lineRule="exact"/>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无极县畜禽定点屠宰执法队</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股级</w:t>
            </w:r>
          </w:p>
        </w:tc>
        <w:tc>
          <w:tcPr>
            <w:tcW w:w="2353" w:type="dxa"/>
            <w:shd w:val="clear" w:color="auto" w:fill="auto"/>
            <w:vAlign w:val="center"/>
          </w:tcPr>
          <w:p>
            <w:pPr>
              <w:spacing w:line="300" w:lineRule="exact"/>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无极县原种场</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股级</w:t>
            </w:r>
          </w:p>
        </w:tc>
        <w:tc>
          <w:tcPr>
            <w:tcW w:w="2353" w:type="dxa"/>
            <w:shd w:val="clear" w:color="auto" w:fill="auto"/>
            <w:vAlign w:val="center"/>
          </w:tcPr>
          <w:p>
            <w:pPr>
              <w:spacing w:line="300" w:lineRule="exact"/>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无极县农广校</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全额事业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股级</w:t>
            </w:r>
          </w:p>
        </w:tc>
        <w:tc>
          <w:tcPr>
            <w:tcW w:w="2353" w:type="dxa"/>
            <w:shd w:val="clear" w:color="auto" w:fill="auto"/>
            <w:vAlign w:val="center"/>
          </w:tcPr>
          <w:p>
            <w:pPr>
              <w:spacing w:line="300" w:lineRule="exact"/>
              <w:rPr>
                <w:rFonts w:ascii="方正书宋_GBK" w:eastAsia="方正书宋_GBK"/>
              </w:rPr>
            </w:pPr>
            <w:r>
              <w:rPr>
                <w:rFonts w:hint="eastAsia" w:ascii="方正书宋_GBK" w:eastAsia="方正书宋_GBK"/>
              </w:rPr>
              <w:t>财政性资金基本保证</w:t>
            </w:r>
          </w:p>
        </w:tc>
      </w:tr>
    </w:tbl>
    <w:p>
      <w:pPr>
        <w:jc w:val="center"/>
        <w:rPr>
          <w:rFonts w:ascii="仿宋" w:hAnsi="仿宋" w:eastAsia="仿宋"/>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ind w:firstLine="600" w:firstLineChars="200"/>
        <w:rPr>
          <w:rFonts w:ascii="楷体" w:hAnsi="楷体" w:eastAsia="楷体" w:cs="仿宋_GB2312"/>
          <w:sz w:val="30"/>
          <w:szCs w:val="30"/>
        </w:rPr>
      </w:pPr>
      <w:r>
        <w:rPr>
          <w:rFonts w:hint="eastAsia" w:ascii="楷体" w:hAnsi="楷体" w:eastAsia="楷体" w:cs="仿宋_GB2312"/>
          <w:sz w:val="30"/>
          <w:szCs w:val="30"/>
        </w:rPr>
        <w:t>（一）收入说明</w:t>
      </w:r>
    </w:p>
    <w:p>
      <w:pPr>
        <w:ind w:firstLine="640" w:firstLineChars="200"/>
        <w:rPr>
          <w:rFonts w:ascii="仿宋" w:hAnsi="仿宋" w:eastAsia="仿宋" w:cs="仿宋_GB2312"/>
          <w:sz w:val="32"/>
          <w:szCs w:val="32"/>
        </w:rPr>
      </w:pPr>
      <w:r>
        <w:rPr>
          <w:rFonts w:hint="eastAsia" w:ascii="仿宋" w:hAnsi="仿宋" w:eastAsia="仿宋" w:cs="仿宋_GB2312"/>
          <w:bCs/>
          <w:sz w:val="32"/>
          <w:szCs w:val="32"/>
        </w:rPr>
        <w:t>2017年预算收入总计4318万元，其中一般公共预算收入4318万元、其他来源收入0万元。</w:t>
      </w:r>
    </w:p>
    <w:p>
      <w:pPr>
        <w:ind w:firstLine="645"/>
        <w:rPr>
          <w:rFonts w:ascii="楷体" w:hAnsi="楷体" w:eastAsia="楷体"/>
          <w:sz w:val="32"/>
          <w:szCs w:val="32"/>
        </w:rPr>
      </w:pPr>
      <w:r>
        <w:rPr>
          <w:rFonts w:hint="eastAsia" w:ascii="楷体" w:hAnsi="楷体" w:eastAsia="楷体"/>
          <w:sz w:val="32"/>
          <w:szCs w:val="32"/>
        </w:rPr>
        <w:t>（二）支出说明</w:t>
      </w:r>
    </w:p>
    <w:p>
      <w:pPr>
        <w:adjustRightInd w:val="0"/>
        <w:snapToGrid w:val="0"/>
        <w:spacing w:line="600" w:lineRule="exact"/>
        <w:ind w:firstLine="640" w:firstLineChars="200"/>
        <w:jc w:val="left"/>
        <w:rPr>
          <w:rFonts w:ascii="仿宋" w:hAnsi="仿宋" w:eastAsia="仿宋" w:cs="仿宋_GB2312"/>
          <w:bCs/>
          <w:sz w:val="32"/>
          <w:szCs w:val="32"/>
        </w:rPr>
      </w:pPr>
      <w:r>
        <w:rPr>
          <w:rFonts w:hint="eastAsia" w:ascii="仿宋" w:hAnsi="仿宋" w:eastAsia="仿宋" w:cs="仿宋_GB2312"/>
          <w:bCs/>
          <w:sz w:val="32"/>
          <w:szCs w:val="32"/>
        </w:rPr>
        <w:t>2017年预算支出4318万元。其中人员经费支出1161.15万元，正常公用经费55.5万元，项目支出3101.35万元。</w:t>
      </w:r>
    </w:p>
    <w:p>
      <w:pPr>
        <w:ind w:firstLine="645"/>
        <w:rPr>
          <w:rFonts w:ascii="楷体" w:hAnsi="楷体" w:eastAsia="楷体"/>
          <w:sz w:val="32"/>
          <w:szCs w:val="32"/>
        </w:rPr>
      </w:pPr>
      <w:r>
        <w:rPr>
          <w:rFonts w:hint="eastAsia" w:ascii="楷体" w:hAnsi="楷体" w:eastAsia="楷体"/>
          <w:sz w:val="32"/>
          <w:szCs w:val="32"/>
        </w:rPr>
        <w:t>（三）比上年增减情况</w:t>
      </w:r>
    </w:p>
    <w:p>
      <w:pPr>
        <w:ind w:firstLine="645"/>
        <w:rPr>
          <w:rFonts w:ascii="仿宋" w:hAnsi="仿宋" w:eastAsia="仿宋"/>
          <w:sz w:val="32"/>
          <w:szCs w:val="32"/>
        </w:rPr>
      </w:pPr>
      <w:r>
        <w:rPr>
          <w:rFonts w:hint="eastAsia" w:ascii="仿宋" w:hAnsi="仿宋" w:eastAsia="仿宋" w:cs="仿宋_GB2312"/>
          <w:sz w:val="32"/>
          <w:szCs w:val="32"/>
        </w:rPr>
        <w:t>2017年预算收支安排4318万元，</w:t>
      </w:r>
      <w:r>
        <w:rPr>
          <w:rFonts w:hint="eastAsia" w:ascii="仿宋" w:hAnsi="仿宋" w:eastAsia="仿宋" w:cs="仿宋_GB2312"/>
          <w:bCs/>
          <w:sz w:val="32"/>
          <w:szCs w:val="32"/>
        </w:rPr>
        <w:t>比2016年减少8760.62万元，主要是上级安排的专项资金减少，其中农业支持保护性补贴资金减少4494万元。</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hint="eastAsia" w:ascii="仿宋" w:hAnsi="仿宋" w:eastAsia="仿宋" w:cs="仿宋_GB2312"/>
          <w:sz w:val="32"/>
          <w:szCs w:val="32"/>
        </w:rPr>
        <w:t>2017年机关运行经费共计安排22万元，主要用于我部门日常办公，办公区水电费、日常维修，办公用房取暖费，办公用房物业管理费等日常运行支出。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ind w:firstLine="640" w:firstLineChars="200"/>
        <w:outlineLvl w:val="0"/>
        <w:rPr>
          <w:rFonts w:ascii="仿宋" w:hAnsi="仿宋" w:eastAsia="仿宋"/>
          <w:sz w:val="32"/>
          <w:szCs w:val="32"/>
        </w:rPr>
      </w:pPr>
      <w:r>
        <w:rPr>
          <w:rFonts w:hint="eastAsia" w:ascii="仿宋" w:hAnsi="仿宋" w:eastAsia="仿宋"/>
          <w:sz w:val="32"/>
          <w:szCs w:val="32"/>
        </w:rPr>
        <w:t>2017年本部门安排“三公”经费6万元，与上年相比减少7.3万元，减少的主要原因是公务用车运行费减少。其中：</w:t>
      </w:r>
    </w:p>
    <w:p>
      <w:pPr>
        <w:rPr>
          <w:rFonts w:ascii="仿宋" w:hAnsi="仿宋" w:eastAsia="仿宋"/>
          <w:sz w:val="32"/>
          <w:szCs w:val="32"/>
        </w:rPr>
      </w:pPr>
      <w:r>
        <w:rPr>
          <w:rFonts w:hint="eastAsia" w:ascii="仿宋" w:hAnsi="仿宋" w:eastAsia="仿宋"/>
          <w:sz w:val="32"/>
          <w:szCs w:val="32"/>
        </w:rPr>
        <w:t xml:space="preserve">    1、因公出国（境）费0万元，与上年持平，无增减变化。</w:t>
      </w:r>
    </w:p>
    <w:p>
      <w:pPr>
        <w:rPr>
          <w:rFonts w:ascii="仿宋" w:hAnsi="仿宋" w:eastAsia="仿宋"/>
          <w:sz w:val="32"/>
          <w:szCs w:val="32"/>
        </w:rPr>
      </w:pPr>
      <w:r>
        <w:rPr>
          <w:rFonts w:hint="eastAsia" w:ascii="仿宋" w:hAnsi="仿宋" w:eastAsia="仿宋"/>
          <w:sz w:val="32"/>
          <w:szCs w:val="32"/>
        </w:rPr>
        <w:t xml:space="preserve">    2、公务用车购置0万元，与上年持平，无增减变化；公务用车运行维护费 3 万元，与上年相比减少7.3万元，主要原因是降低用车运行维护费标准。</w:t>
      </w:r>
    </w:p>
    <w:p>
      <w:pPr>
        <w:ind w:firstLine="640" w:firstLineChars="200"/>
        <w:outlineLvl w:val="0"/>
        <w:rPr>
          <w:rFonts w:ascii="仿宋" w:hAnsi="仿宋" w:eastAsia="仿宋"/>
          <w:sz w:val="32"/>
          <w:szCs w:val="32"/>
        </w:rPr>
      </w:pPr>
      <w:r>
        <w:rPr>
          <w:rFonts w:hint="eastAsia" w:ascii="仿宋" w:hAnsi="仿宋" w:eastAsia="仿宋"/>
          <w:sz w:val="32"/>
          <w:szCs w:val="32"/>
        </w:rPr>
        <w:t>3、公务接待费3万元，与上年持平，无增减变化。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ind w:firstLine="720" w:firstLineChars="225"/>
        <w:rPr>
          <w:rFonts w:ascii="仿宋" w:hAnsi="仿宋" w:eastAsia="仿宋"/>
          <w:sz w:val="32"/>
          <w:szCs w:val="32"/>
        </w:rPr>
      </w:pPr>
      <w:r>
        <w:rPr>
          <w:rFonts w:ascii="仿宋" w:hAnsi="仿宋" w:eastAsia="仿宋"/>
          <w:sz w:val="32"/>
          <w:szCs w:val="32"/>
        </w:rPr>
        <w:t>2017年农牧工作的总体思路是：深入贯彻</w:t>
      </w:r>
      <w:r>
        <w:rPr>
          <w:rFonts w:hint="eastAsia" w:ascii="仿宋" w:hAnsi="仿宋" w:eastAsia="仿宋"/>
          <w:sz w:val="32"/>
          <w:szCs w:val="32"/>
          <w:lang w:eastAsia="zh-CN"/>
        </w:rPr>
        <w:t>省第九次党代会</w:t>
      </w:r>
      <w:r>
        <w:rPr>
          <w:rFonts w:ascii="仿宋" w:hAnsi="仿宋" w:eastAsia="仿宋"/>
          <w:sz w:val="32"/>
          <w:szCs w:val="32"/>
        </w:rPr>
        <w:t>精神，牢固树立创新、协调、绿色、开放、共享的发展理念，以建设产出高效、产品安全、资源节约、环境友好的现代农业为总体方向，进一步夯实农业发展基础，认真落实各项强农惠农政策，稳步提升粮食综合生产能力，不断加强“菜篮子”工程建设，继续壮大标准化规模养殖业，全力打造“粮食大县”、“蔬菜名县”、“畜牧强县”和“农产品质量安全县”。</w:t>
      </w:r>
    </w:p>
    <w:p>
      <w:pPr>
        <w:ind w:firstLine="720" w:firstLineChars="225"/>
        <w:rPr>
          <w:rFonts w:ascii="仿宋" w:hAnsi="仿宋" w:eastAsia="仿宋"/>
          <w:sz w:val="32"/>
          <w:szCs w:val="32"/>
        </w:rPr>
      </w:pPr>
      <w:r>
        <w:rPr>
          <w:rFonts w:hint="eastAsia" w:ascii="仿宋" w:hAnsi="仿宋" w:eastAsia="仿宋"/>
          <w:sz w:val="32"/>
          <w:szCs w:val="32"/>
        </w:rPr>
        <w:t>1.</w:t>
      </w:r>
      <w:r>
        <w:rPr>
          <w:rFonts w:ascii="仿宋" w:hAnsi="仿宋" w:eastAsia="仿宋"/>
          <w:sz w:val="32"/>
          <w:szCs w:val="32"/>
        </w:rPr>
        <w:t>粮食大县建设。一是稳步提高粮食综合生产能力。继续改善农业基础设施条件，抓好粮食高产示范创建，加强农业病虫害防治，确保粮食安全，夯实农业基础。二是着力推进种植业供给侧结构性改革。引导农民主动调减纯粮型玉米，通过订单模式发展饲用型玉米；以优良品种和高产技术推广为着力点，鼓励种粮大户发展红薯、大豆、谷子等杂粮作物；利用典型引路，发展生姜、土豆、地膜红薯—胡萝卜等高效种植。三是加强对粮食晾晒、烘干、收储等环节的扶持。充分发挥政策导向作用，将农机购置补贴重点由前期粮食播种、收获环节向后期烘干、储运设施方面拓展，妥善解决粮食晾晒、收储过程中遇到的占地难等问题。</w:t>
      </w:r>
    </w:p>
    <w:p>
      <w:pPr>
        <w:ind w:firstLine="720" w:firstLineChars="225"/>
        <w:rPr>
          <w:rFonts w:ascii="仿宋" w:hAnsi="仿宋" w:eastAsia="仿宋"/>
          <w:sz w:val="32"/>
          <w:szCs w:val="32"/>
        </w:rPr>
      </w:pPr>
      <w:r>
        <w:rPr>
          <w:rFonts w:hint="eastAsia" w:ascii="仿宋" w:hAnsi="仿宋" w:eastAsia="仿宋"/>
          <w:sz w:val="32"/>
          <w:szCs w:val="32"/>
        </w:rPr>
        <w:t>2.</w:t>
      </w:r>
      <w:r>
        <w:rPr>
          <w:rFonts w:ascii="仿宋" w:hAnsi="仿宋" w:eastAsia="仿宋"/>
          <w:sz w:val="32"/>
          <w:szCs w:val="32"/>
        </w:rPr>
        <w:t>蔬菜名县建设。按照园区规模化、生产标准化、服务社会化、经营品牌化、产销一体化“五化”要求，重点抓好广源、红鑫牛、绿蔬等蔬菜园区的提质增效，争取建成一批省市级现代农业示范园区。一是培育特色。指导和帮助园区适应市场需求，科学确定主导产品，积极开发名优品种，增强产品竞争力。二是强化技术。重点推行四个100%，即：100%推行机械化自动卷帘、100%推行集约化育苗、100%普及节水灌溉、防虫网、诱杀虫板、防雾滴棚等无公害配套技术，产品100%达到无公害标准。三是完善链条。强化蔬菜保鲜储存、冷链运输、上市销售、品牌打造等产后流通环节，提高产品附加值，增加经济效益。</w:t>
      </w:r>
    </w:p>
    <w:p>
      <w:pPr>
        <w:ind w:firstLine="720" w:firstLineChars="225"/>
        <w:rPr>
          <w:rFonts w:ascii="仿宋" w:hAnsi="仿宋" w:eastAsia="仿宋"/>
          <w:sz w:val="32"/>
          <w:szCs w:val="32"/>
        </w:rPr>
      </w:pPr>
      <w:r>
        <w:rPr>
          <w:rFonts w:hint="eastAsia" w:ascii="仿宋" w:hAnsi="仿宋" w:eastAsia="仿宋"/>
          <w:sz w:val="32"/>
          <w:szCs w:val="32"/>
        </w:rPr>
        <w:t>3.</w:t>
      </w:r>
      <w:r>
        <w:rPr>
          <w:rFonts w:ascii="仿宋" w:hAnsi="仿宋" w:eastAsia="仿宋"/>
          <w:sz w:val="32"/>
          <w:szCs w:val="32"/>
        </w:rPr>
        <w:t>畜牧强县建设。一是抓好重点项目建设。具体抓好国家畜禽标准化规模养殖场建设、省级乳粉用奶牛场胚胎移植、奶牛肉牛良种补贴等项目的争取和实施，带动全县畜牧业持续发展。二是抓好标准化养殖示范创建。按照畜禽良种化、养殖设施化、生产规范化、防疫制度化、粪污无害化“五化”要求，做好畜禽标准化养殖示范创建工作，争取2017年新建市级标准化示范场3-5个。三是抓好生态养殖。推行种养结合、生态养殖模式，鼓励和支持一批规模养殖场新建粪污处理设施，提升资源化利用水平。</w:t>
      </w:r>
    </w:p>
    <w:p>
      <w:pPr>
        <w:ind w:firstLine="720" w:firstLineChars="225"/>
        <w:rPr>
          <w:rFonts w:ascii="仿宋" w:hAnsi="仿宋" w:eastAsia="仿宋"/>
          <w:sz w:val="32"/>
          <w:szCs w:val="32"/>
        </w:rPr>
      </w:pPr>
      <w:r>
        <w:rPr>
          <w:rFonts w:hint="eastAsia" w:ascii="仿宋" w:hAnsi="仿宋" w:eastAsia="仿宋"/>
          <w:sz w:val="32"/>
          <w:szCs w:val="32"/>
        </w:rPr>
        <w:t>4.</w:t>
      </w:r>
      <w:r>
        <w:rPr>
          <w:rFonts w:ascii="仿宋" w:hAnsi="仿宋" w:eastAsia="仿宋"/>
          <w:sz w:val="32"/>
          <w:szCs w:val="32"/>
        </w:rPr>
        <w:t>农产品质量安全县建设。一是抓重点，整治无公害生产违法行为。严厉打击销售使用国家明令禁用的高毒、高残留农药行为，加强饲料、兽药等养殖投入品监管，有效遏制非法添加瘦肉精等违禁物质行为。二是抓典型，树立无公害生产标准样板。抓好无公害农产品基地和示范企业创建，全面贯彻落实无公害农产品质量控制措施和生产操作规程，通过典型引路，加快无公害生产步伐。三是抓制度，规范无公害生产管理方式。健全质量承诺、档案记录、监管责任和投诉举报等制度，规范和促进无公害生产。四是抓保护，提升无公害生产水平。加强重大动物疫病防控，严格动物卫生监督和屠宰管理。健全农业病虫害防控体系，提高病虫害预警、应急防控和专业化统防统治服务水平。</w:t>
      </w:r>
    </w:p>
    <w:p>
      <w:pPr>
        <w:ind w:firstLine="645"/>
        <w:rPr>
          <w:rFonts w:ascii="楷体" w:hAnsi="楷体" w:eastAsia="楷体"/>
          <w:sz w:val="32"/>
          <w:szCs w:val="32"/>
        </w:rPr>
      </w:pPr>
      <w:r>
        <w:rPr>
          <w:rFonts w:hint="eastAsia" w:ascii="楷体" w:hAnsi="楷体" w:eastAsia="楷体"/>
          <w:sz w:val="32"/>
          <w:szCs w:val="32"/>
        </w:rPr>
        <w:t>（二）部门职责-工作活动绩效目标</w:t>
      </w:r>
    </w:p>
    <w:p>
      <w:pPr>
        <w:ind w:firstLine="645"/>
        <w:jc w:val="center"/>
        <w:rPr>
          <w:rFonts w:ascii="仿宋" w:hAnsi="仿宋" w:eastAsia="仿宋"/>
          <w:sz w:val="32"/>
          <w:szCs w:val="32"/>
        </w:rPr>
      </w:pPr>
      <w:r>
        <w:rPr>
          <w:rFonts w:hint="eastAsia" w:ascii="仿宋" w:hAnsi="仿宋" w:eastAsia="仿宋"/>
          <w:sz w:val="32"/>
          <w:szCs w:val="32"/>
        </w:rPr>
        <w:t>部门职责-工作活动绩效目标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326</w:t>
            </w:r>
            <w:r>
              <w:rPr>
                <w:rFonts w:hint="eastAsia" w:ascii="方正小标宋_GBK" w:eastAsia="方正小标宋_GBK"/>
                <w:sz w:val="24"/>
              </w:rPr>
              <w:t>农牧局</w:t>
            </w:r>
          </w:p>
        </w:tc>
        <w:tc>
          <w:tcPr>
            <w:tcW w:w="2948" w:type="dxa"/>
            <w:gridSpan w:val="4"/>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扶持农产品生产</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74.30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对生产者采取直接补贴的办法，支持推广优良品种、先进适用种养技术，实施科学管理</w:t>
            </w:r>
            <w:r>
              <w:rPr>
                <w:rFonts w:ascii="方正书宋_GBK" w:eastAsia="方正书宋_GBK"/>
              </w:rPr>
              <w:t>,</w:t>
            </w:r>
            <w:r>
              <w:rPr>
                <w:rFonts w:hint="eastAsia" w:ascii="方正书宋_GBK" w:eastAsia="方正书宋_GBK"/>
              </w:rPr>
              <w:t>提高农产品产量、质量，提高生产经营效益。</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通过对生产者直接补贴，调动其推广优良品种、使用先进种养技术的积极性和主动性，提高农产品产量、质量，提升生产经营效益。</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开展粮、棉、油高产创建</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通过展示优良品种、集成配套高产栽培技术，辐射带动大面积的平衡增产，提高单产水平。</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开展粮、棉、油高产创建</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通过展示优良品种、集成配套高产栽培技术，辐射带动大面积的平衡增产，提高单产水平。</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亩单产增长率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粮食等农作物亩单产水平较上年增长的比例</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通过展示优良品种、集成配套高产栽培技术，辐射带动大面积的平衡增产，提高单产水平。</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主要农作物良种补贴覆盖率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对小麦、玉米、水稻、棉花等农作物良种补贴全覆盖</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通过展示优良品种、集成配套高产栽培技术，辐射带动大面积的平衡增产，提高单产水平。</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高产稳产粮田达标率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达到标准的亩数占项目区耕地数的比例</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实施菜篮子工程</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通过改善生产条件，加强产品质量管理，强化品牌建设，大力推进标准化、集约化、现代化生产。</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提高蔬菜品质，实现产销一体</w:t>
            </w:r>
            <w:r>
              <w:rPr>
                <w:rFonts w:ascii="方正书宋_GBK" w:eastAsia="方正书宋_GBK"/>
              </w:rPr>
              <w:t>;</w:t>
            </w:r>
            <w:r>
              <w:rPr>
                <w:rFonts w:hint="eastAsia" w:ascii="方正书宋_GBK" w:eastAsia="方正书宋_GBK"/>
              </w:rPr>
              <w:t>增加肉、蛋供应量和提高畜产品质量</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蔬菜标准园创建完成率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生猪、蛋鸡、肉鸡、肉牛、肉羊标准化建设任务完成率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扶持乳粉业发展</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74.30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贯彻落实省政府（冀政办</w:t>
            </w:r>
            <w:r>
              <w:rPr>
                <w:rFonts w:ascii="方正书宋_GBK" w:eastAsia="方正书宋_GBK"/>
              </w:rPr>
              <w:t>[2013]57</w:t>
            </w:r>
            <w:r>
              <w:rPr>
                <w:rFonts w:hint="eastAsia" w:ascii="方正书宋_GBK" w:eastAsia="方正书宋_GBK"/>
              </w:rPr>
              <w:t>号）有关要求，推动一流奶源基地建设，扩大优质饲草种植。提高乳粉用奶源基地建设水平和奶源质量。</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提高乳粉用奶源基地建设水平和奶源质量</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生产乳粉用泌乳牛增量完成率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优质青贮玉米种植量完成率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优质苜蓿种植量完成率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渔业养殖示范</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支持推广先进养殖技术，建设渔业标准化示范场和现代渔业示范区。</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提高水产品产量、现代化管理水平</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渔业互助保险目标完成率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标准化示范区平均亩增产率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扶持特色农业（中药材标准化种植）</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在药材优势产区和主产、特色区域，开展中药材种植示范园创建活。</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促进全县中药材种植向规模化、集约化发展，建设中药材大县。</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中药材种植示范园创建完成率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农业资源保护和生态建设</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51.00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按照可持续发展和建设生态农业的要求，保护农业资源，改善和保护农村环境。</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建设生态农业，改善农村环境，实现农业可持续发展。</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农村能源清洁开发利用</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按照整乡整村推进的模式，建设秸秆综合利用试点项目；集中示范推广高效清洁燃烧炉具、电采暖、太阳能互补采暖、太阳能热水器、太阳灶、秸秆能源化利用等多种技术，打造新能源示范村。</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实现农作物秸秆的高效能源化利用，减少大气污染排放，改善农村环境。</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户用沼气工程建设完工率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小型沼气工程建设完工率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大气污染物减排完成率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农业污染治理</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51.00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开展农产品产地重金属污染防治工作。进行土壤样品的制备和监测，根据监测结果编制农产品产地安全情况分析报告，开展农产品产地重金属污染修复示范。</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开展农产品产地重金属污染防治，根据监测结果编制农产品产地安全情况分析报告，开展农产品产地重金属污染修复示范。</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年度监测任务完成率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全县开展土地污染修复效果实现情况</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农业科技支撑和公共服务</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2373.05</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提高农业机械化水平，建立健全农业科技服务和防灾减灾体系，推动农业生产向现代农业发展。</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促进农业现代化，提高农业劳动生产率，增加农民收入。</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农作物全程机械化及农机作业补贴、开展农机补贴</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1356.00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开展耕地深松作业，作业深度超过</w:t>
            </w:r>
            <w:r>
              <w:rPr>
                <w:rFonts w:ascii="方正书宋_GBK" w:eastAsia="方正书宋_GBK"/>
              </w:rPr>
              <w:t>25</w:t>
            </w:r>
            <w:r>
              <w:rPr>
                <w:rFonts w:hint="eastAsia" w:ascii="方正书宋_GBK" w:eastAsia="方正书宋_GBK"/>
              </w:rPr>
              <w:t>厘米，深松间隔不大于</w:t>
            </w:r>
            <w:r>
              <w:rPr>
                <w:rFonts w:ascii="方正书宋_GBK" w:eastAsia="方正书宋_GBK"/>
              </w:rPr>
              <w:t>70</w:t>
            </w:r>
            <w:r>
              <w:rPr>
                <w:rFonts w:hint="eastAsia" w:ascii="方正书宋_GBK" w:eastAsia="方正书宋_GBK"/>
              </w:rPr>
              <w:t>厘米，通过实施农机深松作业，有效节约了水资源，提高了肥料利用率。对购机农户进行直接补贴，提高全县农业机械化水平</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提高土壤蓄水保墒和抗旱防涝能力，提高粮食单产水平。提高农业机械化水平</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深松面积目标完成率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亩单产平均增长率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完成年度耕种收综合机械化水平</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现代农业示范园区建设</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打造具有地域特色的现代农业园区。</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推动园区农业基础设施、科技进步、质量安全、生态环保水平显著提升，土地产出率、资源利用率、劳动生产率明显提高。</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现代农业园区建设完成情况</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农业园区单位面积产值高于当地平均水平幅度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农业园区农民收入高于当地平均水平幅度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农作物种子鉴定与推广</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推广应用农作物优良品种，对农作物种子质量进行监督抽查。</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通过农作物新品种质量监督检验，推广优良品种，提高主要农作物优良品种覆盖率。</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种子质量监督抽查完成率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主要农作物良种覆盖率</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97%</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畜牧良种繁育体系建设</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对奶牛、肉用种牛、种公猪开展生产性能测定，向社会推广优质的畜种</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推广优质种畜禽品种。</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种猪常温精液产品抽样检测率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奶牛生产性能测定工作完成率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肉用公牛的性能测定完成率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动植物疫病防控</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167.35</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落实动植物防疫检疫政策，建立完善动植物防疫和检疫体系。组织开展动植物的防疫检疫工作，发布疫情并组织扑灭。</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有效减少动植物疫情危害</w:t>
            </w:r>
            <w:r>
              <w:rPr>
                <w:rFonts w:ascii="方正书宋_GBK" w:eastAsia="方正书宋_GBK"/>
              </w:rPr>
              <w:t>,</w:t>
            </w:r>
            <w:r>
              <w:rPr>
                <w:rFonts w:hint="eastAsia" w:ascii="方正书宋_GBK" w:eastAsia="方正书宋_GBK"/>
              </w:rPr>
              <w:t>促进农业健康发展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应免动物疫病强制免疫率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病死猪无害化处理率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动植物疫情监测目标完成率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突发动植物疫情处置率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农产品质量安全监管</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93.50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加强农产品质量安全监管体系建设，指导农产品检验检测体系建设和机构考核，依法实施符合安全标准的农产品认证和监督管理。组织开展农产品质量安全的监督检查。</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加强农产品质量安全体系建设</w:t>
            </w:r>
            <w:r>
              <w:rPr>
                <w:rFonts w:ascii="方正书宋_GBK" w:eastAsia="方正书宋_GBK"/>
              </w:rPr>
              <w:t>,</w:t>
            </w:r>
            <w:r>
              <w:rPr>
                <w:rFonts w:hint="eastAsia" w:ascii="方正书宋_GBK" w:eastAsia="方正书宋_GBK"/>
              </w:rPr>
              <w:t>提高监管能力</w:t>
            </w:r>
            <w:r>
              <w:rPr>
                <w:rFonts w:ascii="方正书宋_GBK" w:eastAsia="方正书宋_GBK"/>
              </w:rPr>
              <w:t>,</w:t>
            </w:r>
            <w:r>
              <w:rPr>
                <w:rFonts w:hint="eastAsia" w:ascii="方正书宋_GBK" w:eastAsia="方正书宋_GBK"/>
              </w:rPr>
              <w:t>确保农产品质量安全。</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农产品及农业投入品质量抽检计划完成率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98%</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重大农产品质量安全事件发生率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农业信息服务</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组织开展农业统计，监测分析农业和农村经济运行，发布农业和农村经济信息，建设农业信息管理体系，指导农业信息服务。</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加强农业信息服务体系建设，提高农业信息服务水平。</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农业信息发布及时率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农业技术推广与研究</w:t>
            </w:r>
          </w:p>
        </w:tc>
        <w:tc>
          <w:tcPr>
            <w:tcW w:w="1276" w:type="dxa"/>
            <w:vMerge w:val="restart"/>
            <w:shd w:val="clear" w:color="auto" w:fill="auto"/>
            <w:vAlign w:val="center"/>
          </w:tcPr>
          <w:p>
            <w:pPr>
              <w:spacing w:line="300" w:lineRule="exact"/>
              <w:jc w:val="left"/>
              <w:rPr>
                <w:rFonts w:ascii="方正书宋_GBK" w:eastAsia="方正书宋_GBK"/>
              </w:rPr>
            </w:pPr>
            <w:r>
              <w:rPr>
                <w:rFonts w:ascii="方正书宋_GBK" w:eastAsia="方正书宋_GBK"/>
              </w:rPr>
              <w:t>756.20</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建设农业创新团队，农业关键技术研究与应用示范，开展农业新技术推广、示范。</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开展农业新技术推广、示范，提高农业技术水平。</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完成年度基层农技人员知识更新培训任务目标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基层农技推广人员知识更新培训满意度</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农业防灾减灾</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监测、发布农业灾情，组织种子、化肥等救灾物资储备和调拨，指导紧急救灾和灾后生产恢复</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加强灾情监测，组织灾后生产恢复。</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灾情报告准确率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完善农村经营管理体制</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498.00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推进农村集体产权制度改革，完善农村土地承包制度，引导农村土地合理流转。创新农业经营主体。</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规范流转行为，优化资源配置，促进农民专业合作经济组织健康发展，加快新农村建设和城镇化进程。</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新型农业经营主体</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推动土地合作社、股份合作社和综合性合作社等多元化、多类型农民合作社加快发展；深入开展示范社建设行动；加大对农民合作社培训力度。</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促进全县农民合作社规范健康发展。</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县级示范社新增数量</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土地确权登记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493.00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根据国家及省市要求开展农村土地承包经营确权登记试点，并逐步向全县全面推开</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进一步完善农村土地承包关系，保护农民利益，促进规模化经营。</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全县耕地确权登记颁证完成率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农村经营管理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支持农民专业合作组织规范、健康发展。建立健全农村集体</w:t>
            </w:r>
            <w:r>
              <w:rPr>
                <w:rFonts w:hint="cs" w:ascii="方正书宋_GBK" w:eastAsia="方正书宋_GBK"/>
              </w:rPr>
              <w:t>“</w:t>
            </w:r>
            <w:r>
              <w:rPr>
                <w:rFonts w:hint="eastAsia" w:ascii="方正书宋_GBK" w:eastAsia="方正书宋_GBK"/>
              </w:rPr>
              <w:t>三资</w:t>
            </w:r>
            <w:r>
              <w:rPr>
                <w:rFonts w:hint="cs" w:ascii="方正书宋_GBK" w:eastAsia="方正书宋_GBK"/>
              </w:rPr>
              <w:t>”</w:t>
            </w:r>
            <w:r>
              <w:rPr>
                <w:rFonts w:hint="eastAsia" w:ascii="方正书宋_GBK" w:eastAsia="方正书宋_GBK"/>
              </w:rPr>
              <w:t>管理制度，盘活集体存量资产资源，拓宽集体增收渠道，促进农村集体资产保值增值。</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建立健全农村集体</w:t>
            </w:r>
            <w:r>
              <w:rPr>
                <w:rFonts w:hint="cs" w:ascii="方正书宋_GBK" w:eastAsia="方正书宋_GBK"/>
              </w:rPr>
              <w:t>“</w:t>
            </w:r>
            <w:r>
              <w:rPr>
                <w:rFonts w:hint="eastAsia" w:ascii="方正书宋_GBK" w:eastAsia="方正书宋_GBK"/>
              </w:rPr>
              <w:t>三资</w:t>
            </w:r>
            <w:r>
              <w:rPr>
                <w:rFonts w:hint="cs" w:ascii="方正书宋_GBK" w:eastAsia="方正书宋_GBK"/>
              </w:rPr>
              <w:t>”</w:t>
            </w:r>
            <w:r>
              <w:rPr>
                <w:rFonts w:hint="eastAsia" w:ascii="方正书宋_GBK" w:eastAsia="方正书宋_GBK"/>
              </w:rPr>
              <w:t>管理制度，促进农村集体资产保值增值。</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农村集体</w:t>
            </w:r>
            <w:r>
              <w:rPr>
                <w:rFonts w:hint="cs" w:ascii="方正书宋_GBK" w:eastAsia="方正书宋_GBK"/>
              </w:rPr>
              <w:t>“</w:t>
            </w:r>
            <w:r>
              <w:rPr>
                <w:rFonts w:hint="eastAsia" w:ascii="方正书宋_GBK" w:eastAsia="方正书宋_GBK"/>
              </w:rPr>
              <w:t>三资</w:t>
            </w:r>
            <w:r>
              <w:rPr>
                <w:rFonts w:hint="cs" w:ascii="方正书宋_GBK" w:eastAsia="方正书宋_GBK"/>
              </w:rPr>
              <w:t>”</w:t>
            </w:r>
            <w:r>
              <w:rPr>
                <w:rFonts w:hint="eastAsia" w:ascii="方正书宋_GBK" w:eastAsia="方正书宋_GBK"/>
              </w:rPr>
              <w:t>管理制度建立健全完成数量</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农业政务管理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105.00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开展农业宣传，推动农业政策落实。推动各项农业工作的开展。</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保障各项农业工作的正常运行</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综合业务管理</w:t>
            </w:r>
          </w:p>
        </w:tc>
        <w:tc>
          <w:tcPr>
            <w:tcW w:w="1276" w:type="dxa"/>
            <w:shd w:val="clear" w:color="auto" w:fill="auto"/>
            <w:vAlign w:val="center"/>
          </w:tcPr>
          <w:p>
            <w:pPr>
              <w:spacing w:line="300" w:lineRule="exact"/>
              <w:jc w:val="left"/>
              <w:rPr>
                <w:rFonts w:ascii="方正书宋_GBK" w:eastAsia="方正书宋_GBK"/>
              </w:rPr>
            </w:pP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调研提出规划和建议，工作部署、协调推动、普查统计、督促指导、行政审批、业务监管及</w:t>
            </w:r>
            <w:r>
              <w:rPr>
                <w:rFonts w:hint="eastAsia" w:ascii="方正书宋_GBK" w:eastAsia="方正书宋_GBK"/>
                <w:lang w:eastAsia="zh-CN"/>
              </w:rPr>
              <w:t>县委、县政府</w:t>
            </w:r>
            <w:r>
              <w:rPr>
                <w:rFonts w:hint="eastAsia" w:ascii="方正书宋_GBK" w:eastAsia="方正书宋_GBK"/>
              </w:rPr>
              <w:t>交办的其他事项等行政管理事项</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加强管理，圆满完成县委、县政府交办任务</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综合事务管理</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105.00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加强机关事务性管理，开展机关自身能力建设</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加强机关事务性管理，提高机关自身工作能力。</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&lt;90%</w:t>
            </w: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5" w:firstLineChars="215"/>
        <w:rPr>
          <w:rFonts w:ascii="仿宋" w:hAnsi="仿宋" w:eastAsia="仿宋"/>
          <w:sz w:val="30"/>
          <w:szCs w:val="30"/>
        </w:rPr>
      </w:pPr>
      <w:r>
        <w:rPr>
          <w:rFonts w:hint="eastAsia" w:ascii="仿宋" w:hAnsi="仿宋" w:eastAsia="仿宋"/>
          <w:sz w:val="30"/>
          <w:szCs w:val="30"/>
        </w:rPr>
        <w:t>2017年我部门安排政府采购预算0万元。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 w:hAnsi="仿宋" w:eastAsia="仿宋" w:cs="仿宋"/>
          <w:sz w:val="32"/>
          <w:szCs w:val="32"/>
        </w:rPr>
      </w:pPr>
      <w:r>
        <w:rPr>
          <w:rFonts w:hint="eastAsia" w:ascii="仿宋" w:hAnsi="仿宋" w:eastAsia="仿宋" w:cs="仿宋"/>
          <w:sz w:val="32"/>
          <w:szCs w:val="32"/>
        </w:rPr>
        <w:t>无极县农林畜牧局上年末固定资产金额为665万元（详见下表）。本年度拟购置固定资产金额为2万元。</w:t>
      </w:r>
    </w:p>
    <w:p>
      <w:pPr>
        <w:autoSpaceDE w:val="0"/>
        <w:autoSpaceDN w:val="0"/>
        <w:adjustRightInd w:val="0"/>
        <w:ind w:left="420" w:leftChars="200"/>
        <w:jc w:val="center"/>
        <w:rPr>
          <w:rFonts w:ascii="仿宋" w:hAnsi="仿宋" w:eastAsia="仿宋"/>
          <w:sz w:val="32"/>
        </w:rPr>
      </w:pPr>
      <w:r>
        <w:rPr>
          <w:rFonts w:hint="eastAsia" w:ascii="仿宋" w:hAnsi="仿宋" w:eastAsia="仿宋"/>
          <w:sz w:val="32"/>
        </w:rPr>
        <w:t>无极县农林畜牧局固定资产占用情况表</w:t>
      </w:r>
    </w:p>
    <w:tbl>
      <w:tblPr>
        <w:tblStyle w:val="4"/>
        <w:tblW w:w="0" w:type="auto"/>
        <w:jc w:val="center"/>
        <w:tblLayout w:type="fixed"/>
        <w:tblCellMar>
          <w:top w:w="0" w:type="dxa"/>
          <w:left w:w="108" w:type="dxa"/>
          <w:bottom w:w="0" w:type="dxa"/>
          <w:right w:w="108" w:type="dxa"/>
        </w:tblCellMar>
      </w:tblPr>
      <w:tblGrid>
        <w:gridCol w:w="4126"/>
        <w:gridCol w:w="1843"/>
        <w:gridCol w:w="3093"/>
      </w:tblGrid>
      <w:tr>
        <w:tblPrEx>
          <w:tblCellMar>
            <w:top w:w="0" w:type="dxa"/>
            <w:left w:w="108" w:type="dxa"/>
            <w:bottom w:w="0" w:type="dxa"/>
            <w:right w:w="108" w:type="dxa"/>
          </w:tblCellMar>
        </w:tblPrEx>
        <w:trPr>
          <w:trHeight w:val="510" w:hRule="atLeast"/>
          <w:jc w:val="center"/>
        </w:trPr>
        <w:tc>
          <w:tcPr>
            <w:tcW w:w="5969" w:type="dxa"/>
            <w:gridSpan w:val="2"/>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编制部门：农牧局</w:t>
            </w:r>
          </w:p>
        </w:tc>
        <w:tc>
          <w:tcPr>
            <w:tcW w:w="3093" w:type="dxa"/>
            <w:tcBorders>
              <w:top w:val="nil"/>
              <w:left w:val="nil"/>
              <w:bottom w:val="nil"/>
              <w:right w:val="nil"/>
            </w:tcBorders>
            <w:vAlign w:val="center"/>
          </w:tcPr>
          <w:p>
            <w:pPr>
              <w:widowControl/>
              <w:jc w:val="left"/>
              <w:rPr>
                <w:rFonts w:ascii="宋体" w:hAnsi="宋体" w:cs="宋体"/>
                <w:kern w:val="0"/>
                <w:sz w:val="22"/>
              </w:rPr>
            </w:pPr>
            <w:r>
              <w:rPr>
                <w:rFonts w:hint="eastAsia" w:ascii="宋体" w:hAnsi="宋体" w:cs="宋体"/>
                <w:kern w:val="0"/>
                <w:sz w:val="22"/>
              </w:rPr>
              <w:t xml:space="preserve">截止时间：2016年12月31日  </w:t>
            </w:r>
          </w:p>
        </w:tc>
      </w:tr>
      <w:tr>
        <w:tblPrEx>
          <w:tblCellMar>
            <w:top w:w="0" w:type="dxa"/>
            <w:left w:w="108" w:type="dxa"/>
            <w:bottom w:w="0" w:type="dxa"/>
            <w:right w:w="108" w:type="dxa"/>
          </w:tblCellMar>
        </w:tblPrEx>
        <w:trPr>
          <w:trHeight w:val="645" w:hRule="atLeast"/>
          <w:jc w:val="center"/>
        </w:trPr>
        <w:tc>
          <w:tcPr>
            <w:tcW w:w="4126"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   目</w:t>
            </w:r>
          </w:p>
        </w:tc>
        <w:tc>
          <w:tcPr>
            <w:tcW w:w="184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309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资产总额</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09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665</w:t>
            </w:r>
          </w:p>
        </w:tc>
      </w:tr>
      <w:tr>
        <w:tblPrEx>
          <w:tblCellMar>
            <w:top w:w="0" w:type="dxa"/>
            <w:left w:w="108" w:type="dxa"/>
            <w:bottom w:w="0" w:type="dxa"/>
            <w:right w:w="108" w:type="dxa"/>
          </w:tblCellMar>
        </w:tblPrEx>
        <w:trPr>
          <w:trHeight w:val="454"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1、房屋（平方米）</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5781</w:t>
            </w:r>
          </w:p>
        </w:tc>
        <w:tc>
          <w:tcPr>
            <w:tcW w:w="309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399</w:t>
            </w:r>
          </w:p>
        </w:tc>
      </w:tr>
      <w:tr>
        <w:tblPrEx>
          <w:tblCellMar>
            <w:top w:w="0" w:type="dxa"/>
            <w:left w:w="108" w:type="dxa"/>
            <w:bottom w:w="0" w:type="dxa"/>
            <w:right w:w="108" w:type="dxa"/>
          </w:tblCellMar>
        </w:tblPrEx>
        <w:trPr>
          <w:trHeight w:val="454"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 xml:space="preserve">  其中：办公用房（平方米）</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c>
          <w:tcPr>
            <w:tcW w:w="309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CellMar>
            <w:top w:w="0" w:type="dxa"/>
            <w:left w:w="108" w:type="dxa"/>
            <w:bottom w:w="0" w:type="dxa"/>
            <w:right w:w="108" w:type="dxa"/>
          </w:tblCellMar>
        </w:tblPrEx>
        <w:trPr>
          <w:trHeight w:val="454"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2、车辆（台、辆）</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3</w:t>
            </w:r>
          </w:p>
        </w:tc>
        <w:tc>
          <w:tcPr>
            <w:tcW w:w="309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18</w:t>
            </w:r>
          </w:p>
        </w:tc>
      </w:tr>
      <w:tr>
        <w:tblPrEx>
          <w:tblCellMar>
            <w:top w:w="0" w:type="dxa"/>
            <w:left w:w="108" w:type="dxa"/>
            <w:bottom w:w="0" w:type="dxa"/>
            <w:right w:w="108" w:type="dxa"/>
          </w:tblCellMar>
        </w:tblPrEx>
        <w:trPr>
          <w:trHeight w:val="454"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3、单价在20万元以上设备</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09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p>
        </w:tc>
      </w:tr>
      <w:tr>
        <w:tblPrEx>
          <w:tblCellMar>
            <w:top w:w="0" w:type="dxa"/>
            <w:left w:w="108" w:type="dxa"/>
            <w:bottom w:w="0" w:type="dxa"/>
            <w:right w:w="108" w:type="dxa"/>
          </w:tblCellMar>
        </w:tblPrEx>
        <w:trPr>
          <w:trHeight w:val="454" w:hRule="atLeast"/>
          <w:jc w:val="center"/>
        </w:trPr>
        <w:tc>
          <w:tcPr>
            <w:tcW w:w="4126" w:type="dxa"/>
            <w:tcBorders>
              <w:top w:val="nil"/>
              <w:left w:val="single" w:color="auto" w:sz="4" w:space="0"/>
              <w:bottom w:val="single" w:color="auto" w:sz="4" w:space="0"/>
              <w:right w:val="single" w:color="auto" w:sz="4" w:space="0"/>
            </w:tcBorders>
            <w:vAlign w:val="center"/>
          </w:tcPr>
          <w:p>
            <w:pPr>
              <w:widowControl/>
              <w:jc w:val="left"/>
              <w:rPr>
                <w:rFonts w:ascii="宋体" w:hAnsi="宋体" w:cs="宋体"/>
                <w:kern w:val="0"/>
                <w:sz w:val="22"/>
              </w:rPr>
            </w:pPr>
            <w:r>
              <w:rPr>
                <w:rFonts w:hint="eastAsia" w:ascii="宋体" w:hAnsi="宋体" w:cs="宋体"/>
                <w:kern w:val="0"/>
                <w:sz w:val="22"/>
              </w:rPr>
              <w:t>4、其他固定资产</w:t>
            </w:r>
          </w:p>
        </w:tc>
        <w:tc>
          <w:tcPr>
            <w:tcW w:w="184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w:t>
            </w:r>
          </w:p>
        </w:tc>
        <w:tc>
          <w:tcPr>
            <w:tcW w:w="3093" w:type="dxa"/>
            <w:tcBorders>
              <w:top w:val="nil"/>
              <w:left w:val="nil"/>
              <w:bottom w:val="single" w:color="auto" w:sz="4" w:space="0"/>
              <w:right w:val="single" w:color="auto" w:sz="4" w:space="0"/>
            </w:tcBorders>
            <w:vAlign w:val="center"/>
          </w:tcPr>
          <w:p>
            <w:pPr>
              <w:widowControl/>
              <w:jc w:val="center"/>
              <w:rPr>
                <w:rFonts w:ascii="宋体" w:hAnsi="宋体" w:cs="宋体"/>
                <w:kern w:val="0"/>
                <w:sz w:val="22"/>
              </w:rPr>
            </w:pPr>
            <w:r>
              <w:rPr>
                <w:rFonts w:hint="eastAsia" w:ascii="宋体" w:hAnsi="宋体" w:cs="宋体"/>
                <w:kern w:val="0"/>
                <w:sz w:val="22"/>
              </w:rPr>
              <w:t>248</w:t>
            </w:r>
          </w:p>
        </w:tc>
      </w:tr>
    </w:tbl>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hint="eastAsia" w:ascii="仿宋" w:hAnsi="仿宋" w:eastAsia="仿宋"/>
          <w:b/>
          <w:sz w:val="32"/>
          <w:szCs w:val="32"/>
        </w:rPr>
        <w:t>1.财政拨款收入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仿宋" w:hAnsi="仿宋" w:eastAsia="仿宋"/>
          <w:b/>
          <w:sz w:val="32"/>
          <w:szCs w:val="32"/>
        </w:rPr>
      </w:pPr>
      <w:r>
        <w:rPr>
          <w:rFonts w:hint="eastAsia" w:ascii="仿宋" w:hAnsi="仿宋" w:eastAsia="仿宋"/>
          <w:b/>
          <w:sz w:val="32"/>
          <w:szCs w:val="32"/>
        </w:rPr>
        <w:t>2.基本支出、项目支出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仿宋" w:hAnsi="仿宋" w:eastAsia="仿宋"/>
          <w:b/>
          <w:sz w:val="32"/>
          <w:szCs w:val="32"/>
        </w:rPr>
      </w:pPr>
      <w:r>
        <w:rPr>
          <w:rFonts w:hint="eastAsia" w:ascii="仿宋" w:hAnsi="仿宋" w:eastAsia="仿宋"/>
          <w:b/>
          <w:sz w:val="32"/>
          <w:szCs w:val="32"/>
        </w:rPr>
        <w:t>3.一般公共服务支出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仿宋" w:hAnsi="仿宋" w:eastAsia="仿宋"/>
          <w:b/>
          <w:sz w:val="32"/>
          <w:szCs w:val="32"/>
        </w:rPr>
      </w:pPr>
      <w:r>
        <w:rPr>
          <w:rFonts w:hint="eastAsia" w:ascii="仿宋" w:hAnsi="仿宋" w:eastAsia="仿宋"/>
          <w:b/>
          <w:sz w:val="32"/>
          <w:szCs w:val="32"/>
        </w:rPr>
        <w:t>4.文化体育与传媒支出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hint="eastAsia" w:ascii="仿宋" w:hAnsi="仿宋" w:eastAsia="仿宋"/>
          <w:b/>
          <w:sz w:val="32"/>
          <w:szCs w:val="32"/>
        </w:rPr>
        <w:t>5.社会保障和就业支出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仿宋" w:hAnsi="仿宋" w:eastAsia="仿宋"/>
          <w:b/>
          <w:sz w:val="32"/>
          <w:szCs w:val="32"/>
        </w:rPr>
      </w:pPr>
      <w:r>
        <w:rPr>
          <w:rFonts w:hint="eastAsia" w:ascii="仿宋" w:hAnsi="仿宋" w:eastAsia="仿宋"/>
          <w:b/>
          <w:sz w:val="32"/>
          <w:szCs w:val="32"/>
        </w:rPr>
        <w:t>6.机关运行经费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hint="eastAsia" w:ascii="仿宋" w:hAnsi="仿宋" w:eastAsia="仿宋"/>
          <w:b/>
          <w:sz w:val="32"/>
          <w:szCs w:val="32"/>
        </w:rPr>
        <w:t>7.“三公”经费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无。</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小标宋_GBK">
    <w:panose1 w:val="02000000000000000000"/>
    <w:charset w:val="86"/>
    <w:family w:val="script"/>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B3C55"/>
    <w:rsid w:val="000E43FD"/>
    <w:rsid w:val="0010255E"/>
    <w:rsid w:val="00227125"/>
    <w:rsid w:val="00235D6E"/>
    <w:rsid w:val="002675F7"/>
    <w:rsid w:val="002A0336"/>
    <w:rsid w:val="00345A4D"/>
    <w:rsid w:val="003576F4"/>
    <w:rsid w:val="00392FD1"/>
    <w:rsid w:val="00477A43"/>
    <w:rsid w:val="0063034A"/>
    <w:rsid w:val="006C5173"/>
    <w:rsid w:val="00705C2E"/>
    <w:rsid w:val="007D2518"/>
    <w:rsid w:val="007D622B"/>
    <w:rsid w:val="007E2AD1"/>
    <w:rsid w:val="007E4C45"/>
    <w:rsid w:val="00800329"/>
    <w:rsid w:val="0081232A"/>
    <w:rsid w:val="008651A9"/>
    <w:rsid w:val="00915AB6"/>
    <w:rsid w:val="00A23A45"/>
    <w:rsid w:val="00A649DC"/>
    <w:rsid w:val="00A71CD2"/>
    <w:rsid w:val="00B903E5"/>
    <w:rsid w:val="00C26AB0"/>
    <w:rsid w:val="00C42BCB"/>
    <w:rsid w:val="00C547DA"/>
    <w:rsid w:val="00D77FCE"/>
    <w:rsid w:val="00DF6460"/>
    <w:rsid w:val="00E0543F"/>
    <w:rsid w:val="098C3D6E"/>
    <w:rsid w:val="4E0203AA"/>
    <w:rsid w:val="62C5533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rFonts w:ascii="Times New Roman" w:hAnsi="Times New Roman" w:eastAsia="宋体" w:cs="Times New Roman"/>
      <w:sz w:val="18"/>
      <w:szCs w:val="18"/>
    </w:rPr>
  </w:style>
  <w:style w:type="character" w:customStyle="1" w:styleId="7">
    <w:name w:val="页脚 Char"/>
    <w:basedOn w:val="5"/>
    <w:link w:val="2"/>
    <w:qFormat/>
    <w:uiPriority w:val="99"/>
    <w:rPr>
      <w:rFonts w:ascii="Times New Roman" w:hAnsi="Times New Roman" w:eastAsia="宋体" w:cs="Times New Roman"/>
      <w:sz w:val="18"/>
      <w:szCs w:val="18"/>
    </w:rPr>
  </w:style>
  <w:style w:type="paragraph" w:styleId="8">
    <w:name w:val="List Paragraph"/>
    <w:basedOn w:val="1"/>
    <w:qFormat/>
    <w:uiPriority w:val="34"/>
    <w:pPr>
      <w:ind w:firstLine="420" w:firstLineChars="200"/>
    </w:pPr>
  </w:style>
  <w:style w:type="paragraph" w:customStyle="1" w:styleId="9">
    <w:name w:val="[Normal]"/>
    <w:qFormat/>
    <w:uiPriority w:val="0"/>
    <w:rPr>
      <w:rFonts w:ascii="宋体" w:hAnsi="Times New Roman" w:eastAsia="宋体" w:cs="Times New Roman"/>
      <w:kern w:val="0"/>
      <w:sz w:val="24"/>
      <w:szCs w:val="20"/>
      <w:lang w:val="en-US" w:eastAsia="en-US"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19</Pages>
  <Words>1220</Words>
  <Characters>6959</Characters>
  <Lines>57</Lines>
  <Paragraphs>16</Paragraphs>
  <TotalTime>87</TotalTime>
  <ScaleCrop>false</ScaleCrop>
  <LinksUpToDate>false</LinksUpToDate>
  <CharactersWithSpaces>8163</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2017-08-21T09:42:00Z</dcterms:created>
  <dc:creator>微软用户</dc:creator>
  <cp:lastModifiedBy>Administrator</cp:lastModifiedBy>
  <dcterms:modified xsi:type="dcterms:W3CDTF">2024-06-20T14:02:22Z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3CFA50A8FC044CC2B20C6534D072BB8E</vt:lpwstr>
  </property>
</Properties>
</file>