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11" w:name="_GoBack"/>
      <w:bookmarkEnd w:id="11"/>
      <w:r>
        <w:rPr>
          <w:rFonts w:hint="eastAsia" w:ascii="方正小标宋_GBK" w:hAnsi="Times New Roman" w:eastAsia="方正小标宋_GBK" w:cs="Times New Roman"/>
          <w:bCs/>
          <w:sz w:val="44"/>
          <w:szCs w:val="44"/>
        </w:rPr>
        <w:t>无极县发展改革局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、《地方预决算公开操作规程》和《河北省省级预算公开办法》规定，现将无极县发展和改革局2020年部门预算公开如下：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w:t>
      </w:r>
      <w:r>
        <w:rPr>
          <w:rFonts w:ascii="Times New Roman" w:hAnsi="Times New Roman" w:eastAsia="仿宋" w:cs="Times New Roman"/>
          <w:sz w:val="32"/>
          <w:szCs w:val="32"/>
        </w:rPr>
        <w:t>职责：</w:t>
      </w:r>
      <w:r>
        <w:rPr>
          <w:rFonts w:hint="eastAsia" w:ascii="Times New Roman" w:hAnsi="Times New Roman" w:eastAsia="仿宋" w:cs="Times New Roman"/>
          <w:sz w:val="32"/>
          <w:szCs w:val="32"/>
        </w:rPr>
        <w:t>根据《发展改革局职能配置、内设机构和人员编制规定》，发展改革局的主要职责是：</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统筹协调，超前谋划研究，当好参谋和助手。全县经济运行情况分析，加强工作调研，立足经济发展新常态，认真分析研究宏观政策，增强对宏观发展环境的研判，及时发现苗头性、倾向性问题，提出保持经济平稳较快增长的对策建议。</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2、支持工</w:t>
      </w:r>
      <w:r>
        <w:rPr>
          <w:rFonts w:hint="eastAsia" w:ascii="Times New Roman" w:hAnsi="Times New Roman" w:eastAsia="仿宋" w:cs="Times New Roman"/>
          <w:sz w:val="32"/>
          <w:szCs w:val="32"/>
        </w:rPr>
        <w:t>业转型升级。提出全县新型工业化发展战略和政策，协调解决新型工业化进程中的重大问题，推进产业结构战略性调整和优化升级，推进信息化和工业化融合，促进民营经济发展。把项目工作作为重中之重来抓。做好协调和督导工作，加强重点建设协调管理，完成市下达的计划目标。</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3、促</w:t>
      </w:r>
      <w:r>
        <w:rPr>
          <w:rFonts w:hint="eastAsia" w:ascii="Times New Roman" w:hAnsi="Times New Roman" w:eastAsia="仿宋" w:cs="Times New Roman"/>
          <w:sz w:val="32"/>
          <w:szCs w:val="32"/>
        </w:rPr>
        <w:t>进中小企业发展。对全县中小企业</w:t>
      </w:r>
      <w:r>
        <w:rPr>
          <w:rFonts w:ascii="Times New Roman" w:hAnsi="Times New Roman" w:eastAsia="仿宋" w:cs="Times New Roman"/>
          <w:sz w:val="32"/>
          <w:szCs w:val="32"/>
        </w:rPr>
        <w:t>和民</w:t>
      </w:r>
      <w:r>
        <w:rPr>
          <w:rFonts w:hint="eastAsia" w:ascii="Times New Roman" w:hAnsi="Times New Roman" w:eastAsia="仿宋" w:cs="Times New Roman"/>
          <w:sz w:val="32"/>
          <w:szCs w:val="32"/>
        </w:rPr>
        <w:t>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4、推</w:t>
      </w:r>
      <w:r>
        <w:rPr>
          <w:rFonts w:hint="eastAsia" w:ascii="Times New Roman" w:hAnsi="Times New Roman" w:eastAsia="仿宋" w:cs="Times New Roman"/>
          <w:sz w:val="32"/>
          <w:szCs w:val="32"/>
        </w:rPr>
        <w:t>进现代服务业发展。加强服务业工作管理，加快服务业重点项目建设，大力发展生产性服务业、生活性服务业及新兴服务业，提高第三产业比重，完成市下达的任务目标。</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5、支持</w:t>
      </w:r>
      <w:r>
        <w:rPr>
          <w:rFonts w:hint="eastAsia" w:ascii="Times New Roman" w:hAnsi="Times New Roman" w:eastAsia="仿宋" w:cs="Times New Roman"/>
          <w:sz w:val="32"/>
          <w:szCs w:val="32"/>
        </w:rPr>
        <w:t>国企改革发展。国有企业资产保值增值及管理工作。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6、价格</w:t>
      </w:r>
      <w:r>
        <w:rPr>
          <w:rFonts w:hint="eastAsia" w:ascii="Times New Roman" w:hAnsi="Times New Roman" w:eastAsia="仿宋" w:cs="Times New Roman"/>
          <w:sz w:val="32"/>
          <w:szCs w:val="32"/>
        </w:rPr>
        <w:t>调控监管。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w:t>
      </w:r>
      <w:r>
        <w:rPr>
          <w:rFonts w:ascii="Times New Roman" w:hAnsi="Times New Roman" w:eastAsia="仿宋" w:cs="Times New Roman"/>
          <w:sz w:val="32"/>
          <w:szCs w:val="32"/>
        </w:rPr>
        <w:t>价格、收</w:t>
      </w:r>
      <w:r>
        <w:rPr>
          <w:rFonts w:hint="eastAsia" w:ascii="Times New Roman" w:hAnsi="Times New Roman" w:eastAsia="仿宋" w:cs="Times New Roman"/>
          <w:sz w:val="32"/>
          <w:szCs w:val="32"/>
        </w:rPr>
        <w:t>费申诉案件进行裁决。负责全县工农业产品成本调查工作。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7、能源改革</w:t>
      </w:r>
      <w:r>
        <w:rPr>
          <w:rFonts w:hint="eastAsia" w:ascii="Times New Roman" w:hAnsi="Times New Roman" w:eastAsia="仿宋" w:cs="Times New Roman"/>
          <w:sz w:val="32"/>
          <w:szCs w:val="32"/>
        </w:rPr>
        <w:t>创新。拟订并组织实施全县工业能源节约和资源综合利用、清洁生产促进政策，参与拟订能源节约和资源综合利用、清洁生产促进规划，组织协调相关重大示范工程和新产品、新技术、新设备、新材料的推广应用。强化节能监察，加强大气污染综合治理，完成市下达的节能降耗任务目标。</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8、投</w:t>
      </w:r>
      <w:r>
        <w:rPr>
          <w:rFonts w:hint="eastAsia" w:ascii="Times New Roman" w:hAnsi="Times New Roman" w:eastAsia="仿宋" w:cs="Times New Roman"/>
          <w:sz w:val="32"/>
          <w:szCs w:val="32"/>
        </w:rPr>
        <w:t>资基建项目。负责提出全县固定资产投资规模和方向、国家和省、市、县财政性建设资金安排的意见；按县政府规定权限审批、核准、审核、申报国家和省、市、县规划内及年度计划规模内固定资产</w:t>
      </w:r>
      <w:r>
        <w:rPr>
          <w:rFonts w:ascii="Times New Roman" w:hAnsi="Times New Roman" w:eastAsia="仿宋" w:cs="Times New Roman"/>
          <w:sz w:val="32"/>
          <w:szCs w:val="32"/>
        </w:rPr>
        <w:t>投</w:t>
      </w:r>
      <w:r>
        <w:rPr>
          <w:rFonts w:hint="eastAsia" w:ascii="Times New Roman" w:hAnsi="Times New Roman" w:eastAsia="仿宋" w:cs="Times New Roman"/>
          <w:sz w:val="32"/>
          <w:szCs w:val="32"/>
        </w:rPr>
        <w:t>资项目。</w:t>
      </w:r>
      <w:r>
        <w:rPr>
          <w:rFonts w:ascii="Times New Roman" w:hAnsi="Times New Roman" w:eastAsia="仿宋" w:cs="Times New Roman"/>
          <w:sz w:val="32"/>
          <w:szCs w:val="32"/>
        </w:rPr>
        <w:br w:type="textWrapping"/>
      </w:r>
      <w:r>
        <w:rPr>
          <w:rFonts w:ascii="Times New Roman" w:hAnsi="Times New Roman" w:eastAsia="仿宋" w:cs="Times New Roman"/>
          <w:sz w:val="32"/>
          <w:szCs w:val="32"/>
        </w:rPr>
        <w:t xml:space="preserve">    9、</w:t>
      </w:r>
      <w:r>
        <w:rPr>
          <w:rFonts w:hint="eastAsia" w:ascii="Times New Roman" w:hAnsi="Times New Roman" w:eastAsia="仿宋" w:cs="Times New Roman"/>
          <w:sz w:val="32"/>
          <w:szCs w:val="32"/>
        </w:rPr>
        <w:t>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r>
        <w:rPr>
          <w:rFonts w:ascii="Times New Roman" w:hAnsi="Times New Roman" w:eastAsia="仿宋" w:cs="Times New Roman"/>
          <w:sz w:val="32"/>
          <w:szCs w:val="32"/>
        </w:rPr>
        <w:br w:type="textWrapping"/>
      </w:r>
      <w:r>
        <w:rPr>
          <w:rFonts w:ascii="Times New Roman" w:hAnsi="Times New Roman" w:eastAsia="仿宋" w:cs="Times New Roman"/>
          <w:sz w:val="32"/>
          <w:szCs w:val="32"/>
        </w:rPr>
        <w:t xml:space="preserve">    10、根据</w:t>
      </w:r>
      <w:r>
        <w:rPr>
          <w:rFonts w:hint="eastAsia" w:ascii="Times New Roman" w:hAnsi="Times New Roman" w:eastAsia="仿宋" w:cs="Times New Roman"/>
          <w:sz w:val="32"/>
          <w:szCs w:val="32"/>
        </w:rPr>
        <w:t>国家和省、市有关政策，会同有关部门做好煤、电、油、气及交通运输调度工作；负责煤炭经营资格、黄金开采和生产资格的审核、申报工作。负责全县电力行业管理和行政执法；负责电力年度供需平衡、资源配置和电力需求侧管理工作；承担县政府电力办公室工作；承担县煤炭市场管理办公室工作。</w:t>
      </w:r>
      <w:r>
        <w:rPr>
          <w:rFonts w:ascii="Times New Roman" w:hAnsi="Times New Roman" w:eastAsia="仿宋" w:cs="Times New Roman"/>
          <w:sz w:val="32"/>
          <w:szCs w:val="32"/>
        </w:rPr>
        <w:br w:type="textWrapping"/>
      </w:r>
      <w:r>
        <w:rPr>
          <w:rFonts w:ascii="Times New Roman" w:hAnsi="Times New Roman" w:eastAsia="仿宋" w:cs="Times New Roman"/>
          <w:sz w:val="32"/>
          <w:szCs w:val="32"/>
        </w:rPr>
        <w:t xml:space="preserve">    11、</w:t>
      </w:r>
      <w:r>
        <w:rPr>
          <w:rFonts w:hint="eastAsia" w:ascii="Times New Roman" w:hAnsi="Times New Roman" w:eastAsia="仿宋" w:cs="Times New Roman"/>
          <w:sz w:val="32"/>
          <w:szCs w:val="32"/>
        </w:rPr>
        <w:t>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12、</w:t>
      </w:r>
      <w:r>
        <w:rPr>
          <w:rFonts w:hint="eastAsia" w:ascii="Times New Roman" w:hAnsi="Times New Roman" w:eastAsia="仿宋" w:cs="Times New Roman"/>
          <w:sz w:val="32"/>
          <w:szCs w:val="32"/>
        </w:rPr>
        <w:t>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13</w:t>
      </w:r>
      <w:r>
        <w:rPr>
          <w:rFonts w:hint="eastAsia" w:ascii="Times New Roman" w:hAnsi="Times New Roman" w:eastAsia="仿宋" w:cs="Times New Roman"/>
          <w:sz w:val="32"/>
          <w:szCs w:val="32"/>
        </w:rPr>
        <w:t>组织实施科研项目和经济技术开发项目以及先进实用技术的推广和成果管理，开展科技创新。</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14、承</w:t>
      </w:r>
      <w:r>
        <w:rPr>
          <w:rFonts w:hint="eastAsia" w:ascii="Times New Roman" w:hAnsi="Times New Roman" w:eastAsia="仿宋" w:cs="Times New Roman"/>
          <w:sz w:val="32"/>
          <w:szCs w:val="32"/>
        </w:rPr>
        <w:t>办县政府交办的其他事项。</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875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88"/>
        <w:gridCol w:w="1378"/>
        <w:gridCol w:w="1378"/>
        <w:gridCol w:w="33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3" w:hRule="atLeast"/>
          <w:tblHeader/>
        </w:trPr>
        <w:tc>
          <w:tcPr>
            <w:tcW w:w="2688" w:type="dxa"/>
            <w:tcBorders>
              <w:bottom w:val="single" w:color="000000" w:sz="6" w:space="0"/>
            </w:tcBorders>
            <w:shd w:val="clear" w:color="auto" w:fill="auto"/>
            <w:vAlign w:val="center"/>
          </w:tcPr>
          <w:p>
            <w:pPr>
              <w:spacing w:line="300" w:lineRule="exact"/>
              <w:jc w:val="center"/>
              <w:rPr>
                <w:rFonts w:ascii="仿宋_GB2312" w:eastAsia="仿宋_GB2312"/>
                <w:szCs w:val="21"/>
              </w:rPr>
            </w:pPr>
            <w:r>
              <w:rPr>
                <w:rFonts w:hint="eastAsia" w:ascii="仿宋_GB2312" w:eastAsia="仿宋_GB2312"/>
                <w:szCs w:val="21"/>
              </w:rPr>
              <w:t>单位名称</w:t>
            </w:r>
          </w:p>
        </w:tc>
        <w:tc>
          <w:tcPr>
            <w:tcW w:w="1378" w:type="dxa"/>
            <w:tcBorders>
              <w:bottom w:val="single" w:color="000000" w:sz="6" w:space="0"/>
            </w:tcBorders>
            <w:shd w:val="clear" w:color="auto" w:fill="auto"/>
            <w:vAlign w:val="center"/>
          </w:tcPr>
          <w:p>
            <w:pPr>
              <w:spacing w:line="300" w:lineRule="exact"/>
              <w:rPr>
                <w:rFonts w:ascii="仿宋_GB2312" w:eastAsia="仿宋_GB2312"/>
                <w:szCs w:val="21"/>
              </w:rPr>
            </w:pPr>
            <w:r>
              <w:rPr>
                <w:rFonts w:hint="eastAsia" w:ascii="仿宋_GB2312" w:eastAsia="仿宋_GB2312"/>
                <w:szCs w:val="21"/>
              </w:rPr>
              <w:t>单位性质</w:t>
            </w:r>
          </w:p>
        </w:tc>
        <w:tc>
          <w:tcPr>
            <w:tcW w:w="1378" w:type="dxa"/>
            <w:tcBorders>
              <w:bottom w:val="single" w:color="000000" w:sz="6" w:space="0"/>
            </w:tcBorders>
            <w:shd w:val="clear" w:color="auto" w:fill="auto"/>
            <w:vAlign w:val="center"/>
          </w:tcPr>
          <w:p>
            <w:pPr>
              <w:spacing w:line="300" w:lineRule="exact"/>
              <w:jc w:val="center"/>
              <w:rPr>
                <w:rFonts w:ascii="仿宋_GB2312" w:eastAsia="仿宋_GB2312"/>
                <w:szCs w:val="21"/>
              </w:rPr>
            </w:pPr>
            <w:r>
              <w:rPr>
                <w:rFonts w:hint="eastAsia" w:ascii="仿宋_GB2312" w:eastAsia="仿宋_GB2312"/>
                <w:szCs w:val="21"/>
              </w:rPr>
              <w:t>单位规格</w:t>
            </w:r>
          </w:p>
        </w:tc>
        <w:tc>
          <w:tcPr>
            <w:tcW w:w="3311" w:type="dxa"/>
            <w:tcBorders>
              <w:bottom w:val="single" w:color="000000" w:sz="6" w:space="0"/>
            </w:tcBorders>
            <w:shd w:val="clear" w:color="auto" w:fill="auto"/>
            <w:vAlign w:val="center"/>
          </w:tcPr>
          <w:p>
            <w:pPr>
              <w:spacing w:line="300" w:lineRule="exact"/>
              <w:jc w:val="center"/>
              <w:rPr>
                <w:rFonts w:ascii="仿宋_GB2312" w:eastAsia="仿宋_GB2312"/>
                <w:szCs w:val="21"/>
              </w:rPr>
            </w:pPr>
            <w:r>
              <w:rPr>
                <w:rFonts w:hint="eastAsia" w:ascii="仿宋_GB2312" w:eastAsia="仿宋_GB2312"/>
                <w:szCs w:val="2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trPr>
        <w:tc>
          <w:tcPr>
            <w:tcW w:w="2688" w:type="dxa"/>
            <w:shd w:val="clear" w:color="auto" w:fill="auto"/>
            <w:vAlign w:val="center"/>
          </w:tcPr>
          <w:p>
            <w:pPr>
              <w:spacing w:line="300" w:lineRule="exact"/>
              <w:jc w:val="center"/>
              <w:rPr>
                <w:rFonts w:ascii="仿宋_GB2312" w:eastAsia="仿宋_GB2312"/>
                <w:szCs w:val="21"/>
              </w:rPr>
            </w:pPr>
            <w:r>
              <w:rPr>
                <w:rFonts w:hint="eastAsia" w:ascii="仿宋_GB2312" w:eastAsia="仿宋_GB2312"/>
                <w:szCs w:val="21"/>
              </w:rPr>
              <w:t>无极县发展改革局</w:t>
            </w:r>
          </w:p>
        </w:tc>
        <w:tc>
          <w:tcPr>
            <w:tcW w:w="1378" w:type="dxa"/>
            <w:shd w:val="clear" w:color="auto" w:fill="auto"/>
            <w:vAlign w:val="center"/>
          </w:tcPr>
          <w:p>
            <w:pPr>
              <w:spacing w:line="300" w:lineRule="exact"/>
              <w:jc w:val="center"/>
              <w:rPr>
                <w:rFonts w:ascii="仿宋_GB2312" w:eastAsia="仿宋_GB2312"/>
                <w:szCs w:val="21"/>
              </w:rPr>
            </w:pPr>
            <w:r>
              <w:rPr>
                <w:rFonts w:hint="eastAsia" w:ascii="仿宋_GB2312" w:eastAsia="仿宋_GB2312"/>
                <w:szCs w:val="21"/>
              </w:rPr>
              <w:t>行政</w:t>
            </w:r>
          </w:p>
        </w:tc>
        <w:tc>
          <w:tcPr>
            <w:tcW w:w="1378" w:type="dxa"/>
            <w:shd w:val="clear" w:color="auto" w:fill="auto"/>
            <w:vAlign w:val="center"/>
          </w:tcPr>
          <w:p>
            <w:pPr>
              <w:spacing w:line="300" w:lineRule="exact"/>
              <w:jc w:val="center"/>
              <w:rPr>
                <w:rFonts w:ascii="仿宋_GB2312" w:eastAsia="仿宋_GB2312"/>
                <w:szCs w:val="21"/>
              </w:rPr>
            </w:pPr>
            <w:r>
              <w:rPr>
                <w:rFonts w:hint="eastAsia" w:ascii="仿宋_GB2312" w:eastAsia="仿宋_GB2312"/>
                <w:szCs w:val="21"/>
              </w:rPr>
              <w:t>正科级</w:t>
            </w:r>
          </w:p>
        </w:tc>
        <w:tc>
          <w:tcPr>
            <w:tcW w:w="3311" w:type="dxa"/>
            <w:shd w:val="clear" w:color="auto" w:fill="auto"/>
            <w:vAlign w:val="center"/>
          </w:tcPr>
          <w:p>
            <w:pPr>
              <w:spacing w:line="300" w:lineRule="exact"/>
              <w:jc w:val="center"/>
              <w:rPr>
                <w:rFonts w:ascii="仿宋_GB2312" w:eastAsia="仿宋_GB2312"/>
                <w:szCs w:val="21"/>
              </w:rPr>
            </w:pPr>
            <w:r>
              <w:rPr>
                <w:rFonts w:hint="eastAsia" w:ascii="仿宋_GB2312" w:eastAsia="仿宋_GB2312"/>
                <w:szCs w:val="21"/>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adjustRightInd w:val="0"/>
        <w:snapToGrid w:val="0"/>
        <w:spacing w:line="600" w:lineRule="exact"/>
        <w:ind w:firstLine="707" w:firstLineChars="221"/>
        <w:jc w:val="left"/>
        <w:rPr>
          <w:rFonts w:ascii="仿宋_GB2312" w:eastAsia="仿宋_GB2312" w:cs="仿宋_GB2312"/>
          <w:bCs/>
          <w:sz w:val="32"/>
          <w:szCs w:val="32"/>
        </w:rPr>
      </w:pPr>
      <w:r>
        <w:rPr>
          <w:rFonts w:hint="eastAsia" w:ascii="Times New Roman" w:hAnsi="Times New Roman" w:eastAsia="仿宋" w:cs="Times New Roman"/>
          <w:sz w:val="32"/>
          <w:szCs w:val="32"/>
        </w:rPr>
        <w:t>反映本部门当年全部收入。2020年预算收入总计</w:t>
      </w:r>
      <w:r>
        <w:rPr>
          <w:rFonts w:ascii="Times New Roman" w:hAnsi="Times New Roman" w:eastAsia="仿宋" w:cs="Times New Roman"/>
          <w:sz w:val="32"/>
          <w:szCs w:val="32"/>
        </w:rPr>
        <w:t>944.4</w:t>
      </w:r>
      <w:r>
        <w:rPr>
          <w:rFonts w:hint="eastAsia" w:ascii="Times New Roman" w:hAnsi="Times New Roman" w:eastAsia="仿宋" w:cs="Times New Roman"/>
          <w:sz w:val="32"/>
          <w:szCs w:val="32"/>
        </w:rPr>
        <w:t>万元。其中，一般公共预算收入</w:t>
      </w:r>
      <w:r>
        <w:rPr>
          <w:rFonts w:ascii="Times New Roman" w:hAnsi="Times New Roman" w:eastAsia="仿宋" w:cs="Times New Roman"/>
          <w:sz w:val="32"/>
          <w:szCs w:val="32"/>
        </w:rPr>
        <w:t>944.4</w:t>
      </w:r>
      <w:r>
        <w:rPr>
          <w:rFonts w:hint="eastAsia" w:ascii="Times New Roman" w:hAnsi="Times New Roman" w:eastAsia="仿宋" w:cs="Times New Roman"/>
          <w:sz w:val="32"/>
          <w:szCs w:val="32"/>
        </w:rPr>
        <w:t>万元、政府性基金收入0万元、财政专户核拨收入0万元，其他来源收入0万元。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adjustRightInd w:val="0"/>
        <w:snapToGrid w:val="0"/>
        <w:spacing w:line="600" w:lineRule="exact"/>
        <w:ind w:firstLine="707" w:firstLineChars="221"/>
        <w:jc w:val="left"/>
        <w:rPr>
          <w:rFonts w:ascii="Times New Roman" w:hAnsi="Times New Roman" w:eastAsia="仿宋" w:cs="Times New Roman"/>
          <w:color w:val="000000"/>
          <w:sz w:val="32"/>
          <w:szCs w:val="32"/>
        </w:rPr>
      </w:pPr>
      <w:r>
        <w:rPr>
          <w:rFonts w:ascii="Times New Roman" w:hAnsi="Times New Roman" w:eastAsia="仿宋" w:cs="Times New Roman"/>
          <w:color w:val="000000"/>
          <w:sz w:val="32"/>
          <w:szCs w:val="32"/>
        </w:rPr>
        <w:t>收支预算总表支出栏、基本支出表、项目支出表按经济分类和支出功能分类科目编制，反映</w:t>
      </w:r>
      <w:r>
        <w:rPr>
          <w:rFonts w:hint="eastAsia" w:ascii="Times New Roman" w:hAnsi="Times New Roman" w:eastAsia="仿宋" w:cs="Times New Roman"/>
          <w:color w:val="000000"/>
          <w:sz w:val="32"/>
          <w:szCs w:val="32"/>
        </w:rPr>
        <w:t>无极</w:t>
      </w:r>
      <w:r>
        <w:rPr>
          <w:rFonts w:ascii="Times New Roman" w:hAnsi="Times New Roman" w:eastAsia="仿宋" w:cs="Times New Roman"/>
          <w:color w:val="000000"/>
          <w:sz w:val="32"/>
          <w:szCs w:val="32"/>
        </w:rPr>
        <w:t>县发展和改革局</w:t>
      </w:r>
      <w:r>
        <w:rPr>
          <w:rFonts w:hint="eastAsia" w:ascii="Times New Roman" w:hAnsi="Times New Roman" w:eastAsia="仿宋" w:cs="Times New Roman"/>
          <w:color w:val="000000"/>
          <w:sz w:val="32"/>
          <w:szCs w:val="32"/>
        </w:rPr>
        <w:t>，</w:t>
      </w:r>
      <w:r>
        <w:rPr>
          <w:rFonts w:ascii="Times New Roman" w:hAnsi="Times New Roman" w:eastAsia="仿宋" w:cs="Times New Roman"/>
          <w:color w:val="000000"/>
          <w:sz w:val="32"/>
          <w:szCs w:val="32"/>
        </w:rPr>
        <w:t>年度部门预算中支出预算的总体情况。</w:t>
      </w:r>
      <w:r>
        <w:rPr>
          <w:rFonts w:hint="eastAsia" w:ascii="Times New Roman" w:hAnsi="Times New Roman" w:eastAsia="仿宋" w:cs="Times New Roman"/>
          <w:color w:val="000000"/>
          <w:sz w:val="32"/>
          <w:szCs w:val="32"/>
        </w:rPr>
        <w:t>201</w:t>
      </w:r>
      <w:r>
        <w:rPr>
          <w:rFonts w:ascii="Times New Roman" w:hAnsi="Times New Roman" w:eastAsia="仿宋" w:cs="Times New Roman"/>
          <w:color w:val="000000"/>
          <w:sz w:val="32"/>
          <w:szCs w:val="32"/>
        </w:rPr>
        <w:t>9</w:t>
      </w:r>
      <w:r>
        <w:rPr>
          <w:rFonts w:hint="eastAsia" w:ascii="Times New Roman" w:hAnsi="Times New Roman" w:eastAsia="仿宋" w:cs="Times New Roman"/>
          <w:color w:val="000000"/>
          <w:sz w:val="32"/>
          <w:szCs w:val="32"/>
        </w:rPr>
        <w:t>年预算支出</w:t>
      </w:r>
      <w:r>
        <w:rPr>
          <w:rFonts w:ascii="Times New Roman" w:hAnsi="Times New Roman" w:eastAsia="仿宋" w:cs="Times New Roman"/>
          <w:color w:val="000000"/>
          <w:sz w:val="32"/>
          <w:szCs w:val="32"/>
        </w:rPr>
        <w:t>944.4</w:t>
      </w:r>
      <w:r>
        <w:rPr>
          <w:rFonts w:hint="eastAsia" w:ascii="Times New Roman" w:hAnsi="Times New Roman" w:eastAsia="仿宋" w:cs="Times New Roman"/>
          <w:color w:val="000000"/>
          <w:sz w:val="32"/>
          <w:szCs w:val="32"/>
        </w:rPr>
        <w:t>万元。其中，人员经费支出</w:t>
      </w:r>
      <w:r>
        <w:rPr>
          <w:rFonts w:ascii="Times New Roman" w:hAnsi="Times New Roman" w:eastAsia="仿宋" w:cs="Times New Roman"/>
          <w:color w:val="000000"/>
          <w:sz w:val="32"/>
          <w:szCs w:val="32"/>
        </w:rPr>
        <w:t>742.7</w:t>
      </w:r>
      <w:r>
        <w:rPr>
          <w:rFonts w:hint="eastAsia" w:ascii="Times New Roman" w:hAnsi="Times New Roman" w:eastAsia="仿宋" w:cs="Times New Roman"/>
          <w:color w:val="000000"/>
          <w:sz w:val="32"/>
          <w:szCs w:val="32"/>
        </w:rPr>
        <w:t>万元，正常公用经费</w:t>
      </w:r>
      <w:r>
        <w:rPr>
          <w:rFonts w:ascii="Times New Roman" w:hAnsi="Times New Roman" w:eastAsia="仿宋" w:cs="Times New Roman"/>
          <w:color w:val="000000"/>
          <w:sz w:val="32"/>
          <w:szCs w:val="32"/>
        </w:rPr>
        <w:t>68.7</w:t>
      </w:r>
      <w:r>
        <w:rPr>
          <w:rFonts w:hint="eastAsia" w:ascii="Times New Roman" w:hAnsi="Times New Roman" w:eastAsia="仿宋" w:cs="Times New Roman"/>
          <w:color w:val="000000"/>
          <w:sz w:val="32"/>
          <w:szCs w:val="32"/>
        </w:rPr>
        <w:t>万元，项目支出</w:t>
      </w:r>
      <w:r>
        <w:rPr>
          <w:rFonts w:ascii="Times New Roman" w:hAnsi="Times New Roman" w:eastAsia="仿宋" w:cs="Times New Roman"/>
          <w:color w:val="000000"/>
          <w:sz w:val="32"/>
          <w:szCs w:val="32"/>
        </w:rPr>
        <w:t>133</w:t>
      </w:r>
      <w:r>
        <w:rPr>
          <w:rFonts w:hint="eastAsia" w:ascii="Times New Roman" w:hAnsi="Times New Roman" w:eastAsia="仿宋" w:cs="Times New Roman"/>
          <w:color w:val="000000"/>
          <w:sz w:val="32"/>
          <w:szCs w:val="32"/>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2020年部门预算收支安排</w:t>
      </w:r>
      <w:r>
        <w:rPr>
          <w:rFonts w:ascii="Times New Roman" w:hAnsi="Times New Roman" w:eastAsia="仿宋" w:cs="Times New Roman"/>
          <w:sz w:val="32"/>
          <w:szCs w:val="32"/>
        </w:rPr>
        <w:t>944.4</w:t>
      </w:r>
      <w:r>
        <w:rPr>
          <w:rFonts w:hint="eastAsia" w:ascii="Times New Roman" w:hAnsi="Times New Roman" w:eastAsia="仿宋" w:cs="Times New Roman"/>
          <w:color w:val="000000"/>
          <w:sz w:val="32"/>
          <w:szCs w:val="32"/>
        </w:rPr>
        <w:t>万元较201</w:t>
      </w:r>
      <w:r>
        <w:rPr>
          <w:rFonts w:ascii="Times New Roman" w:hAnsi="Times New Roman" w:eastAsia="仿宋" w:cs="Times New Roman"/>
          <w:color w:val="000000"/>
          <w:sz w:val="32"/>
          <w:szCs w:val="32"/>
        </w:rPr>
        <w:t>9</w:t>
      </w:r>
      <w:r>
        <w:rPr>
          <w:rFonts w:hint="eastAsia" w:ascii="Times New Roman" w:hAnsi="Times New Roman" w:eastAsia="仿宋" w:cs="Times New Roman"/>
          <w:color w:val="000000"/>
          <w:sz w:val="32"/>
          <w:szCs w:val="32"/>
        </w:rPr>
        <w:t>年增加</w:t>
      </w:r>
      <w:r>
        <w:rPr>
          <w:rFonts w:ascii="Times New Roman" w:hAnsi="Times New Roman" w:eastAsia="仿宋" w:cs="Times New Roman"/>
          <w:color w:val="000000"/>
          <w:sz w:val="32"/>
          <w:szCs w:val="32"/>
        </w:rPr>
        <w:t>391.21</w:t>
      </w:r>
      <w:r>
        <w:rPr>
          <w:rFonts w:hint="eastAsia" w:ascii="Times New Roman" w:hAnsi="Times New Roman" w:eastAsia="仿宋" w:cs="Times New Roman"/>
          <w:color w:val="000000"/>
          <w:sz w:val="32"/>
          <w:szCs w:val="32"/>
        </w:rPr>
        <w:t>万元，其中：基本支出增加</w:t>
      </w:r>
      <w:r>
        <w:rPr>
          <w:rFonts w:ascii="Times New Roman" w:hAnsi="Times New Roman" w:eastAsia="仿宋" w:cs="Times New Roman"/>
          <w:color w:val="000000"/>
          <w:sz w:val="32"/>
          <w:szCs w:val="32"/>
        </w:rPr>
        <w:t>355.46</w:t>
      </w:r>
      <w:r>
        <w:rPr>
          <w:rFonts w:hint="eastAsia" w:ascii="Times New Roman" w:hAnsi="Times New Roman" w:eastAsia="仿宋" w:cs="Times New Roman"/>
          <w:color w:val="000000"/>
          <w:sz w:val="32"/>
          <w:szCs w:val="32"/>
        </w:rPr>
        <w:t>万元，主要是人员工资、保险增加和公用经费标准定额调整；项目支出增加</w:t>
      </w:r>
      <w:r>
        <w:rPr>
          <w:rFonts w:ascii="Times New Roman" w:hAnsi="Times New Roman" w:eastAsia="仿宋" w:cs="Times New Roman"/>
          <w:color w:val="000000"/>
          <w:sz w:val="32"/>
          <w:szCs w:val="32"/>
        </w:rPr>
        <w:t>35.75</w:t>
      </w:r>
      <w:r>
        <w:rPr>
          <w:rFonts w:hint="eastAsia" w:ascii="Times New Roman" w:hAnsi="Times New Roman" w:eastAsia="仿宋" w:cs="Times New Roman"/>
          <w:color w:val="000000"/>
          <w:sz w:val="32"/>
          <w:szCs w:val="32"/>
        </w:rPr>
        <w:t>万元，主要是由于项目调整。</w:t>
      </w:r>
    </w:p>
    <w:p>
      <w:pPr>
        <w:ind w:firstLine="640"/>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color w:val="000000"/>
          <w:sz w:val="32"/>
          <w:szCs w:val="32"/>
        </w:rPr>
      </w:pPr>
      <w:r>
        <w:rPr>
          <w:rFonts w:hint="eastAsia" w:ascii="Times New Roman" w:hAnsi="Times New Roman" w:eastAsia="仿宋" w:cs="Times New Roman"/>
          <w:sz w:val="32"/>
          <w:szCs w:val="32"/>
        </w:rPr>
        <w:t>2020年</w:t>
      </w:r>
      <w:r>
        <w:rPr>
          <w:rFonts w:hint="eastAsia" w:ascii="Times New Roman" w:hAnsi="Times New Roman" w:eastAsia="仿宋" w:cs="Times New Roman"/>
          <w:color w:val="000000"/>
          <w:sz w:val="32"/>
          <w:szCs w:val="32"/>
        </w:rPr>
        <w:t>机关运行经费共计安排</w:t>
      </w:r>
      <w:r>
        <w:rPr>
          <w:rFonts w:ascii="Times New Roman" w:hAnsi="Times New Roman" w:eastAsia="仿宋" w:cs="Times New Roman"/>
          <w:color w:val="000000"/>
          <w:sz w:val="32"/>
          <w:szCs w:val="32"/>
        </w:rPr>
        <w:t>68.7</w:t>
      </w:r>
      <w:r>
        <w:rPr>
          <w:rFonts w:hint="eastAsia" w:ascii="Times New Roman" w:hAnsi="Times New Roman" w:eastAsia="仿宋" w:cs="Times New Roman"/>
          <w:color w:val="000000"/>
          <w:sz w:val="32"/>
          <w:szCs w:val="32"/>
        </w:rPr>
        <w:t>万元，主要用于我部门日常办公，办公区水电费、日常维修、办公用房物业管理费、公务交通补等日常运行支出。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ascii="Times New Roman" w:hAnsi="Times New Roman" w:eastAsia="仿宋" w:cs="Times New Roman"/>
          <w:sz w:val="32"/>
          <w:szCs w:val="32"/>
        </w:rPr>
        <w:t>3</w:t>
      </w:r>
      <w:r>
        <w:rPr>
          <w:rFonts w:hint="eastAsia" w:ascii="Times New Roman" w:hAnsi="Times New Roman" w:eastAsia="仿宋" w:cs="Times New Roman"/>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万元；公务用车购置及运维费</w:t>
      </w:r>
      <w:r>
        <w:rPr>
          <w:rFonts w:ascii="Times New Roman" w:hAnsi="Times New Roman" w:eastAsia="仿宋" w:cs="Times New Roman"/>
          <w:sz w:val="32"/>
          <w:szCs w:val="32"/>
        </w:rPr>
        <w:t>3</w:t>
      </w:r>
      <w:r>
        <w:rPr>
          <w:rFonts w:hint="eastAsia" w:ascii="Times New Roman" w:hAnsi="Times New Roman" w:eastAsia="仿宋" w:cs="Times New Roman"/>
          <w:sz w:val="32"/>
          <w:szCs w:val="32"/>
        </w:rPr>
        <w:t>万元（其中：公务用车购置费0万元，公务用车运行维护费</w:t>
      </w:r>
      <w:r>
        <w:rPr>
          <w:rFonts w:ascii="Times New Roman" w:hAnsi="Times New Roman" w:eastAsia="仿宋" w:cs="Times New Roman"/>
          <w:sz w:val="32"/>
          <w:szCs w:val="32"/>
        </w:rPr>
        <w:t>3</w:t>
      </w:r>
      <w:r>
        <w:rPr>
          <w:rFonts w:hint="eastAsia" w:ascii="Times New Roman" w:hAnsi="Times New Roman" w:eastAsia="仿宋" w:cs="Times New Roman"/>
          <w:sz w:val="32"/>
          <w:szCs w:val="32"/>
        </w:rPr>
        <w:t>万元)；公务接待费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2020年，部</w:t>
      </w:r>
      <w:r>
        <w:rPr>
          <w:rFonts w:hint="eastAsia" w:ascii="Times New Roman" w:hAnsi="Times New Roman" w:eastAsia="仿宋" w:cs="Times New Roman"/>
          <w:sz w:val="32"/>
          <w:szCs w:val="32"/>
        </w:rPr>
        <w:t>门总体绩效目标贯彻落实党中央、省、石家庄市和无极县委关于发展改革工作的方针政策和决策部署，坚持和加强党对发展改革工作的集中统一领导。拟订并组织实施全县经济和社会发展战略、中长期规划和年度计划。研究分析县内外经济形势和发展情况，进行宏观经济的预测、预警。组织对全县经济和社会发展中的重大问题和热点、难点问题的调查研究，提出对策建议。负责汇总和分析全县财政、金融等方面的情况。研究全县经济体制改革和对外开放的综合性、全局性问题及对策，提出以改革开放促进发展的建议，协调发展与改革中的重大问题。提出</w:t>
      </w:r>
      <w:r>
        <w:rPr>
          <w:rFonts w:ascii="Times New Roman" w:hAnsi="Times New Roman" w:eastAsia="仿宋" w:cs="Times New Roman"/>
          <w:sz w:val="32"/>
          <w:szCs w:val="32"/>
        </w:rPr>
        <w:t>全</w:t>
      </w:r>
      <w:r>
        <w:rPr>
          <w:rFonts w:hint="eastAsia" w:ascii="Times New Roman" w:hAnsi="Times New Roman" w:eastAsia="仿宋" w:cs="Times New Roman"/>
          <w:sz w:val="32"/>
          <w:szCs w:val="32"/>
        </w:rPr>
        <w:t>县全社会固定资产投资总规模、投资结构，编制年度投资计划；研究提出有关重大投资政策，规划重大项目和生产力布局。负责指导和协调全县招标投标工作。负责承办重大建设项目稽察工作有关事项。研究分析全县经济结构的状况，提出优化所有制结构的建议，研究分析县域经济和城镇化发展情况，提出县域经济协调发展和实施西部大开发战略的规划，提出城镇化发展战略和政策措施建议。研究分析县内外市场状况。做好人口和计划生育、科学技术、教育、文化、卫生等社会事业以及国防动员与经济发展的衔接平衡。推进可持续发展战略，研究拟订全县资源开发与综合利</w:t>
      </w:r>
      <w:r>
        <w:rPr>
          <w:rFonts w:ascii="Times New Roman" w:hAnsi="Times New Roman" w:eastAsia="仿宋" w:cs="Times New Roman"/>
          <w:sz w:val="32"/>
          <w:szCs w:val="32"/>
        </w:rPr>
        <w:t>用、</w:t>
      </w:r>
      <w:r>
        <w:rPr>
          <w:rFonts w:hint="eastAsia" w:ascii="Times New Roman" w:hAnsi="Times New Roman" w:eastAsia="仿宋" w:cs="Times New Roman"/>
          <w:sz w:val="32"/>
          <w:szCs w:val="32"/>
        </w:rPr>
        <w:t>环境保护、生态建设等规划，参与组织协调规划的实施。研究提出促进就业、调整收入分配、完善社会保障与经济协调发展的政策措施。指导和协调物价、粮食综合平衡与宏观调控工作。归口管理全县经济信息产业和工程咨询行业。承办县政府交办的其他事项拟订全市粮食流通规划并组织实施。拟订市级粮食、食糖、食盐和救灾物资储备规划、储备品种目录并组织实施。承担粮食安全市长责任制考核日常工作。</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w:t>
      </w:r>
      <w:r>
        <w:rPr>
          <w:rFonts w:hint="eastAsia" w:ascii="Times New Roman" w:hAnsi="Times New Roman" w:eastAsia="仿宋" w:cs="Times New Roman"/>
          <w:sz w:val="32"/>
          <w:szCs w:val="32"/>
        </w:rPr>
        <w:t>组织编制经济社会发展规划和计划</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拟定全市经济社会发展中长期规划，对规划执行情况监测预测、中期评估及动态调整，统筹协调市级专项规划和区域规划；研究分析全市经济和社会发展重大战略与布局，拟定全市年度经济社会发展计划，并受市政府委托向县人大作全市国民经济和社会发展计划报告。编制和拟订全市重点领域、重要产业和县域发展等战略规划和计划，研究提出落实措施等建议。</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绩效目标：增强规划和计划的前瞻性、科学性、可操作性；规划目标全面、先进、可行；组织落实措施得力，调度有序。</w:t>
      </w:r>
      <w:r>
        <w:rPr>
          <w:rFonts w:ascii="Times New Roman" w:hAnsi="Times New Roman" w:eastAsia="仿宋" w:cs="Times New Roman"/>
          <w:sz w:val="32"/>
          <w:szCs w:val="32"/>
        </w:rPr>
        <w:tab/>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绩效指标：各类经济社会发展中长期规划编</w:t>
      </w:r>
      <w:r>
        <w:rPr>
          <w:rFonts w:ascii="Times New Roman" w:hAnsi="Times New Roman" w:eastAsia="仿宋" w:cs="Times New Roman"/>
          <w:sz w:val="32"/>
          <w:szCs w:val="32"/>
        </w:rPr>
        <w:t>制完成率≥95%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（二）推</w:t>
      </w:r>
      <w:r>
        <w:rPr>
          <w:rFonts w:hint="eastAsia" w:ascii="Times New Roman" w:hAnsi="Times New Roman" w:eastAsia="仿宋" w:cs="Times New Roman"/>
          <w:sz w:val="32"/>
          <w:szCs w:val="32"/>
        </w:rPr>
        <w:t>进全市改革开放经济及合作，实施综合性改革方案，组织实施重要改革事项，统筹推动全市综合配套改革试点和专项改革试点。统筹全市重大公共服务资源布局和相关项目的计划实施，促进公共服务资源有效整合和协调配置。</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绩效目标：推进经济体制改革，实施经济体制改革、对外开放有关地方性法规，以及对相关规章的起草和实施。</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绩效指标：推进全市社会信用体系建设、公共服务均等化评估结果，均实现完成规划目标。</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（三）</w:t>
      </w:r>
      <w:r>
        <w:rPr>
          <w:rFonts w:hint="eastAsia" w:ascii="Times New Roman" w:hAnsi="Times New Roman" w:eastAsia="仿宋" w:cs="Times New Roman"/>
          <w:sz w:val="32"/>
          <w:szCs w:val="32"/>
        </w:rPr>
        <w:t>经济社会发展形势监测分析、运行调节和政策建议，负责全市经济社会发展运行调节、监测，综合协调经济社会发展，进行区域经济的预测、预警；负责日常经济和社会事业发展运行的调节，组织解决经济运行和社会事业发展中重大问题；组织实施全市国民经济、装备动员潜力调查、预案编制、专业队伍组建、动员中心建设。</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绩效目标：做好经济运行监测分析，协调经济社会运行平稳有序和健康发展，提升全市经济、装备动员能力。</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绩效指标：调研次数、形势分析或调研报告数量</w:t>
      </w:r>
      <w:r>
        <w:rPr>
          <w:rFonts w:ascii="Times New Roman" w:hAnsi="Times New Roman" w:eastAsia="仿宋" w:cs="Times New Roman"/>
          <w:sz w:val="32"/>
          <w:szCs w:val="32"/>
        </w:rPr>
        <w:t>≥2次。</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（四）</w:t>
      </w:r>
      <w:r>
        <w:rPr>
          <w:rFonts w:hint="eastAsia" w:ascii="Times New Roman" w:hAnsi="Times New Roman" w:eastAsia="仿宋" w:cs="Times New Roman"/>
          <w:sz w:val="32"/>
          <w:szCs w:val="32"/>
        </w:rPr>
        <w:t>经济运行综合协调保障负责煤炭、电力、石油、天然气调度和保障工作，协调解决重大问题，抓好供需总量平衡，保障经济社会发展和人民生活需要；制订经济运行和能源供应预警和应急预案，适时组织能源、运输及重要物资、商品的紧急调度，提出安排和动用应急物资和商品储备的建议；做好粮棉等商品进出口配额的审核上报工作；做好国防建设和国民经济发展的衔接。</w:t>
      </w:r>
    </w:p>
    <w:p>
      <w:pPr>
        <w:spacing w:line="500" w:lineRule="exact"/>
        <w:ind w:firstLine="640" w:firstLineChars="200"/>
        <w:jc w:val="left"/>
        <w:rPr>
          <w:rFonts w:ascii="Times New Roman" w:hAnsi="Times New Roman" w:eastAsia="仿宋" w:cs="Times New Roman"/>
          <w:sz w:val="32"/>
          <w:szCs w:val="32"/>
        </w:rPr>
      </w:pP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绩效目标：做好运行分析、数据上报、要素保障、应急处置、安全管理矿山管理等工作，确保经济社会运行平稳有序和健康发展。</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绩效指标：月度分析和数据统计报告完成（期）＝</w:t>
      </w:r>
      <w:r>
        <w:rPr>
          <w:rFonts w:ascii="Times New Roman" w:hAnsi="Times New Roman" w:eastAsia="仿宋" w:cs="Times New Roman"/>
          <w:sz w:val="32"/>
          <w:szCs w:val="32"/>
        </w:rPr>
        <w:t>12</w:t>
      </w:r>
      <w:r>
        <w:rPr>
          <w:rFonts w:hint="eastAsia" w:ascii="Times New Roman" w:hAnsi="Times New Roman" w:eastAsia="仿宋" w:cs="Times New Roman"/>
          <w:sz w:val="32"/>
          <w:szCs w:val="32"/>
        </w:rPr>
        <w:t>个月</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（五）、促</w:t>
      </w:r>
      <w:r>
        <w:rPr>
          <w:rFonts w:hint="eastAsia" w:ascii="Times New Roman" w:hAnsi="Times New Roman" w:eastAsia="仿宋" w:cs="Times New Roman"/>
          <w:sz w:val="32"/>
          <w:szCs w:val="32"/>
        </w:rPr>
        <w:t>进全市区域经济发展，加快城镇化、市域经济发展；负责区域经济合作统筹协调；推动沿海、京津冀两大区域发展。</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绩效目标：促进沿海地区实现率先发展，推动京津冀协同发展。</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绩效指标：区域经济可持续发展规划实际完成数占区域经济可持续发展规划总数</w:t>
      </w:r>
      <w:r>
        <w:rPr>
          <w:rFonts w:ascii="Times New Roman" w:hAnsi="Times New Roman" w:eastAsia="仿宋" w:cs="Times New Roman"/>
          <w:sz w:val="32"/>
          <w:szCs w:val="32"/>
        </w:rPr>
        <w:t>≥90%。</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（六）、推</w:t>
      </w:r>
      <w:r>
        <w:rPr>
          <w:rFonts w:hint="eastAsia" w:ascii="Times New Roman" w:hAnsi="Times New Roman" w:eastAsia="仿宋" w:cs="Times New Roman"/>
          <w:sz w:val="32"/>
          <w:szCs w:val="32"/>
        </w:rPr>
        <w:t>进全市产业结构和转型升级</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1、促</w:t>
      </w:r>
      <w:r>
        <w:rPr>
          <w:rFonts w:hint="eastAsia" w:ascii="Times New Roman" w:hAnsi="Times New Roman" w:eastAsia="仿宋" w:cs="Times New Roman"/>
          <w:sz w:val="32"/>
          <w:szCs w:val="32"/>
        </w:rPr>
        <w:t>进战略性新兴产业发展，组织实施战略性新兴产业发展战略、规划、政策措施；宣传展示我县战略性新兴产业发展成果。</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绩效目标：推动产业规模不断壮大，促进产业聚集发展，提升产业竞争力。创新能力稳步提升，协同创新取得成效，创新改革不断变化，创新创业生态环境进一步改善。</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绩效指标：战略性新兴产业增加值占</w:t>
      </w:r>
      <w:r>
        <w:rPr>
          <w:rFonts w:ascii="Times New Roman" w:hAnsi="Times New Roman" w:eastAsia="仿宋" w:cs="Times New Roman"/>
          <w:sz w:val="32"/>
          <w:szCs w:val="32"/>
        </w:rPr>
        <w:t>GDP</w:t>
      </w:r>
      <w:r>
        <w:rPr>
          <w:rFonts w:hint="eastAsia" w:ascii="Times New Roman" w:hAnsi="Times New Roman" w:eastAsia="仿宋" w:cs="Times New Roman"/>
          <w:sz w:val="32"/>
          <w:szCs w:val="32"/>
        </w:rPr>
        <w:t>总值的比重逐年增加。</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2、推</w:t>
      </w:r>
      <w:r>
        <w:rPr>
          <w:rFonts w:hint="eastAsia" w:ascii="Times New Roman" w:hAnsi="Times New Roman" w:eastAsia="仿宋" w:cs="Times New Roman"/>
          <w:sz w:val="32"/>
          <w:szCs w:val="32"/>
        </w:rPr>
        <w:t>进物流业服务业发展，制定并组织实施加快服务业发展的战略规划，落实</w:t>
      </w:r>
      <w:r>
        <w:rPr>
          <w:rFonts w:ascii="Times New Roman" w:hAnsi="Times New Roman" w:eastAsia="仿宋" w:cs="Times New Roman"/>
          <w:sz w:val="32"/>
          <w:szCs w:val="32"/>
        </w:rPr>
        <w:t>有</w:t>
      </w:r>
      <w:r>
        <w:rPr>
          <w:rFonts w:hint="eastAsia" w:ascii="Times New Roman" w:hAnsi="Times New Roman" w:eastAsia="仿宋" w:cs="Times New Roman"/>
          <w:sz w:val="32"/>
          <w:szCs w:val="32"/>
        </w:rPr>
        <w:t>关政策措施，推进服务业项目建设。落实现代物流业发展的相关政策，支持县级物流产业聚集区发展和物流项目建设，进一步完善全县物流基础设施，增强物流企业竞争力。</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绩效目标：加快市级物流业聚集区建设；加快实际物流产业聚集区、已列入物流发展规划的重点项目、农产品物流项目交易设施改造升级及大型冷链物流项目建设。</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绩效指标：市级物流产业聚集区、已列入物流发展规划的重点项目、农产品物流项目交易设施改造升级及大型冷链物流项目建设完成率</w:t>
      </w:r>
      <w:r>
        <w:rPr>
          <w:rFonts w:ascii="Times New Roman" w:hAnsi="Times New Roman" w:eastAsia="仿宋" w:cs="Times New Roman"/>
          <w:sz w:val="32"/>
          <w:szCs w:val="32"/>
        </w:rPr>
        <w:t>≥90%。</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组织推进物流业及服务业发展，制定并组织实施加快服务业发展的战略规划，</w:t>
      </w:r>
      <w:r>
        <w:rPr>
          <w:rFonts w:ascii="Times New Roman" w:hAnsi="Times New Roman" w:eastAsia="仿宋" w:cs="Times New Roman"/>
          <w:sz w:val="32"/>
          <w:szCs w:val="32"/>
        </w:rPr>
        <w:t>落</w:t>
      </w:r>
      <w:r>
        <w:rPr>
          <w:rFonts w:hint="eastAsia" w:ascii="Times New Roman" w:hAnsi="Times New Roman" w:eastAsia="仿宋" w:cs="Times New Roman"/>
          <w:sz w:val="32"/>
          <w:szCs w:val="32"/>
        </w:rPr>
        <w:t>实有关政策措施，推进服务业项目建设。研究提出促进现代物流业发展的相关政策，支持省级物流产业聚集区发展和物流项目建设，进一步完善全省物流基础设施，增强物流企业竞争力，着力推动钢铁、煤炭、农产品三大宗商品交易平台形成规模。</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加快省级物流产业聚集区建设，争取国家经贸流通领域和服务业产业发展引导资金；加快省级物流产业聚集区、已列入物流发展规划的重点项目、农产品物流项目交易设施改造升级及大型冷链物流项目建设。</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绩效指标：服务业增加值增长率</w:t>
      </w:r>
      <w:r>
        <w:rPr>
          <w:rFonts w:ascii="Times New Roman" w:hAnsi="Times New Roman" w:eastAsia="仿宋" w:cs="Times New Roman"/>
          <w:sz w:val="32"/>
          <w:szCs w:val="32"/>
        </w:rPr>
        <w:t>≥90%。</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4、促</w:t>
      </w:r>
      <w:r>
        <w:rPr>
          <w:rFonts w:hint="eastAsia" w:ascii="Times New Roman" w:hAnsi="Times New Roman" w:eastAsia="仿宋" w:cs="Times New Roman"/>
          <w:sz w:val="32"/>
          <w:szCs w:val="32"/>
        </w:rPr>
        <w:t>进节能降耗、资源综合利用和生态建设，推进可持续发展战略，组织拟订发展循环经济、全社会资源节约和综合利用、省应对气候变化政策并组织实施；协调生态建设、能源资源节约和综合利用、环保产业和清洁生产促进等工作；推进综合协调节能减排工作，利用专项资金对节能技改、合同能源管理、重点用电行业（领域）和项目电力需求侧管理实施引导和扶持；开展节能监察、监测，加强节能宣传培训，建立碳排放报告、核算、考核及碳排放权交易制度，确保完成节能、削煤、降碳约束性指标；加强散装水泥、新型墙体材料和冶金矿产资源管理。</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发挥专项资金的引导和激励的作用，通过采取补助、奖励等方式调动企业节能降耗的积极性，确保完成节能、削煤、降碳目标任务；电能使用效率不断提高；积极助推节能减排和大气污染防治；确保实现年度单位</w:t>
      </w:r>
      <w:r>
        <w:rPr>
          <w:rFonts w:ascii="Times New Roman" w:hAnsi="Times New Roman" w:eastAsia="仿宋" w:cs="Times New Roman"/>
          <w:sz w:val="32"/>
          <w:szCs w:val="32"/>
        </w:rPr>
        <w:t>GDP能耗下降率。</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绩效指标：单位</w:t>
      </w:r>
      <w:r>
        <w:rPr>
          <w:rFonts w:ascii="Times New Roman" w:hAnsi="Times New Roman" w:eastAsia="仿宋" w:cs="Times New Roman"/>
          <w:sz w:val="32"/>
          <w:szCs w:val="32"/>
        </w:rPr>
        <w:t>GDP能耗下降率≥3%。</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（七）、固定</w:t>
      </w:r>
      <w:r>
        <w:rPr>
          <w:rFonts w:hint="eastAsia" w:ascii="Times New Roman" w:hAnsi="Times New Roman" w:eastAsia="仿宋" w:cs="Times New Roman"/>
          <w:sz w:val="32"/>
          <w:szCs w:val="32"/>
        </w:rPr>
        <w:t>资产投资调控与管理</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拟订社会固定资产投资规模和投资结构的调控目标及措施，衔接政府投资和重大建设项目的专项规划；提出预算内基建建设项目安排建议；开展重点建设项目管理。</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落实市固定资产投资目标；指导政策性贷款使用，有限引导民间资金用于我市固定资产投资。按时编制并提交年度预算内基建项目安排建议，并落实到具体项目；足额保证市委、市政府确定的重点基建投资项目；落实与中央、省市投资项目配套；及时下达预算内基建项目投资计划，提高市级政务设施服务保障能力。</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绩效指标：预算内基本建设投资计划执行率</w:t>
      </w:r>
      <w:r>
        <w:rPr>
          <w:rFonts w:ascii="Times New Roman" w:hAnsi="Times New Roman" w:eastAsia="仿宋" w:cs="Times New Roman"/>
          <w:sz w:val="32"/>
          <w:szCs w:val="32"/>
        </w:rPr>
        <w:t>95%，</w:t>
      </w:r>
      <w:r>
        <w:rPr>
          <w:rFonts w:hint="eastAsia" w:ascii="Times New Roman" w:hAnsi="Times New Roman" w:eastAsia="仿宋" w:cs="Times New Roman"/>
          <w:sz w:val="32"/>
          <w:szCs w:val="32"/>
        </w:rPr>
        <w:t>预算内基本建设资金完成率</w:t>
      </w:r>
      <w:r>
        <w:rPr>
          <w:rFonts w:ascii="Times New Roman" w:hAnsi="Times New Roman" w:eastAsia="仿宋" w:cs="Times New Roman"/>
          <w:sz w:val="32"/>
          <w:szCs w:val="32"/>
        </w:rPr>
        <w:t>≥95%，固定</w:t>
      </w:r>
      <w:r>
        <w:rPr>
          <w:rFonts w:hint="eastAsia" w:ascii="Times New Roman" w:hAnsi="Times New Roman" w:eastAsia="仿宋" w:cs="Times New Roman"/>
          <w:sz w:val="32"/>
          <w:szCs w:val="32"/>
        </w:rPr>
        <w:t>资产投资计划完成率</w:t>
      </w:r>
      <w:r>
        <w:rPr>
          <w:rFonts w:ascii="Times New Roman" w:hAnsi="Times New Roman" w:eastAsia="仿宋" w:cs="Times New Roman"/>
          <w:sz w:val="32"/>
          <w:szCs w:val="32"/>
        </w:rPr>
        <w:t>≥95%。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组织实施全县重点项目和管理，实施县级重点建设项目，编制全县重点建设项目年度工作计划并执行；组织开展对工作活动范围内的项目单位在前期手续、投资计划和资金下达、建设实施、建设管理、进度控制、资金和财务管理、竣工验收等方面实施情况的监督检查；建立投资项目信</w:t>
      </w:r>
      <w:r>
        <w:rPr>
          <w:rFonts w:ascii="Times New Roman" w:hAnsi="Times New Roman" w:eastAsia="仿宋" w:cs="Times New Roman"/>
          <w:sz w:val="32"/>
          <w:szCs w:val="32"/>
        </w:rPr>
        <w:t>息</w:t>
      </w:r>
      <w:r>
        <w:rPr>
          <w:rFonts w:hint="eastAsia" w:ascii="Times New Roman" w:hAnsi="Times New Roman" w:eastAsia="仿宋" w:cs="Times New Roman"/>
          <w:sz w:val="32"/>
          <w:szCs w:val="32"/>
        </w:rPr>
        <w:t>报送制度。化工、煤炭建设项目工程质量监督管理；对市、县投资政策、投资计划执行情况的监督检查。</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绩效目标：加强重点项目谋划、协调，推动重点项目顺利实施。加强项目监管，推动项目梳理实施，处罚项目建设中重大突出违法问题。</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绩效指标：重点项目监督检查覆盖率</w:t>
      </w:r>
      <w:r>
        <w:rPr>
          <w:rFonts w:ascii="Times New Roman" w:hAnsi="Times New Roman" w:eastAsia="仿宋" w:cs="Times New Roman"/>
          <w:sz w:val="32"/>
          <w:szCs w:val="32"/>
        </w:rPr>
        <w:t>≥90%。</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（八）、价格</w:t>
      </w:r>
      <w:r>
        <w:rPr>
          <w:rFonts w:hint="eastAsia" w:ascii="Times New Roman" w:hAnsi="Times New Roman" w:eastAsia="仿宋" w:cs="Times New Roman"/>
          <w:sz w:val="32"/>
          <w:szCs w:val="32"/>
        </w:rPr>
        <w:t>总水平调控和价格管理</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1、涉案</w:t>
      </w:r>
      <w:r>
        <w:rPr>
          <w:rFonts w:hint="eastAsia" w:ascii="Times New Roman" w:hAnsi="Times New Roman" w:eastAsia="仿宋" w:cs="Times New Roman"/>
          <w:sz w:val="32"/>
          <w:szCs w:val="32"/>
        </w:rPr>
        <w:t>资产价格鉴定、认证，办理刑事案件涉案资产价格鉴定；办理民事、经济、仲裁案件涉案资产价格鉴定；对市场主体价格行为的合法性、价格水平的合理性公正性认证；对我市市级价格认证机构出具的价格结论存在异议的案件复核裁定。</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绩效目标：客观、公正、合理出具价格鉴证结论，维护司法机关公平公正和当事人的合法权益。</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绩效指标：办案准确率</w:t>
      </w:r>
      <w:r>
        <w:rPr>
          <w:rFonts w:ascii="Times New Roman" w:hAnsi="Times New Roman" w:eastAsia="仿宋" w:cs="Times New Roman"/>
          <w:sz w:val="32"/>
          <w:szCs w:val="32"/>
        </w:rPr>
        <w:t>≥95%。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2、价格</w:t>
      </w:r>
      <w:r>
        <w:rPr>
          <w:rFonts w:hint="eastAsia" w:ascii="Times New Roman" w:hAnsi="Times New Roman" w:eastAsia="仿宋" w:cs="Times New Roman"/>
          <w:sz w:val="32"/>
          <w:szCs w:val="32"/>
        </w:rPr>
        <w:t>认定，对纪检监察机关查办案件过程中价格不明、价格有争议的涉案财物进行价格认定；接受税务、民政等部门委托，对依法计征的应税物、低保户家庭收入和财产进行价格认证。</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绩效目标：客观、公正、合理出具价格认证结论，为纪检监察机关、税务机关、民政部门等办理案件提供依据，维护公正公平，保护国家、公民、法人和其他组织的合法权益。</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绩效指标：案件复核维持率</w:t>
      </w:r>
      <w:r>
        <w:rPr>
          <w:rFonts w:ascii="Times New Roman" w:hAnsi="Times New Roman" w:eastAsia="仿宋" w:cs="Times New Roman"/>
          <w:sz w:val="32"/>
          <w:szCs w:val="32"/>
        </w:rPr>
        <w:t>≥95%。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（九）、价格成本</w:t>
      </w:r>
      <w:r>
        <w:rPr>
          <w:rFonts w:hint="eastAsia" w:ascii="Times New Roman" w:hAnsi="Times New Roman" w:eastAsia="仿宋" w:cs="Times New Roman"/>
          <w:sz w:val="32"/>
          <w:szCs w:val="32"/>
        </w:rPr>
        <w:t>调查和监审</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实施全市农产品成本调查，确定调查品种、调查县、调查户，进行组织实施和检查监督</w:t>
      </w:r>
      <w:r>
        <w:rPr>
          <w:rFonts w:ascii="Times New Roman" w:hAnsi="Times New Roman" w:eastAsia="仿宋" w:cs="Times New Roman"/>
          <w:sz w:val="32"/>
          <w:szCs w:val="32"/>
        </w:rPr>
        <w:t>,</w:t>
      </w:r>
      <w:r>
        <w:rPr>
          <w:rFonts w:hint="eastAsia" w:ascii="Times New Roman" w:hAnsi="Times New Roman" w:eastAsia="仿宋" w:cs="Times New Roman"/>
          <w:sz w:val="32"/>
          <w:szCs w:val="32"/>
        </w:rPr>
        <w:t>并对调查品种数据进行收集、审核、汇总、分析。</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绩效目标：确保农产品调查合理布局，样本具有代表性，提高调查数据的科学性，为国家和省政府提供成本数据、分析预测趋势，为制定宏观经济政策、价格政策、稳定市场物价服务。</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绩效指标：调查品种样本率</w:t>
      </w:r>
      <w:r>
        <w:rPr>
          <w:rFonts w:ascii="Times New Roman" w:hAnsi="Times New Roman" w:eastAsia="仿宋" w:cs="Times New Roman"/>
          <w:sz w:val="32"/>
          <w:szCs w:val="32"/>
        </w:rPr>
        <w:t>≥95%。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2、价格成本</w:t>
      </w:r>
      <w:r>
        <w:rPr>
          <w:rFonts w:hint="eastAsia" w:ascii="Times New Roman" w:hAnsi="Times New Roman" w:eastAsia="仿宋" w:cs="Times New Roman"/>
          <w:sz w:val="32"/>
          <w:szCs w:val="32"/>
        </w:rPr>
        <w:t>调查和定价成本监审，建立健全成本信息网络，组织成本汇总和成本分析；对列入《晋州市价格成本监审管理目录》的商品和收费项目进行调定价监审。</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绩效目标：使成本监审工作规范化、程序化，</w:t>
      </w:r>
      <w:r>
        <w:rPr>
          <w:rFonts w:ascii="Times New Roman" w:hAnsi="Times New Roman" w:eastAsia="仿宋" w:cs="Times New Roman"/>
          <w:sz w:val="32"/>
          <w:szCs w:val="32"/>
        </w:rPr>
        <w:t>确保全市成本</w:t>
      </w:r>
      <w:r>
        <w:rPr>
          <w:rFonts w:hint="eastAsia" w:ascii="Times New Roman" w:hAnsi="Times New Roman" w:eastAsia="仿宋" w:cs="Times New Roman"/>
          <w:sz w:val="32"/>
          <w:szCs w:val="32"/>
        </w:rPr>
        <w:t>监审工作依法有序开展，为政府制定价格提供成本数据支撑。</w:t>
      </w:r>
    </w:p>
    <w:p>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绩效指标：商品和收费定价监审率</w:t>
      </w:r>
      <w:r>
        <w:rPr>
          <w:rFonts w:ascii="Times New Roman" w:hAnsi="Times New Roman" w:eastAsia="仿宋" w:cs="Times New Roman"/>
          <w:sz w:val="32"/>
          <w:szCs w:val="32"/>
        </w:rPr>
        <w:t>≥95%。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（十）、粮食</w:t>
      </w:r>
      <w:r>
        <w:rPr>
          <w:rFonts w:hint="eastAsia" w:ascii="Times New Roman" w:hAnsi="Times New Roman" w:eastAsia="仿宋" w:cs="Times New Roman"/>
          <w:sz w:val="32"/>
          <w:szCs w:val="32"/>
        </w:rPr>
        <w:t>调控管理</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1、粮食统计调查，全面掌握全市粮食流通、仓储设施、粮油加工、粮食库存、国有企业及国有资产运营状况等情况，及时反映粮食市场总体供需状况，为政府制定宏观调控政策提供数字依据。</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绩效目标：确保粮食产、购、销、存等数据以及仓储设施、国有资产、经济效益等宏观信息及时上报、汇总，保证数据信息全面、完整、准确、及时。</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绩效指标：数据报送及时率95%。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储备粮管理，监督检查县级储备粮的数量、质量和储存安全；提出县级储备粮规模、布局、轮换、动用建议；制定县级储备粮各项业务管理制度和相关技术规范并监督执行；审核上报中央储备粮代储企业承储资格；指导地方粮食储备。</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绩效目标：确保粮食收的进、储的好、用的上。</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绩效指标：计划落实率95%，质量良好率95%，数量真实率95%。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3、粮食流通基础设施建设，制定全市、县粮食现代物流体系、粮食市场体系、粮食流通设施建设规划并组织实施，督导落实计划周期内粮食流通基础设施建设。</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绩效目标：粮食基础设施与粮食流通需求相匹配，粮食仓储损耗控制在国家标准范围内，科学储粮率技术应用得到基本普及。</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绩效指标：仓容利用率95%，粮食仓储损耗率低于2.5‰，科学储粮率95%。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（十一）、粮食质量安全监管</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1、粮食质量安全监测与体系建设，完善全县粮食质检体系。对粮食收购、储存环节，以及储备粮、军供粮等政策性粮食的质量进行安全、品质检测和信息发布。</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绩效目标：及时掌握收获、收购、储存、政策性粮食质量安全和品质情况，及时送省市质检机构监测，为制定粮食收购政策提供依据；掌握重点和骨干企业粮食质量状况地方标准符合县情。</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绩效指标：检测率95%，监管率95%。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2、粮食市场监测预警，健全和完善粮食市场价格动态监测平台，提高粮食市场价格监测的准确性和及时性，为政府制定应急措施提供依据。</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绩效目标：粮食价格监测点布局合理，粮食市场监测预警信息上报及时，预警分析准确、及时。</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绩效指标：上报及时率95%，预警分析准确率95%。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（十二）、粮食流通行政执法</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1、法规建设与监督检查，规范粮食行政执法程序，健全行政执法相关制度；提高执法水平，推动粮食行政执法规范化、制度化；开展粮食政策、法规制度执法检查，对粮食行政执法主体进行监督和责任制考核。</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绩效目标：执法检查常规化；执法人员持证上岗率100%；落实行政执法责任制，规范粮食行政执法行为，提高行政执法水平。</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绩效指标：案件查处率95%，案件查处准确率95%，执法人员培训率95%,持证上岗率100%。</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2、全市粮食库存检查，监督检查政策性粮食的数量、质量、存储安全以及粮食经营者的最高、最低粮食库存。</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绩效目标：促进粮食企业合法经营，确保粮食数量真实、质量良好。</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绩效指标：监察覆盖率95%，整改率95%。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3、粮食仓储单位备案管理，对粮食仓储企业进行仓储备案工作。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绩效目标：是否执行国家粮食仓储的技术标准；仓储设施、设备是否符合有关标准和技术规范；是否建立并执行了粮食出库质量检验制度；严格审核，规范程序，保证备案信息真实、有效。</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绩效指标:监管率95%，检查覆盖率95%。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4、粮食收购资格监督检查，粮食经营者关于国家有关法律、法规、规章和政策的执行情况。</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绩效目标：对《粮食收购许可证》申办资格进行现场核查和年度核查。</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绩效指标：检查覆盖率95%。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5、粮食经营者规范化情况监督检查，粮食经营者关于国家有关法律、法规、规章和政策的执行情况。</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绩效目标：是否按规定执行了国家粮食质量标准；其收购、储存的原粮是否符合执行了国家陈化粮销售处理有关规定；是否依照粮食应急预案。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绩效指标：检查覆盖率95%，整改率95%。</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第二部分预算项目绩效目标</w:t>
      </w:r>
    </w:p>
    <w:p>
      <w:pPr>
        <w:jc w:val="center"/>
      </w:pPr>
    </w:p>
    <w:p>
      <w:pPr>
        <w:ind w:firstLine="562" w:firstLineChars="200"/>
        <w:jc w:val="left"/>
        <w:outlineLvl w:val="1"/>
        <w:rPr>
          <w:rFonts w:ascii="Times New Roman" w:hAnsi="宋体"/>
          <w:b/>
          <w:sz w:val="28"/>
        </w:rPr>
      </w:pPr>
      <w:r>
        <w:rPr>
          <w:rFonts w:hint="eastAsia" w:ascii="方正仿宋_GBK" w:eastAsia="方正仿宋_GBK"/>
          <w:b/>
          <w:sz w:val="28"/>
        </w:rPr>
        <w:t>1、规划、计划及课题绩效目标表</w:t>
      </w:r>
      <w:r>
        <w:rPr>
          <w:rFonts w:ascii="方正仿宋_GBK" w:eastAsia="方正仿宋_GBK"/>
          <w:b/>
          <w:sz w:val="28"/>
        </w:rPr>
        <w:fldChar w:fldCharType="begin"/>
      </w:r>
      <w:r>
        <w:rPr>
          <w:rFonts w:hint="eastAsia" w:ascii="方正仿宋_GBK" w:eastAsia="方正仿宋_GBK"/>
          <w:b/>
          <w:sz w:val="28"/>
        </w:rPr>
        <w:instrText xml:space="preserve">TC </w:instrText>
      </w:r>
      <w:bookmarkStart w:id="4" w:name="_Toc34896202"/>
      <w:r>
        <w:rPr>
          <w:rFonts w:hint="eastAsia" w:ascii="方正仿宋_GBK" w:eastAsia="方正仿宋_GBK"/>
          <w:b/>
          <w:sz w:val="28"/>
        </w:rPr>
        <w:instrText xml:space="preserve">1、规划、计划及课题绩效目标表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303002</w:t>
            </w:r>
            <w:r>
              <w:rPr>
                <w:rFonts w:hint="eastAsia" w:ascii="方正书宋_GBK" w:eastAsia="方正书宋_GBK"/>
                <w:b/>
              </w:rPr>
              <w:t>无极县发展和改革局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303-0101-YXN-74YP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规划、计划及课题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全县经济运行情况分析，做出全县规划、计划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、制定发展战略、中长期规划</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、专题研究成果</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制定发展战略、中长期规划数量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制定全县国民经济和社会发展战略、中长期规划</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根据实际工作部署完成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专题研究成果数量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经济形势的运行、发展等专题研究成果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根据实际工作部署完成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研究成果按时结题率（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研究成果按时结题率</w:t>
            </w:r>
            <w:r>
              <w:rPr>
                <w:rFonts w:ascii="方正书宋_GBK" w:eastAsia="方正书宋_GBK"/>
              </w:rPr>
              <w:t>=</w:t>
            </w:r>
            <w:r>
              <w:rPr>
                <w:rFonts w:hint="eastAsia" w:ascii="方正书宋_GBK" w:eastAsia="方正书宋_GBK"/>
              </w:rPr>
              <w:t>按时结题的课题研究数量</w:t>
            </w:r>
            <w:r>
              <w:rPr>
                <w:rFonts w:ascii="方正书宋_GBK" w:eastAsia="方正书宋_GBK"/>
              </w:rPr>
              <w:t>/</w:t>
            </w:r>
            <w:r>
              <w:rPr>
                <w:rFonts w:hint="eastAsia" w:ascii="方正书宋_GBK" w:eastAsia="方正书宋_GBK"/>
              </w:rPr>
              <w:t>课题研究总数</w:t>
            </w: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地区生产总值增长率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地区生产总值增长情况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根据上级考核数据</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意见建议采纳率（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被采纳的意见建议数量占总数量的比率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发改科研管理部门满意度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发改管理部门对规划、计划工作满意度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根据上级考核情况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bl>
    <w:p>
      <w:pPr>
        <w:spacing w:line="300" w:lineRule="exact"/>
        <w:jc w:val="left"/>
        <w:rPr>
          <w:rFonts w:ascii="方正仿宋_GBK" w:eastAsia="方正仿宋_GBK"/>
          <w:b/>
          <w:sz w:val="28"/>
        </w:r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2、价格认定费用及自收自支费用绩效目标表</w:t>
      </w:r>
      <w:r>
        <w:rPr>
          <w:rFonts w:ascii="方正仿宋_GBK" w:eastAsia="方正仿宋_GBK"/>
          <w:b/>
          <w:sz w:val="28"/>
        </w:rPr>
        <w:fldChar w:fldCharType="begin"/>
      </w:r>
      <w:r>
        <w:rPr>
          <w:rFonts w:hint="eastAsia" w:ascii="方正仿宋_GBK" w:eastAsia="方正仿宋_GBK"/>
          <w:b/>
          <w:sz w:val="28"/>
        </w:rPr>
        <w:instrText xml:space="preserve">TC </w:instrText>
      </w:r>
      <w:bookmarkStart w:id="5" w:name="_Toc34896203"/>
      <w:r>
        <w:rPr>
          <w:rFonts w:hint="eastAsia" w:ascii="方正仿宋_GBK" w:eastAsia="方正仿宋_GBK"/>
          <w:b/>
          <w:sz w:val="28"/>
        </w:rPr>
        <w:instrText xml:space="preserve">2、价格认定费用及自收自支费用绩效目标表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303002</w:t>
            </w:r>
            <w:r>
              <w:rPr>
                <w:rFonts w:hint="eastAsia" w:ascii="方正书宋_GBK" w:eastAsia="方正书宋_GBK"/>
                <w:b/>
              </w:rPr>
              <w:t>无极县发展和改革局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303-1501-YXN-W8Z6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价格认定费用及自收自支费用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推进国家价格政策落实，完善价格机制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、贯彻执行国家的价格方针、政策和法规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、监测市场物价动态，分析市场物价趋势</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物价调整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物价调整（种类、次数）情况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根据省市相关政策调整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价格政策和调控评估评审次数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价格政策和调控评估评审次情况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根据省市相关要求</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抽查、监测覆盖率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抽查、监测商品数量占应监测商品数量之比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价格调整总水平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价格调整总水平情况</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对价格调整的满意程度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对价格调整的满意程度情况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1"/>
        <w:rPr>
          <w:rFonts w:ascii="Times New Roman" w:hAnsi="宋体"/>
          <w:b/>
          <w:sz w:val="28"/>
        </w:rPr>
      </w:pPr>
      <w:r>
        <w:rPr>
          <w:rFonts w:hint="eastAsia" w:ascii="方正仿宋_GBK" w:eastAsia="方正仿宋_GBK"/>
          <w:b/>
          <w:sz w:val="28"/>
        </w:rPr>
        <w:t>3、科技三费绩效目标表</w:t>
      </w:r>
      <w:r>
        <w:rPr>
          <w:rFonts w:ascii="方正仿宋_GBK" w:eastAsia="方正仿宋_GBK"/>
          <w:b/>
          <w:sz w:val="28"/>
        </w:rPr>
        <w:fldChar w:fldCharType="begin"/>
      </w:r>
      <w:r>
        <w:rPr>
          <w:rFonts w:hint="eastAsia" w:ascii="方正仿宋_GBK" w:eastAsia="方正仿宋_GBK"/>
          <w:b/>
          <w:sz w:val="28"/>
        </w:rPr>
        <w:instrText xml:space="preserve">TC </w:instrText>
      </w:r>
      <w:bookmarkStart w:id="6" w:name="_Toc34896204"/>
      <w:r>
        <w:rPr>
          <w:rFonts w:hint="eastAsia" w:ascii="方正仿宋_GBK" w:eastAsia="方正仿宋_GBK"/>
          <w:b/>
          <w:sz w:val="28"/>
        </w:rPr>
        <w:instrText xml:space="preserve">3、科技三费绩效目标表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303002</w:t>
            </w:r>
            <w:r>
              <w:rPr>
                <w:rFonts w:hint="eastAsia" w:ascii="方正书宋_GBK" w:eastAsia="方正书宋_GBK"/>
                <w:b/>
              </w:rPr>
              <w:t>无极县发展和改革局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303-0803-YXN-0F1A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科技三费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组织实施科研项目和经济技术开发项目以及先进实用技术的推广和成果管理，开展科技创新。加大新产品试制费、中间试验费和重大科研项目补助费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、完成产品研发和产业化的企业比重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、支持企业数量</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支持企业数量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支持科技型中小企业数量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根据年度计划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项目参研人员平均数量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项目平均参研人员数量</w:t>
            </w:r>
            <w:r>
              <w:rPr>
                <w:rFonts w:ascii="方正书宋_GBK" w:eastAsia="方正书宋_GBK"/>
              </w:rPr>
              <w:t>=</w:t>
            </w:r>
            <w:r>
              <w:rPr>
                <w:rFonts w:hint="eastAsia" w:ascii="方正书宋_GBK" w:eastAsia="方正书宋_GBK"/>
              </w:rPr>
              <w:t>项目参研人员数量</w:t>
            </w:r>
            <w:r>
              <w:rPr>
                <w:rFonts w:ascii="方正书宋_GBK" w:eastAsia="方正书宋_GBK"/>
              </w:rPr>
              <w:t>/</w:t>
            </w:r>
            <w:r>
              <w:rPr>
                <w:rFonts w:hint="eastAsia" w:ascii="方正书宋_GBK" w:eastAsia="方正书宋_GBK"/>
              </w:rPr>
              <w:t>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根据年度计划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完成产品研发和产业化的企业比重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完成新产品、新工艺等技术指标和企业成长指标符合要求的企业数量</w:t>
            </w:r>
            <w:r>
              <w:rPr>
                <w:rFonts w:hint="cs" w:ascii="方正书宋_GBK" w:eastAsia="方正书宋_GBK"/>
              </w:rPr>
              <w:t>÷</w:t>
            </w:r>
            <w:r>
              <w:rPr>
                <w:rFonts w:hint="eastAsia" w:ascii="方正书宋_GBK" w:eastAsia="方正书宋_GBK"/>
              </w:rPr>
              <w:t>立项企业总数</w:t>
            </w: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根据年度立项企业个数确定</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资金投入放大倍数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财政资金总体放大倍数</w:t>
            </w:r>
            <w:r>
              <w:rPr>
                <w:rFonts w:ascii="方正书宋_GBK" w:eastAsia="方正书宋_GBK"/>
              </w:rPr>
              <w:t>=</w:t>
            </w:r>
            <w:r>
              <w:rPr>
                <w:rFonts w:hint="eastAsia" w:ascii="方正书宋_GBK" w:eastAsia="方正书宋_GBK"/>
              </w:rPr>
              <w:t>项目投入资金总额</w:t>
            </w:r>
            <w:r>
              <w:rPr>
                <w:rFonts w:ascii="方正书宋_GBK" w:eastAsia="方正书宋_GBK"/>
              </w:rPr>
              <w:t>/</w:t>
            </w:r>
            <w:r>
              <w:rPr>
                <w:rFonts w:hint="eastAsia" w:ascii="方正书宋_GBK" w:eastAsia="方正书宋_GBK"/>
              </w:rPr>
              <w:t>财政资金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平均新增就业人数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平均新增就业</w:t>
            </w:r>
            <w:r>
              <w:rPr>
                <w:rFonts w:ascii="方正书宋_GBK" w:eastAsia="方正书宋_GBK"/>
              </w:rPr>
              <w:t>=</w:t>
            </w:r>
            <w:r>
              <w:rPr>
                <w:rFonts w:hint="eastAsia" w:ascii="方正书宋_GBK" w:eastAsia="方正书宋_GBK"/>
              </w:rPr>
              <w:t>项目新增就业人数</w:t>
            </w:r>
            <w:r>
              <w:rPr>
                <w:rFonts w:ascii="方正书宋_GBK" w:eastAsia="方正书宋_GBK"/>
              </w:rPr>
              <w:t>/</w:t>
            </w:r>
            <w:r>
              <w:rPr>
                <w:rFonts w:hint="eastAsia" w:ascii="方正书宋_GBK" w:eastAsia="方正书宋_GBK"/>
              </w:rPr>
              <w:t>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支持项目对项目单位的满意度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1"/>
        <w:rPr>
          <w:rFonts w:ascii="Times New Roman" w:hAnsi="宋体"/>
          <w:b/>
          <w:sz w:val="28"/>
        </w:rPr>
      </w:pPr>
      <w:r>
        <w:rPr>
          <w:rFonts w:hint="eastAsia" w:ascii="方正仿宋_GBK" w:eastAsia="方正仿宋_GBK"/>
          <w:b/>
          <w:sz w:val="28"/>
        </w:rPr>
        <w:t>4、粮食调查经费绩效目标表</w:t>
      </w:r>
      <w:r>
        <w:rPr>
          <w:rFonts w:ascii="方正仿宋_GBK" w:eastAsia="方正仿宋_GBK"/>
          <w:b/>
          <w:sz w:val="28"/>
        </w:rPr>
        <w:fldChar w:fldCharType="begin"/>
      </w:r>
      <w:r>
        <w:rPr>
          <w:rFonts w:hint="eastAsia" w:ascii="方正仿宋_GBK" w:eastAsia="方正仿宋_GBK"/>
          <w:b/>
          <w:sz w:val="28"/>
        </w:rPr>
        <w:instrText xml:space="preserve">TC </w:instrText>
      </w:r>
      <w:bookmarkStart w:id="7" w:name="_Toc34896205"/>
      <w:r>
        <w:rPr>
          <w:rFonts w:hint="eastAsia" w:ascii="方正仿宋_GBK" w:eastAsia="方正仿宋_GBK"/>
          <w:b/>
          <w:sz w:val="28"/>
        </w:rPr>
        <w:instrText xml:space="preserve">4、粮食调查经费绩效目标表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303002</w:t>
            </w:r>
            <w:r>
              <w:rPr>
                <w:rFonts w:hint="eastAsia" w:ascii="方正书宋_GBK" w:eastAsia="方正书宋_GBK"/>
                <w:b/>
              </w:rPr>
              <w:t>无极县发展和改革局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303-1802-YQN-7TI0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粮食调查经费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确保夏秋粮收购政策落实到位，不出现</w:t>
            </w:r>
            <w:r>
              <w:rPr>
                <w:rFonts w:hint="cs" w:ascii="方正书宋_GBK" w:eastAsia="方正书宋_GBK"/>
              </w:rPr>
              <w:t>“</w:t>
            </w:r>
            <w:r>
              <w:rPr>
                <w:rFonts w:hint="eastAsia" w:ascii="方正书宋_GBK" w:eastAsia="方正书宋_GBK"/>
              </w:rPr>
              <w:t>卖粮难</w:t>
            </w:r>
            <w:r>
              <w:rPr>
                <w:rFonts w:hint="cs" w:ascii="方正书宋_GBK" w:eastAsia="方正书宋_GBK"/>
              </w:rPr>
              <w:t>”</w:t>
            </w:r>
            <w:r>
              <w:rPr>
                <w:rFonts w:hint="eastAsia" w:ascii="方正书宋_GBK" w:eastAsia="方正书宋_GBK"/>
              </w:rPr>
              <w:t>；落实国家供应政策，确保军需民用；落实粮食、食盐、食糖等储备政策，确保数量真实、质量良好、存储安全。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、落实粮食、食盐、食糖等储备政策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、确保仓储数量</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储备粮质量良好率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无质量问题粮食数量占全部储存数量的比例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数据正确率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（全部数据</w:t>
            </w:r>
            <w:r>
              <w:rPr>
                <w:rFonts w:ascii="方正书宋_GBK" w:eastAsia="方正书宋_GBK"/>
              </w:rPr>
              <w:t>-</w:t>
            </w:r>
            <w:r>
              <w:rPr>
                <w:rFonts w:hint="eastAsia" w:ascii="方正书宋_GBK" w:eastAsia="方正书宋_GBK"/>
              </w:rPr>
              <w:t>差错数据）</w:t>
            </w:r>
            <w:r>
              <w:rPr>
                <w:rFonts w:ascii="方正书宋_GBK" w:eastAsia="方正书宋_GBK"/>
              </w:rPr>
              <w:t>/</w:t>
            </w:r>
            <w:r>
              <w:rPr>
                <w:rFonts w:hint="eastAsia" w:ascii="方正书宋_GBK" w:eastAsia="方正书宋_GBK"/>
              </w:rPr>
              <w:t>全部数据总量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申报数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救灾物资采购计划落实</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根据当年救灾物资储备计划，进行救灾物资的采购，保质保量完成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科学储粮率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科学储粮实际数量占科学储粮目标数量的比例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供应站点满意度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对供应站进行评议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1"/>
        <w:rPr>
          <w:rFonts w:ascii="Times New Roman" w:hAnsi="宋体"/>
          <w:b/>
          <w:sz w:val="28"/>
        </w:rPr>
      </w:pPr>
      <w:r>
        <w:rPr>
          <w:rFonts w:hint="eastAsia" w:ascii="方正仿宋_GBK" w:eastAsia="方正仿宋_GBK"/>
          <w:b/>
          <w:sz w:val="28"/>
        </w:rPr>
        <w:t>5、组织实施全县重点项目和稽查绩效目标表</w:t>
      </w:r>
      <w:r>
        <w:rPr>
          <w:rFonts w:ascii="方正仿宋_GBK" w:eastAsia="方正仿宋_GBK"/>
          <w:b/>
          <w:sz w:val="28"/>
        </w:rPr>
        <w:fldChar w:fldCharType="begin"/>
      </w:r>
      <w:r>
        <w:rPr>
          <w:rFonts w:hint="eastAsia" w:ascii="方正仿宋_GBK" w:eastAsia="方正仿宋_GBK"/>
          <w:b/>
          <w:sz w:val="28"/>
        </w:rPr>
        <w:instrText xml:space="preserve">TC </w:instrText>
      </w:r>
      <w:bookmarkStart w:id="8" w:name="_Toc34896206"/>
      <w:r>
        <w:rPr>
          <w:rFonts w:hint="eastAsia" w:ascii="方正仿宋_GBK" w:eastAsia="方正仿宋_GBK"/>
          <w:b/>
          <w:sz w:val="28"/>
        </w:rPr>
        <w:instrText xml:space="preserve">5、组织实施全县重点项目和稽查绩效目标表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303002</w:t>
            </w:r>
            <w:r>
              <w:rPr>
                <w:rFonts w:hint="eastAsia" w:ascii="方正书宋_GBK" w:eastAsia="方正书宋_GBK"/>
                <w:b/>
              </w:rPr>
              <w:t>无极县发展和改革局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303-0101-YXN-YP67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组织实施全县重点项目和稽查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每个季度对全县重点项目举行集中开工仪式，组织全县对县重点项目进行观摩，做好协调和督导工作，加强重点建设协调管理，完成市下达的计划目标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、加强重点项目谋划、协调，推动重点项目顺利实施。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、加强项目监管，推动项目顺利实施。</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县新增重点项目个数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重点项目和财政补助项目监督稽察数量占重点项目和财政补助项目数量的比例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重点项目建设完成率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支持的基建项目对经济贡献情况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重点项目完工后对县经济的贡献度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投资计划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对社会经济发展产生积极影响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有利于业务的开展和业务水平的提高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项目单位提交有关资料</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重点项目对项目单位的满意度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工作方案</w:t>
            </w:r>
          </w:p>
        </w:tc>
      </w:tr>
    </w:tbl>
    <w:p>
      <w:pPr>
        <w:jc w:val="left"/>
        <w:outlineLvl w:val="1"/>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9"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安排政府采购预算0万元</w:t>
      </w:r>
      <w:bookmarkEnd w:id="9"/>
      <w:r>
        <w:rPr>
          <w:rFonts w:hint="eastAsia" w:ascii="Times New Roman" w:hAnsi="Times New Roman" w:eastAsia="仿宋" w:cs="Times New Roman"/>
          <w:sz w:val="32"/>
          <w:szCs w:val="24"/>
        </w:rPr>
        <w:t>。空表列示。</w:t>
      </w:r>
    </w:p>
    <w:p>
      <w:pPr>
        <w:jc w:val="center"/>
        <w:outlineLvl w:val="0"/>
        <w:rPr>
          <w:rFonts w:ascii="宋体" w:hAnsi="宋体" w:cs="宋体"/>
          <w:color w:val="000000"/>
          <w:sz w:val="32"/>
          <w:szCs w:val="32"/>
        </w:rPr>
      </w:pPr>
      <w:bookmarkStart w:id="10" w:name="_Toc476563386"/>
      <w:r>
        <w:rPr>
          <w:rFonts w:hint="eastAsia" w:ascii="宋体" w:hAnsi="宋体" w:cs="宋体"/>
          <w:color w:val="000000"/>
          <w:sz w:val="32"/>
          <w:szCs w:val="32"/>
        </w:rPr>
        <w:t>部门政府采购预算</w:t>
      </w:r>
      <w:bookmarkEnd w:id="10"/>
    </w:p>
    <w:tbl>
      <w:tblPr>
        <w:tblStyle w:val="7"/>
        <w:tblW w:w="143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47"/>
        <w:gridCol w:w="1105"/>
        <w:gridCol w:w="1020"/>
        <w:gridCol w:w="864"/>
        <w:gridCol w:w="588"/>
        <w:gridCol w:w="501"/>
        <w:gridCol w:w="1314"/>
        <w:gridCol w:w="1687"/>
        <w:gridCol w:w="937"/>
        <w:gridCol w:w="1251"/>
        <w:gridCol w:w="1245"/>
        <w:gridCol w:w="565"/>
        <w:gridCol w:w="568"/>
        <w:gridCol w:w="5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7" w:hRule="atLeast"/>
          <w:tblHeader/>
          <w:jc w:val="center"/>
        </w:trPr>
        <w:tc>
          <w:tcPr>
            <w:tcW w:w="7539"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宋体" w:hAnsi="宋体" w:cs="宋体"/>
                <w:color w:val="000000"/>
                <w:sz w:val="32"/>
                <w:szCs w:val="32"/>
              </w:rPr>
            </w:pPr>
          </w:p>
        </w:tc>
        <w:tc>
          <w:tcPr>
            <w:tcW w:w="6801"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jc w:val="right"/>
              <w:rPr>
                <w:rFonts w:ascii="宋体" w:hAnsi="宋体" w:cs="宋体"/>
                <w:color w:val="000000"/>
                <w:sz w:val="32"/>
                <w:szCs w:val="32"/>
              </w:rPr>
            </w:pPr>
            <w:r>
              <w:rPr>
                <w:rFonts w:hint="eastAsia" w:ascii="宋体" w:hAnsi="宋体" w:cs="宋体"/>
                <w:color w:val="000000"/>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252" w:type="dxa"/>
            <w:gridSpan w:val="2"/>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政府采购项目来源</w:t>
            </w:r>
          </w:p>
        </w:tc>
        <w:tc>
          <w:tcPr>
            <w:tcW w:w="1020"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采购物品名称</w:t>
            </w:r>
          </w:p>
        </w:tc>
        <w:tc>
          <w:tcPr>
            <w:tcW w:w="864"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政府采购目录序号</w:t>
            </w:r>
          </w:p>
        </w:tc>
        <w:tc>
          <w:tcPr>
            <w:tcW w:w="588"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数量  单位</w:t>
            </w:r>
          </w:p>
        </w:tc>
        <w:tc>
          <w:tcPr>
            <w:tcW w:w="50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数量</w:t>
            </w:r>
          </w:p>
        </w:tc>
        <w:tc>
          <w:tcPr>
            <w:tcW w:w="1314"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单价</w:t>
            </w:r>
          </w:p>
        </w:tc>
        <w:tc>
          <w:tcPr>
            <w:tcW w:w="6801" w:type="dxa"/>
            <w:gridSpan w:val="7"/>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47"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项目名称</w:t>
            </w:r>
          </w:p>
        </w:tc>
        <w:tc>
          <w:tcPr>
            <w:tcW w:w="1105"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预算资金</w:t>
            </w:r>
          </w:p>
        </w:tc>
        <w:tc>
          <w:tcPr>
            <w:tcW w:w="102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864"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58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501"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1314"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1687"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总计</w:t>
            </w:r>
          </w:p>
        </w:tc>
        <w:tc>
          <w:tcPr>
            <w:tcW w:w="4566" w:type="dxa"/>
            <w:gridSpan w:val="5"/>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当年部门预算安排资金</w:t>
            </w:r>
          </w:p>
        </w:tc>
        <w:tc>
          <w:tcPr>
            <w:tcW w:w="548"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47"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1105"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102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864"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58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501"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1314"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1687"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c>
          <w:tcPr>
            <w:tcW w:w="9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合计</w:t>
            </w:r>
          </w:p>
        </w:tc>
        <w:tc>
          <w:tcPr>
            <w:tcW w:w="125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一般公共预算拨款</w:t>
            </w:r>
          </w:p>
        </w:tc>
        <w:tc>
          <w:tcPr>
            <w:tcW w:w="124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基金预算拨款</w:t>
            </w:r>
          </w:p>
        </w:tc>
        <w:tc>
          <w:tcPr>
            <w:tcW w:w="56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财政专户核拨</w:t>
            </w:r>
          </w:p>
        </w:tc>
        <w:tc>
          <w:tcPr>
            <w:tcW w:w="56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其他来源收入</w:t>
            </w:r>
          </w:p>
        </w:tc>
        <w:tc>
          <w:tcPr>
            <w:tcW w:w="54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宋体" w:hAnsi="宋体" w:cs="宋体"/>
                <w:b/>
                <w:color w:val="000000"/>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4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b/>
                <w:color w:val="000000"/>
                <w:sz w:val="24"/>
              </w:rPr>
            </w:pPr>
            <w:r>
              <w:rPr>
                <w:rFonts w:hint="eastAsia" w:ascii="宋体" w:hAnsi="宋体" w:cs="宋体"/>
                <w:b/>
                <w:color w:val="000000"/>
                <w:sz w:val="24"/>
              </w:rPr>
              <w:t>合　计</w:t>
            </w:r>
          </w:p>
        </w:tc>
        <w:tc>
          <w:tcPr>
            <w:tcW w:w="110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10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宋体" w:hAnsi="宋体" w:cs="宋体"/>
                <w:b/>
                <w:color w:val="000000"/>
                <w:sz w:val="24"/>
              </w:rPr>
            </w:pPr>
          </w:p>
        </w:tc>
        <w:tc>
          <w:tcPr>
            <w:tcW w:w="86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宋体" w:hAnsi="宋体" w:cs="宋体"/>
                <w:b/>
                <w:color w:val="000000"/>
                <w:sz w:val="24"/>
              </w:rPr>
            </w:pPr>
          </w:p>
        </w:tc>
        <w:tc>
          <w:tcPr>
            <w:tcW w:w="58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宋体" w:hAnsi="宋体" w:cs="宋体"/>
                <w:b/>
                <w:color w:val="000000"/>
                <w:sz w:val="24"/>
              </w:rPr>
            </w:pPr>
          </w:p>
        </w:tc>
        <w:tc>
          <w:tcPr>
            <w:tcW w:w="50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131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168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9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125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124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56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56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5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47" w:type="dxa"/>
            <w:tcBorders>
              <w:top w:val="single" w:color="000000" w:sz="6" w:space="0"/>
              <w:left w:val="single" w:color="000000" w:sz="6" w:space="0"/>
              <w:bottom w:val="single" w:color="000000" w:sz="6" w:space="0"/>
              <w:right w:val="single" w:color="000000" w:sz="6" w:space="0"/>
            </w:tcBorders>
            <w:vAlign w:val="center"/>
          </w:tcPr>
          <w:p>
            <w:pPr>
              <w:jc w:val="center"/>
              <w:rPr>
                <w:rFonts w:ascii="宋体" w:hAnsi="宋体" w:cs="宋体"/>
                <w:b/>
                <w:color w:val="000000"/>
                <w:sz w:val="24"/>
              </w:rPr>
            </w:pPr>
            <w:r>
              <w:rPr>
                <w:rFonts w:hint="eastAsia" w:ascii="宋体" w:hAnsi="宋体" w:cs="宋体"/>
                <w:b/>
                <w:color w:val="000000"/>
                <w:sz w:val="24"/>
              </w:rPr>
              <w:t>小计</w:t>
            </w:r>
          </w:p>
        </w:tc>
        <w:tc>
          <w:tcPr>
            <w:tcW w:w="110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10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宋体" w:hAnsi="宋体" w:cs="宋体"/>
                <w:b/>
                <w:color w:val="000000"/>
                <w:sz w:val="24"/>
              </w:rPr>
            </w:pPr>
          </w:p>
        </w:tc>
        <w:tc>
          <w:tcPr>
            <w:tcW w:w="86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宋体" w:hAnsi="宋体" w:cs="宋体"/>
                <w:b/>
                <w:color w:val="000000"/>
                <w:sz w:val="24"/>
              </w:rPr>
            </w:pPr>
          </w:p>
        </w:tc>
        <w:tc>
          <w:tcPr>
            <w:tcW w:w="58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宋体" w:hAnsi="宋体" w:cs="宋体"/>
                <w:b/>
                <w:color w:val="000000"/>
                <w:sz w:val="24"/>
              </w:rPr>
            </w:pPr>
          </w:p>
        </w:tc>
        <w:tc>
          <w:tcPr>
            <w:tcW w:w="50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131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168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9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125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124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56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56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c>
          <w:tcPr>
            <w:tcW w:w="5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b/>
                <w:color w:val="000000"/>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4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宋体" w:hAnsi="宋体" w:cs="宋体"/>
                <w:color w:val="000000"/>
                <w:sz w:val="32"/>
                <w:szCs w:val="32"/>
              </w:rPr>
            </w:pPr>
            <w:r>
              <w:rPr>
                <w:rFonts w:hint="eastAsia" w:ascii="宋体" w:hAnsi="宋体" w:cs="宋体"/>
                <w:color w:val="000000"/>
                <w:sz w:val="32"/>
                <w:szCs w:val="32"/>
              </w:rPr>
              <w:t>项目1</w:t>
            </w:r>
          </w:p>
        </w:tc>
        <w:tc>
          <w:tcPr>
            <w:tcW w:w="110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10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86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58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50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1314" w:type="dxa"/>
            <w:tcBorders>
              <w:top w:val="single" w:color="000000" w:sz="6" w:space="0"/>
              <w:left w:val="single" w:color="000000" w:sz="6" w:space="0"/>
              <w:bottom w:val="single" w:color="000000" w:sz="6" w:space="0"/>
              <w:right w:val="single" w:color="000000" w:sz="6" w:space="0"/>
            </w:tcBorders>
            <w:vAlign w:val="center"/>
          </w:tcPr>
          <w:p>
            <w:pPr>
              <w:spacing w:line="300" w:lineRule="exact"/>
              <w:ind w:right="210"/>
              <w:jc w:val="center"/>
              <w:rPr>
                <w:rFonts w:ascii="宋体" w:hAnsi="宋体" w:cs="宋体"/>
                <w:color w:val="000000"/>
                <w:sz w:val="32"/>
                <w:szCs w:val="32"/>
              </w:rPr>
            </w:pPr>
          </w:p>
        </w:tc>
        <w:tc>
          <w:tcPr>
            <w:tcW w:w="1687" w:type="dxa"/>
            <w:tcBorders>
              <w:top w:val="single" w:color="000000" w:sz="6" w:space="0"/>
              <w:left w:val="single" w:color="000000" w:sz="6" w:space="0"/>
              <w:bottom w:val="single" w:color="000000" w:sz="6" w:space="0"/>
              <w:right w:val="single" w:color="000000" w:sz="6" w:space="0"/>
            </w:tcBorders>
            <w:vAlign w:val="center"/>
          </w:tcPr>
          <w:p>
            <w:pPr>
              <w:spacing w:line="300" w:lineRule="exact"/>
              <w:ind w:right="1050"/>
              <w:jc w:val="center"/>
              <w:rPr>
                <w:rFonts w:ascii="宋体" w:hAnsi="宋体" w:cs="宋体"/>
                <w:color w:val="000000"/>
                <w:sz w:val="32"/>
                <w:szCs w:val="32"/>
              </w:rPr>
            </w:pPr>
          </w:p>
        </w:tc>
        <w:tc>
          <w:tcPr>
            <w:tcW w:w="937" w:type="dxa"/>
            <w:tcBorders>
              <w:top w:val="single" w:color="000000" w:sz="6" w:space="0"/>
              <w:left w:val="single" w:color="000000" w:sz="6" w:space="0"/>
              <w:bottom w:val="single" w:color="000000" w:sz="6" w:space="0"/>
              <w:right w:val="single" w:color="000000" w:sz="6" w:space="0"/>
            </w:tcBorders>
            <w:vAlign w:val="center"/>
          </w:tcPr>
          <w:p>
            <w:pPr>
              <w:spacing w:line="300" w:lineRule="exact"/>
              <w:ind w:right="210"/>
              <w:jc w:val="center"/>
              <w:rPr>
                <w:rFonts w:ascii="宋体" w:hAnsi="宋体" w:cs="宋体"/>
                <w:color w:val="000000"/>
                <w:sz w:val="32"/>
                <w:szCs w:val="32"/>
              </w:rPr>
            </w:pPr>
          </w:p>
        </w:tc>
        <w:tc>
          <w:tcPr>
            <w:tcW w:w="1251" w:type="dxa"/>
            <w:tcBorders>
              <w:top w:val="single" w:color="000000" w:sz="6" w:space="0"/>
              <w:left w:val="single" w:color="000000" w:sz="6" w:space="0"/>
              <w:bottom w:val="single" w:color="000000" w:sz="6" w:space="0"/>
              <w:right w:val="single" w:color="000000" w:sz="6" w:space="0"/>
            </w:tcBorders>
            <w:vAlign w:val="center"/>
          </w:tcPr>
          <w:p>
            <w:pPr>
              <w:spacing w:line="300" w:lineRule="exact"/>
              <w:ind w:right="630"/>
              <w:jc w:val="center"/>
              <w:rPr>
                <w:rFonts w:ascii="宋体" w:hAnsi="宋体" w:cs="宋体"/>
                <w:color w:val="000000"/>
                <w:sz w:val="32"/>
                <w:szCs w:val="32"/>
              </w:rPr>
            </w:pPr>
          </w:p>
        </w:tc>
        <w:tc>
          <w:tcPr>
            <w:tcW w:w="124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color w:val="000000"/>
                <w:sz w:val="32"/>
                <w:szCs w:val="32"/>
              </w:rPr>
            </w:pPr>
          </w:p>
        </w:tc>
        <w:tc>
          <w:tcPr>
            <w:tcW w:w="56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color w:val="000000"/>
                <w:sz w:val="32"/>
                <w:szCs w:val="32"/>
              </w:rPr>
            </w:pPr>
          </w:p>
        </w:tc>
        <w:tc>
          <w:tcPr>
            <w:tcW w:w="56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color w:val="000000"/>
                <w:sz w:val="32"/>
                <w:szCs w:val="32"/>
              </w:rPr>
            </w:pPr>
          </w:p>
        </w:tc>
        <w:tc>
          <w:tcPr>
            <w:tcW w:w="5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color w:val="000000"/>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4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宋体" w:hAnsi="宋体" w:cs="宋体"/>
                <w:color w:val="000000"/>
                <w:sz w:val="32"/>
                <w:szCs w:val="32"/>
              </w:rPr>
            </w:pPr>
            <w:r>
              <w:rPr>
                <w:rFonts w:hint="eastAsia" w:ascii="宋体" w:hAnsi="宋体" w:cs="宋体"/>
                <w:color w:val="000000"/>
                <w:sz w:val="32"/>
                <w:szCs w:val="32"/>
              </w:rPr>
              <w:t>项目2</w:t>
            </w:r>
          </w:p>
        </w:tc>
        <w:tc>
          <w:tcPr>
            <w:tcW w:w="110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10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86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58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50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131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168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9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125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宋体" w:hAnsi="宋体" w:cs="宋体"/>
                <w:color w:val="000000"/>
                <w:sz w:val="32"/>
                <w:szCs w:val="32"/>
              </w:rPr>
            </w:pPr>
          </w:p>
        </w:tc>
        <w:tc>
          <w:tcPr>
            <w:tcW w:w="124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color w:val="000000"/>
                <w:sz w:val="32"/>
                <w:szCs w:val="32"/>
              </w:rPr>
            </w:pPr>
          </w:p>
        </w:tc>
        <w:tc>
          <w:tcPr>
            <w:tcW w:w="56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color w:val="000000"/>
                <w:sz w:val="32"/>
                <w:szCs w:val="32"/>
              </w:rPr>
            </w:pPr>
          </w:p>
        </w:tc>
        <w:tc>
          <w:tcPr>
            <w:tcW w:w="56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color w:val="000000"/>
                <w:sz w:val="32"/>
                <w:szCs w:val="32"/>
              </w:rPr>
            </w:pPr>
          </w:p>
        </w:tc>
        <w:tc>
          <w:tcPr>
            <w:tcW w:w="5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宋体" w:hAnsi="宋体" w:cs="宋体"/>
                <w:color w:val="000000"/>
                <w:sz w:val="32"/>
                <w:szCs w:val="32"/>
              </w:rPr>
            </w:pPr>
          </w:p>
        </w:tc>
      </w:tr>
    </w:tbl>
    <w:p>
      <w:pPr>
        <w:ind w:firstLine="640" w:firstLineChars="200"/>
        <w:outlineLvl w:val="0"/>
        <w:rPr>
          <w:rFonts w:ascii="Times New Roman" w:hAnsi="Times New Roman" w:eastAsia="仿宋" w:cs="Times New Roman"/>
          <w:sz w:val="32"/>
          <w:szCs w:val="24"/>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widowControl/>
        <w:ind w:firstLine="640" w:firstLineChars="200"/>
        <w:rPr>
          <w:rFonts w:ascii="仿宋" w:hAnsi="仿宋" w:eastAsia="仿宋" w:cs="仿宋"/>
          <w:sz w:val="32"/>
          <w:szCs w:val="32"/>
        </w:rPr>
        <w:sectPr>
          <w:footerReference r:id="rId4" w:type="default"/>
          <w:pgSz w:w="16838" w:h="11906" w:orient="landscape"/>
          <w:pgMar w:top="1797" w:right="1440" w:bottom="1797" w:left="1440" w:header="851" w:footer="992" w:gutter="0"/>
          <w:cols w:space="720" w:num="1"/>
          <w:docGrid w:linePitch="312" w:charSpace="0"/>
        </w:sectPr>
      </w:pPr>
      <w:r>
        <w:rPr>
          <w:rFonts w:hint="eastAsia" w:ascii="仿宋" w:hAnsi="仿宋" w:eastAsia="仿宋" w:cs="仿宋"/>
          <w:sz w:val="32"/>
          <w:szCs w:val="32"/>
        </w:rPr>
        <w:t>无极县发展改革局上年末固定资产金额为</w:t>
      </w:r>
      <w:r>
        <w:rPr>
          <w:rFonts w:ascii="仿宋" w:hAnsi="仿宋" w:eastAsia="仿宋" w:cs="仿宋"/>
          <w:sz w:val="32"/>
          <w:szCs w:val="32"/>
        </w:rPr>
        <w:t>141.92</w:t>
      </w:r>
      <w:r>
        <w:rPr>
          <w:rFonts w:hint="eastAsia" w:ascii="仿宋" w:hAnsi="仿宋" w:eastAsia="仿宋" w:cs="仿宋"/>
          <w:sz w:val="32"/>
          <w:szCs w:val="32"/>
        </w:rPr>
        <w:t>万元</w:t>
      </w:r>
    </w:p>
    <w:p>
      <w:pPr>
        <w:widowControl/>
        <w:ind w:firstLine="640" w:firstLineChars="200"/>
        <w:rPr>
          <w:rFonts w:ascii="宋体" w:hAnsi="宋体" w:cs="Arial"/>
          <w:color w:val="000000"/>
          <w:kern w:val="0"/>
          <w:sz w:val="22"/>
        </w:rPr>
      </w:pPr>
      <w:r>
        <w:rPr>
          <w:rFonts w:hint="eastAsia" w:ascii="仿宋" w:hAnsi="仿宋" w:eastAsia="仿宋" w:cs="仿宋"/>
          <w:sz w:val="32"/>
          <w:szCs w:val="32"/>
        </w:rPr>
        <w:t>（详见下表）。</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无极县发展改革局固定资产占用情况表</w:t>
      </w:r>
    </w:p>
    <w:tbl>
      <w:tblPr>
        <w:tblStyle w:val="7"/>
        <w:tblW w:w="13608" w:type="dxa"/>
        <w:tblInd w:w="108" w:type="dxa"/>
        <w:tblLayout w:type="fixed"/>
        <w:tblCellMar>
          <w:top w:w="0" w:type="dxa"/>
          <w:left w:w="108" w:type="dxa"/>
          <w:bottom w:w="0" w:type="dxa"/>
          <w:right w:w="108" w:type="dxa"/>
        </w:tblCellMar>
      </w:tblPr>
      <w:tblGrid>
        <w:gridCol w:w="4820"/>
        <w:gridCol w:w="2835"/>
        <w:gridCol w:w="5953"/>
      </w:tblGrid>
      <w:tr>
        <w:tblPrEx>
          <w:tblCellMar>
            <w:top w:w="0" w:type="dxa"/>
            <w:left w:w="108" w:type="dxa"/>
            <w:bottom w:w="0" w:type="dxa"/>
            <w:right w:w="108" w:type="dxa"/>
          </w:tblCellMar>
        </w:tblPrEx>
        <w:trPr>
          <w:trHeight w:val="542" w:hRule="atLeast"/>
        </w:trPr>
        <w:tc>
          <w:tcPr>
            <w:tcW w:w="7655" w:type="dxa"/>
            <w:gridSpan w:val="2"/>
            <w:tcBorders>
              <w:top w:val="nil"/>
              <w:left w:val="nil"/>
              <w:bottom w:val="nil"/>
              <w:right w:val="nil"/>
            </w:tcBorders>
            <w:vAlign w:val="center"/>
          </w:tcPr>
          <w:p>
            <w:pPr>
              <w:widowControl/>
              <w:jc w:val="left"/>
              <w:rPr>
                <w:rFonts w:ascii="仿宋" w:hAnsi="仿宋" w:eastAsia="仿宋" w:cs="仿宋"/>
                <w:sz w:val="28"/>
                <w:szCs w:val="28"/>
              </w:rPr>
            </w:pPr>
            <w:r>
              <w:rPr>
                <w:rFonts w:hint="eastAsia" w:ascii="仿宋" w:hAnsi="仿宋" w:eastAsia="仿宋" w:cs="仿宋"/>
                <w:sz w:val="28"/>
                <w:szCs w:val="28"/>
              </w:rPr>
              <w:t>编制部门：无极县发展改革局</w:t>
            </w:r>
          </w:p>
        </w:tc>
        <w:tc>
          <w:tcPr>
            <w:tcW w:w="5953" w:type="dxa"/>
            <w:tcBorders>
              <w:top w:val="nil"/>
              <w:left w:val="nil"/>
              <w:bottom w:val="nil"/>
              <w:right w:val="nil"/>
            </w:tcBorders>
            <w:vAlign w:val="center"/>
          </w:tcPr>
          <w:p>
            <w:pPr>
              <w:widowControl/>
              <w:jc w:val="left"/>
              <w:rPr>
                <w:rFonts w:ascii="仿宋" w:hAnsi="仿宋" w:eastAsia="仿宋" w:cs="仿宋"/>
                <w:sz w:val="28"/>
                <w:szCs w:val="28"/>
              </w:rPr>
            </w:pPr>
            <w:r>
              <w:rPr>
                <w:rFonts w:hint="eastAsia" w:ascii="仿宋" w:hAnsi="仿宋" w:eastAsia="仿宋" w:cs="仿宋"/>
                <w:sz w:val="22"/>
              </w:rPr>
              <w:t>截止时间：201</w:t>
            </w:r>
            <w:r>
              <w:rPr>
                <w:rFonts w:ascii="仿宋" w:hAnsi="仿宋" w:eastAsia="仿宋" w:cs="仿宋"/>
                <w:sz w:val="22"/>
              </w:rPr>
              <w:t>9</w:t>
            </w:r>
            <w:r>
              <w:rPr>
                <w:rFonts w:hint="eastAsia" w:ascii="仿宋" w:hAnsi="仿宋" w:eastAsia="仿宋" w:cs="仿宋"/>
                <w:sz w:val="22"/>
              </w:rPr>
              <w:t xml:space="preserve">年12月31日  </w:t>
            </w:r>
          </w:p>
        </w:tc>
      </w:tr>
      <w:tr>
        <w:tblPrEx>
          <w:tblCellMar>
            <w:top w:w="0" w:type="dxa"/>
            <w:left w:w="108" w:type="dxa"/>
            <w:bottom w:w="0" w:type="dxa"/>
            <w:right w:w="108" w:type="dxa"/>
          </w:tblCellMar>
        </w:tblPrEx>
        <w:trPr>
          <w:trHeight w:val="686" w:hRule="atLeast"/>
        </w:trPr>
        <w:tc>
          <w:tcPr>
            <w:tcW w:w="4820" w:type="dxa"/>
            <w:tcBorders>
              <w:top w:val="single" w:color="000000" w:sz="4" w:space="0"/>
              <w:left w:val="single" w:color="000000" w:sz="4" w:space="0"/>
              <w:bottom w:val="single" w:color="000000" w:sz="4" w:space="0"/>
              <w:right w:val="single" w:color="000000" w:sz="4" w:space="0"/>
            </w:tcBorders>
            <w:vAlign w:val="center"/>
          </w:tcPr>
          <w:p>
            <w:pPr>
              <w:widowControl/>
              <w:ind w:firstLine="422" w:firstLineChars="200"/>
              <w:jc w:val="center"/>
              <w:rPr>
                <w:rFonts w:ascii="仿宋_GB2312" w:hAnsi="宋体" w:eastAsia="仿宋_GB2312" w:cs="宋体"/>
                <w:b/>
                <w:bCs/>
                <w:kern w:val="0"/>
                <w:szCs w:val="21"/>
              </w:rPr>
            </w:pPr>
            <w:r>
              <w:rPr>
                <w:rFonts w:hint="eastAsia" w:ascii="仿宋_GB2312" w:hAnsi="宋体" w:eastAsia="仿宋_GB2312" w:cs="宋体"/>
                <w:b/>
                <w:bCs/>
                <w:kern w:val="0"/>
                <w:szCs w:val="21"/>
              </w:rPr>
              <w:t>项   目</w:t>
            </w:r>
          </w:p>
        </w:tc>
        <w:tc>
          <w:tcPr>
            <w:tcW w:w="2835" w:type="dxa"/>
            <w:tcBorders>
              <w:top w:val="single" w:color="000000" w:sz="4" w:space="0"/>
              <w:left w:val="nil"/>
              <w:bottom w:val="single" w:color="000000" w:sz="4" w:space="0"/>
              <w:right w:val="single" w:color="000000" w:sz="4" w:space="0"/>
            </w:tcBorders>
            <w:vAlign w:val="center"/>
          </w:tcPr>
          <w:p>
            <w:pPr>
              <w:widowControl/>
              <w:ind w:firstLine="422" w:firstLineChars="200"/>
              <w:jc w:val="center"/>
              <w:rPr>
                <w:rFonts w:ascii="仿宋_GB2312" w:hAnsi="宋体" w:eastAsia="仿宋_GB2312" w:cs="宋体"/>
                <w:b/>
                <w:bCs/>
                <w:kern w:val="0"/>
                <w:szCs w:val="21"/>
              </w:rPr>
            </w:pPr>
            <w:r>
              <w:rPr>
                <w:rFonts w:hint="eastAsia" w:ascii="仿宋_GB2312" w:hAnsi="宋体" w:eastAsia="仿宋_GB2312" w:cs="宋体"/>
                <w:b/>
                <w:bCs/>
                <w:kern w:val="0"/>
                <w:szCs w:val="21"/>
              </w:rPr>
              <w:t>数量</w:t>
            </w:r>
          </w:p>
        </w:tc>
        <w:tc>
          <w:tcPr>
            <w:tcW w:w="5953" w:type="dxa"/>
            <w:tcBorders>
              <w:top w:val="single" w:color="000000" w:sz="4" w:space="0"/>
              <w:left w:val="nil"/>
              <w:bottom w:val="single" w:color="000000" w:sz="4" w:space="0"/>
              <w:right w:val="single" w:color="000000" w:sz="4" w:space="0"/>
            </w:tcBorders>
            <w:vAlign w:val="center"/>
          </w:tcPr>
          <w:p>
            <w:pPr>
              <w:widowControl/>
              <w:ind w:firstLine="422" w:firstLineChars="200"/>
              <w:jc w:val="center"/>
              <w:rPr>
                <w:rFonts w:ascii="仿宋_GB2312" w:hAnsi="宋体" w:eastAsia="仿宋_GB2312" w:cs="宋体"/>
                <w:b/>
                <w:bCs/>
                <w:kern w:val="0"/>
                <w:szCs w:val="21"/>
              </w:rPr>
            </w:pPr>
            <w:r>
              <w:rPr>
                <w:rFonts w:hint="eastAsia" w:ascii="仿宋_GB2312" w:hAnsi="宋体" w:eastAsia="仿宋_GB2312" w:cs="宋体"/>
                <w:b/>
                <w:bCs/>
                <w:kern w:val="0"/>
                <w:szCs w:val="21"/>
              </w:rPr>
              <w:t>价值（金额单位：万元）</w:t>
            </w:r>
          </w:p>
        </w:tc>
      </w:tr>
      <w:tr>
        <w:tblPrEx>
          <w:tblCellMar>
            <w:top w:w="0" w:type="dxa"/>
            <w:left w:w="108" w:type="dxa"/>
            <w:bottom w:w="0" w:type="dxa"/>
            <w:right w:w="108" w:type="dxa"/>
          </w:tblCellMar>
        </w:tblPrEx>
        <w:trPr>
          <w:trHeight w:val="686" w:hRule="atLeast"/>
        </w:trPr>
        <w:tc>
          <w:tcPr>
            <w:tcW w:w="4820" w:type="dxa"/>
            <w:tcBorders>
              <w:top w:val="nil"/>
              <w:left w:val="single" w:color="000000" w:sz="4" w:space="0"/>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r>
              <w:rPr>
                <w:rFonts w:hint="eastAsia" w:ascii="仿宋_GB2312" w:hAnsi="宋体" w:eastAsia="仿宋_GB2312" w:cs="宋体"/>
                <w:kern w:val="0"/>
                <w:szCs w:val="21"/>
              </w:rPr>
              <w:t>资产总额</w:t>
            </w:r>
          </w:p>
        </w:tc>
        <w:tc>
          <w:tcPr>
            <w:tcW w:w="2835"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5953"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r>
              <w:rPr>
                <w:rFonts w:ascii="仿宋_GB2312" w:hAnsi="宋体" w:eastAsia="仿宋_GB2312" w:cs="宋体"/>
                <w:kern w:val="0"/>
                <w:szCs w:val="21"/>
              </w:rPr>
              <w:t>141.92</w:t>
            </w:r>
          </w:p>
        </w:tc>
      </w:tr>
      <w:tr>
        <w:tblPrEx>
          <w:tblCellMar>
            <w:top w:w="0" w:type="dxa"/>
            <w:left w:w="108" w:type="dxa"/>
            <w:bottom w:w="0" w:type="dxa"/>
            <w:right w:w="108" w:type="dxa"/>
          </w:tblCellMar>
        </w:tblPrEx>
        <w:trPr>
          <w:trHeight w:val="686" w:hRule="atLeast"/>
        </w:trPr>
        <w:tc>
          <w:tcPr>
            <w:tcW w:w="4820" w:type="dxa"/>
            <w:tcBorders>
              <w:top w:val="nil"/>
              <w:left w:val="single" w:color="000000" w:sz="4" w:space="0"/>
              <w:bottom w:val="single" w:color="000000" w:sz="4" w:space="0"/>
              <w:right w:val="single" w:color="000000" w:sz="4" w:space="0"/>
            </w:tcBorders>
            <w:vAlign w:val="center"/>
          </w:tcPr>
          <w:p>
            <w:pPr>
              <w:widowControl/>
              <w:ind w:firstLine="420" w:firstLineChars="200"/>
              <w:jc w:val="left"/>
              <w:rPr>
                <w:rFonts w:ascii="仿宋_GB2312" w:hAnsi="宋体" w:eastAsia="仿宋_GB2312" w:cs="宋体"/>
                <w:kern w:val="0"/>
                <w:szCs w:val="21"/>
              </w:rPr>
            </w:pPr>
            <w:r>
              <w:rPr>
                <w:rFonts w:hint="eastAsia" w:ascii="仿宋_GB2312" w:hAnsi="宋体" w:eastAsia="仿宋_GB2312" w:cs="宋体"/>
                <w:kern w:val="0"/>
                <w:szCs w:val="21"/>
              </w:rPr>
              <w:t>1、房屋（平方米）</w:t>
            </w:r>
          </w:p>
        </w:tc>
        <w:tc>
          <w:tcPr>
            <w:tcW w:w="2835"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p>
        </w:tc>
        <w:tc>
          <w:tcPr>
            <w:tcW w:w="5953"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p>
        </w:tc>
      </w:tr>
      <w:tr>
        <w:tblPrEx>
          <w:tblCellMar>
            <w:top w:w="0" w:type="dxa"/>
            <w:left w:w="108" w:type="dxa"/>
            <w:bottom w:w="0" w:type="dxa"/>
            <w:right w:w="108" w:type="dxa"/>
          </w:tblCellMar>
        </w:tblPrEx>
        <w:trPr>
          <w:trHeight w:val="686" w:hRule="atLeast"/>
        </w:trPr>
        <w:tc>
          <w:tcPr>
            <w:tcW w:w="4820" w:type="dxa"/>
            <w:tcBorders>
              <w:top w:val="nil"/>
              <w:left w:val="single" w:color="000000" w:sz="4" w:space="0"/>
              <w:bottom w:val="single" w:color="000000" w:sz="4" w:space="0"/>
              <w:right w:val="single" w:color="000000" w:sz="4" w:space="0"/>
            </w:tcBorders>
            <w:vAlign w:val="center"/>
          </w:tcPr>
          <w:p>
            <w:pPr>
              <w:widowControl/>
              <w:ind w:firstLine="420" w:firstLineChars="200"/>
              <w:jc w:val="left"/>
              <w:rPr>
                <w:rFonts w:ascii="仿宋_GB2312" w:hAnsi="宋体" w:eastAsia="仿宋_GB2312" w:cs="宋体"/>
                <w:kern w:val="0"/>
                <w:szCs w:val="21"/>
              </w:rPr>
            </w:pPr>
            <w:r>
              <w:rPr>
                <w:rFonts w:hint="eastAsia" w:ascii="仿宋_GB2312" w:hAnsi="宋体" w:eastAsia="仿宋_GB2312" w:cs="宋体"/>
                <w:kern w:val="0"/>
                <w:szCs w:val="21"/>
              </w:rPr>
              <w:t xml:space="preserve">  其中：办公用房（平方米）</w:t>
            </w:r>
          </w:p>
        </w:tc>
        <w:tc>
          <w:tcPr>
            <w:tcW w:w="2835"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p>
        </w:tc>
        <w:tc>
          <w:tcPr>
            <w:tcW w:w="5953"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p>
        </w:tc>
      </w:tr>
      <w:tr>
        <w:tblPrEx>
          <w:tblCellMar>
            <w:top w:w="0" w:type="dxa"/>
            <w:left w:w="108" w:type="dxa"/>
            <w:bottom w:w="0" w:type="dxa"/>
            <w:right w:w="108" w:type="dxa"/>
          </w:tblCellMar>
        </w:tblPrEx>
        <w:trPr>
          <w:trHeight w:val="686" w:hRule="atLeast"/>
        </w:trPr>
        <w:tc>
          <w:tcPr>
            <w:tcW w:w="4820" w:type="dxa"/>
            <w:tcBorders>
              <w:top w:val="nil"/>
              <w:left w:val="single" w:color="000000" w:sz="4" w:space="0"/>
              <w:bottom w:val="single" w:color="000000" w:sz="4" w:space="0"/>
              <w:right w:val="single" w:color="000000" w:sz="4" w:space="0"/>
            </w:tcBorders>
            <w:vAlign w:val="center"/>
          </w:tcPr>
          <w:p>
            <w:pPr>
              <w:widowControl/>
              <w:ind w:firstLine="420" w:firstLineChars="200"/>
              <w:jc w:val="left"/>
              <w:rPr>
                <w:rFonts w:ascii="仿宋_GB2312" w:hAnsi="宋体" w:eastAsia="仿宋_GB2312" w:cs="宋体"/>
                <w:kern w:val="0"/>
                <w:szCs w:val="21"/>
              </w:rPr>
            </w:pPr>
            <w:r>
              <w:rPr>
                <w:rFonts w:hint="eastAsia" w:ascii="仿宋_GB2312" w:hAnsi="宋体" w:eastAsia="仿宋_GB2312" w:cs="宋体"/>
                <w:kern w:val="0"/>
                <w:szCs w:val="21"/>
              </w:rPr>
              <w:t>2、车辆（台、辆）</w:t>
            </w:r>
          </w:p>
        </w:tc>
        <w:tc>
          <w:tcPr>
            <w:tcW w:w="2835"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r>
              <w:rPr>
                <w:rFonts w:hint="eastAsia" w:ascii="仿宋_GB2312" w:hAnsi="宋体" w:eastAsia="仿宋_GB2312" w:cs="宋体"/>
                <w:kern w:val="0"/>
                <w:szCs w:val="21"/>
              </w:rPr>
              <w:t>2</w:t>
            </w:r>
          </w:p>
        </w:tc>
        <w:tc>
          <w:tcPr>
            <w:tcW w:w="5953"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r>
              <w:rPr>
                <w:rFonts w:hint="eastAsia" w:ascii="仿宋_GB2312" w:hAnsi="宋体" w:eastAsia="仿宋_GB2312" w:cs="宋体"/>
                <w:kern w:val="0"/>
                <w:szCs w:val="21"/>
              </w:rPr>
              <w:t>2</w:t>
            </w:r>
            <w:r>
              <w:rPr>
                <w:rFonts w:ascii="仿宋_GB2312" w:hAnsi="宋体" w:eastAsia="仿宋_GB2312" w:cs="宋体"/>
                <w:kern w:val="0"/>
                <w:szCs w:val="21"/>
              </w:rPr>
              <w:t>4.28</w:t>
            </w:r>
          </w:p>
        </w:tc>
      </w:tr>
      <w:tr>
        <w:tblPrEx>
          <w:tblCellMar>
            <w:top w:w="0" w:type="dxa"/>
            <w:left w:w="108" w:type="dxa"/>
            <w:bottom w:w="0" w:type="dxa"/>
            <w:right w:w="108" w:type="dxa"/>
          </w:tblCellMar>
        </w:tblPrEx>
        <w:trPr>
          <w:trHeight w:val="686" w:hRule="atLeast"/>
        </w:trPr>
        <w:tc>
          <w:tcPr>
            <w:tcW w:w="4820" w:type="dxa"/>
            <w:tcBorders>
              <w:top w:val="nil"/>
              <w:left w:val="single" w:color="000000" w:sz="4" w:space="0"/>
              <w:bottom w:val="single" w:color="000000" w:sz="4" w:space="0"/>
              <w:right w:val="single" w:color="000000" w:sz="4" w:space="0"/>
            </w:tcBorders>
            <w:vAlign w:val="center"/>
          </w:tcPr>
          <w:p>
            <w:pPr>
              <w:widowControl/>
              <w:ind w:firstLine="420" w:firstLineChars="200"/>
              <w:jc w:val="left"/>
              <w:rPr>
                <w:rFonts w:ascii="仿宋_GB2312" w:hAnsi="宋体" w:eastAsia="仿宋_GB2312" w:cs="宋体"/>
                <w:kern w:val="0"/>
                <w:szCs w:val="21"/>
              </w:rPr>
            </w:pPr>
            <w:r>
              <w:rPr>
                <w:rFonts w:hint="eastAsia" w:ascii="仿宋_GB2312" w:hAnsi="宋体" w:eastAsia="仿宋_GB2312" w:cs="宋体"/>
                <w:kern w:val="0"/>
                <w:szCs w:val="21"/>
              </w:rPr>
              <w:t>3、单价在20万元以上设备</w:t>
            </w:r>
          </w:p>
        </w:tc>
        <w:tc>
          <w:tcPr>
            <w:tcW w:w="2835"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5953"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p>
        </w:tc>
      </w:tr>
      <w:tr>
        <w:tblPrEx>
          <w:tblCellMar>
            <w:top w:w="0" w:type="dxa"/>
            <w:left w:w="108" w:type="dxa"/>
            <w:bottom w:w="0" w:type="dxa"/>
            <w:right w:w="108" w:type="dxa"/>
          </w:tblCellMar>
        </w:tblPrEx>
        <w:trPr>
          <w:trHeight w:val="686" w:hRule="atLeast"/>
        </w:trPr>
        <w:tc>
          <w:tcPr>
            <w:tcW w:w="4820" w:type="dxa"/>
            <w:tcBorders>
              <w:top w:val="nil"/>
              <w:left w:val="single" w:color="000000" w:sz="4" w:space="0"/>
              <w:bottom w:val="single" w:color="000000" w:sz="4" w:space="0"/>
              <w:right w:val="single" w:color="000000" w:sz="4" w:space="0"/>
            </w:tcBorders>
            <w:vAlign w:val="center"/>
          </w:tcPr>
          <w:p>
            <w:pPr>
              <w:widowControl/>
              <w:ind w:firstLine="420" w:firstLineChars="200"/>
              <w:jc w:val="left"/>
              <w:rPr>
                <w:rFonts w:ascii="仿宋_GB2312" w:hAnsi="宋体" w:eastAsia="仿宋_GB2312" w:cs="宋体"/>
                <w:kern w:val="0"/>
                <w:szCs w:val="21"/>
              </w:rPr>
            </w:pPr>
            <w:r>
              <w:rPr>
                <w:rFonts w:hint="eastAsia" w:ascii="仿宋_GB2312" w:hAnsi="宋体" w:eastAsia="仿宋_GB2312" w:cs="宋体"/>
                <w:kern w:val="0"/>
                <w:szCs w:val="21"/>
              </w:rPr>
              <w:t>4、其他固定资产</w:t>
            </w:r>
          </w:p>
        </w:tc>
        <w:tc>
          <w:tcPr>
            <w:tcW w:w="2835"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5953" w:type="dxa"/>
            <w:tcBorders>
              <w:top w:val="nil"/>
              <w:left w:val="nil"/>
              <w:bottom w:val="single" w:color="000000" w:sz="4" w:space="0"/>
              <w:right w:val="single" w:color="000000" w:sz="4" w:space="0"/>
            </w:tcBorders>
            <w:vAlign w:val="center"/>
          </w:tcPr>
          <w:p>
            <w:pPr>
              <w:widowControl/>
              <w:ind w:firstLine="420" w:firstLineChars="200"/>
              <w:jc w:val="center"/>
              <w:rPr>
                <w:rFonts w:ascii="仿宋_GB2312" w:hAnsi="宋体" w:eastAsia="仿宋_GB2312" w:cs="宋体"/>
                <w:kern w:val="0"/>
                <w:szCs w:val="21"/>
              </w:rPr>
            </w:pPr>
            <w:r>
              <w:rPr>
                <w:rFonts w:ascii="仿宋_GB2312" w:hAnsi="宋体" w:eastAsia="仿宋_GB2312" w:cs="宋体"/>
                <w:kern w:val="0"/>
                <w:szCs w:val="21"/>
              </w:rPr>
              <w:t>117.64</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1、一般公共预算拨款收入：指县级财政当年拨付的资金。</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2、事业收入：指事业单位开展专业业务活动及辅助活动所取得的收入。</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3、其他收入：指除“一般公共预算拨款收入”、“事业收入”等以外的收入。主要是按规定动用的租房收入、存款利息收入等。</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4、基本支出：指为保障机构正常运转、完成日常工作任务而发生的人员支出和公用支出。</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5、项目支出：指在基本支出之外为完成特定行政任务和事业发展目标所发生的支出。</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6、上缴上级支出：指下级单位上缴上级的支出。</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9、上年结转：指以前年度尚未完成、结转到本年仍按原规定用途继续使用的资金。</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10、事业单位经营支出：指事业单位在专业业务活动及其辅助活动之外开展非独立核算经营活动发生的支出。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我部门无其他需要说明的事项。</w:t>
      </w:r>
    </w:p>
    <w:sectPr>
      <w:pgSz w:w="16838" w:h="11906" w:orient="landscape"/>
      <w:pgMar w:top="1797" w:right="1440" w:bottom="1797" w:left="1440"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Arial">
    <w:panose1 w:val="020B0604020202020204"/>
    <w:charset w:val="00"/>
    <w:family w:val="swiss"/>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18</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19</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EE71BA"/>
    <w:rsid w:val="00034434"/>
    <w:rsid w:val="00056ED7"/>
    <w:rsid w:val="000A22FD"/>
    <w:rsid w:val="000A6A87"/>
    <w:rsid w:val="000C7140"/>
    <w:rsid w:val="00151127"/>
    <w:rsid w:val="00201B87"/>
    <w:rsid w:val="00290057"/>
    <w:rsid w:val="00323B29"/>
    <w:rsid w:val="003443FF"/>
    <w:rsid w:val="00360DD7"/>
    <w:rsid w:val="0039059E"/>
    <w:rsid w:val="003F18F3"/>
    <w:rsid w:val="0044324B"/>
    <w:rsid w:val="00467924"/>
    <w:rsid w:val="00514F4D"/>
    <w:rsid w:val="00585D57"/>
    <w:rsid w:val="006E781F"/>
    <w:rsid w:val="00745AAE"/>
    <w:rsid w:val="007861A8"/>
    <w:rsid w:val="00797FD0"/>
    <w:rsid w:val="007C2665"/>
    <w:rsid w:val="007F0341"/>
    <w:rsid w:val="007F5A57"/>
    <w:rsid w:val="008D613F"/>
    <w:rsid w:val="009509E8"/>
    <w:rsid w:val="009A521C"/>
    <w:rsid w:val="00A000B0"/>
    <w:rsid w:val="00AA3FC3"/>
    <w:rsid w:val="00B01F01"/>
    <w:rsid w:val="00B90817"/>
    <w:rsid w:val="00C7710A"/>
    <w:rsid w:val="00CE00BE"/>
    <w:rsid w:val="00D607DA"/>
    <w:rsid w:val="00DC6EE5"/>
    <w:rsid w:val="00EE71BA"/>
    <w:rsid w:val="00F867E4"/>
    <w:rsid w:val="00FA4E94"/>
    <w:rsid w:val="056D17C0"/>
    <w:rsid w:val="0EB26EE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99"/>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99"/>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semiHidden/>
    <w:unhideWhenUsed/>
    <w:qFormat/>
    <w:uiPriority w:val="99"/>
  </w:style>
  <w:style w:type="character" w:styleId="10">
    <w:name w:val="Hyperlink"/>
    <w:unhideWhenUsed/>
    <w:qFormat/>
    <w:uiPriority w:val="99"/>
    <w:rPr>
      <w:color w:val="0000FF"/>
      <w:u w:val="single"/>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1"/>
    <w:link w:val="2"/>
    <w:semiHidden/>
    <w:qFormat/>
    <w:uiPriority w:val="0"/>
    <w:rPr>
      <w:rFonts w:ascii="Times New Roman" w:hAnsi="Times New Roman" w:eastAsia="宋体" w:cs="Times New Roman"/>
      <w:sz w:val="18"/>
      <w:szCs w:val="18"/>
    </w:rPr>
  </w:style>
  <w:style w:type="character" w:customStyle="1" w:styleId="15">
    <w:name w:val="页眉 Char1"/>
    <w:link w:val="3"/>
    <w:semiHidden/>
    <w:qFormat/>
    <w:uiPriority w:val="0"/>
    <w:rPr>
      <w:rFonts w:ascii="Times New Roman" w:hAnsi="Times New Roman" w:eastAsia="宋体" w:cs="Times New Roman"/>
      <w:sz w:val="18"/>
      <w:szCs w:val="18"/>
    </w:rPr>
  </w:style>
  <w:style w:type="character" w:customStyle="1" w:styleId="16">
    <w:name w:val="页眉 Char"/>
    <w:qFormat/>
    <w:uiPriority w:val="99"/>
    <w:rPr>
      <w:rFonts w:ascii="Times New Roman" w:hAnsi="Times New Roman" w:eastAsia="Times New Roman" w:cs="Times New Roman"/>
      <w:kern w:val="0"/>
      <w:sz w:val="18"/>
      <w:szCs w:val="18"/>
      <w:lang w:eastAsia="en-US"/>
    </w:rPr>
  </w:style>
  <w:style w:type="paragraph" w:customStyle="1" w:styleId="17">
    <w:name w:val="[Normal]"/>
    <w:qFormat/>
    <w:uiPriority w:val="0"/>
    <w:rPr>
      <w:rFonts w:ascii="宋体" w:hAnsi="宋体" w:eastAsia="宋体" w:cs="Times New Roman"/>
      <w:sz w:val="24"/>
      <w:lang w:val="en-US" w:eastAsia="en-US" w:bidi="ar-SA"/>
    </w:rPr>
  </w:style>
  <w:style w:type="character" w:customStyle="1" w:styleId="18">
    <w:name w:val="页脚 Char"/>
    <w:qFormat/>
    <w:uiPriority w:val="99"/>
    <w:rPr>
      <w:rFonts w:ascii="Times New Roman" w:hAnsi="Times New Roman" w:eastAsia="Times New Roman" w:cs="Times New Roman"/>
      <w:kern w:val="0"/>
      <w:sz w:val="18"/>
      <w:szCs w:val="18"/>
      <w:lang w:eastAsia="en-US"/>
    </w:rPr>
  </w:style>
  <w:style w:type="paragraph" w:customStyle="1" w:styleId="19">
    <w:name w:val="_Style 16"/>
    <w:basedOn w:val="1"/>
    <w:next w:val="1"/>
    <w:unhideWhenUsed/>
    <w:qFormat/>
    <w:uiPriority w:val="39"/>
    <w:rPr>
      <w:rFonts w:cs="Times New Roma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21</Pages>
  <Words>1901</Words>
  <Characters>10841</Characters>
  <Lines>90</Lines>
  <Paragraphs>25</Paragraphs>
  <TotalTime>0</TotalTime>
  <ScaleCrop>false</ScaleCrop>
  <LinksUpToDate>false</LinksUpToDate>
  <CharactersWithSpaces>12717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2021-05-22T01:15:00Z</dcterms:created>
  <dc:creator>guest</dc:creator>
  <cp:lastModifiedBy>Administrator</cp:lastModifiedBy>
  <cp:lastPrinted>2020-01-10T15:53:00Z</cp:lastPrinted>
  <dcterms:modified xsi:type="dcterms:W3CDTF">2024-01-04T06:59:37Z</dcterms:modified>
  <dc:title>o</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91CE0103FB10415795849174A6EF511B</vt:lpwstr>
  </property>
</Properties>
</file>