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cs="宋体"/>
          <w:b/>
          <w:bCs/>
          <w:sz w:val="44"/>
          <w:szCs w:val="44"/>
        </w:rPr>
      </w:pPr>
      <w:bookmarkStart w:id="3" w:name="_GoBack"/>
      <w:bookmarkEnd w:id="3"/>
    </w:p>
    <w:p>
      <w:pPr>
        <w:ind w:firstLine="4996" w:firstLineChars="1131"/>
        <w:rPr>
          <w:rFonts w:ascii="宋体" w:hAnsi="宋体" w:cs="宋体"/>
          <w:b/>
          <w:bCs/>
          <w:sz w:val="44"/>
          <w:szCs w:val="44"/>
        </w:rPr>
      </w:pPr>
      <w:r>
        <w:rPr>
          <w:rFonts w:hint="eastAsia" w:ascii="宋体" w:hAnsi="宋体" w:cs="宋体"/>
          <w:b/>
          <w:bCs/>
          <w:sz w:val="44"/>
          <w:szCs w:val="44"/>
        </w:rPr>
        <w:t>无极县发展改革局</w:t>
      </w:r>
    </w:p>
    <w:p>
      <w:pPr>
        <w:jc w:val="center"/>
        <w:rPr>
          <w:rFonts w:ascii="宋体" w:hAnsi="宋体" w:cs="宋体"/>
          <w:b/>
          <w:bCs/>
          <w:sz w:val="44"/>
          <w:szCs w:val="44"/>
        </w:rPr>
      </w:pPr>
      <w:r>
        <w:rPr>
          <w:rFonts w:hint="eastAsia" w:ascii="宋体" w:hAnsi="宋体" w:cs="宋体"/>
          <w:b/>
          <w:bCs/>
          <w:sz w:val="44"/>
          <w:szCs w:val="44"/>
        </w:rPr>
        <w:t>201</w:t>
      </w:r>
      <w:r>
        <w:rPr>
          <w:rFonts w:ascii="宋体" w:hAnsi="宋体" w:cs="宋体"/>
          <w:b/>
          <w:bCs/>
          <w:sz w:val="44"/>
          <w:szCs w:val="44"/>
        </w:rPr>
        <w:t>9</w:t>
      </w:r>
      <w:r>
        <w:rPr>
          <w:rFonts w:hint="eastAsia" w:ascii="宋体" w:hAnsi="宋体" w:cs="宋体"/>
          <w:b/>
          <w:bCs/>
          <w:sz w:val="44"/>
          <w:szCs w:val="44"/>
        </w:rPr>
        <w:t>年部门预算信息公开说明目录</w:t>
      </w:r>
    </w:p>
    <w:p/>
    <w:p/>
    <w:p>
      <w:pPr>
        <w:ind w:firstLine="640" w:firstLineChars="200"/>
        <w:rPr>
          <w:rFonts w:ascii="仿宋" w:hAnsi="仿宋" w:eastAsia="仿宋" w:cs="仿宋"/>
          <w:sz w:val="32"/>
          <w:szCs w:val="32"/>
        </w:rPr>
      </w:pPr>
      <w:r>
        <w:rPr>
          <w:rFonts w:hint="eastAsia" w:ascii="仿宋" w:hAnsi="仿宋" w:eastAsia="仿宋" w:cs="仿宋"/>
          <w:sz w:val="32"/>
          <w:szCs w:val="32"/>
        </w:rPr>
        <w:t>按照</w:t>
      </w:r>
      <w:r>
        <w:rPr>
          <w:rFonts w:hint="eastAsia" w:ascii="仿宋" w:hAnsi="仿宋" w:eastAsia="仿宋" w:cs="仿宋"/>
          <w:sz w:val="32"/>
          <w:szCs w:val="32"/>
          <w:lang w:eastAsia="zh-CN"/>
        </w:rPr>
        <w:t>《中华人民共和国预算法》</w:t>
      </w:r>
      <w:r>
        <w:rPr>
          <w:rFonts w:hint="eastAsia" w:ascii="仿宋" w:hAnsi="仿宋" w:eastAsia="仿宋" w:cs="仿宋"/>
          <w:sz w:val="32"/>
          <w:szCs w:val="32"/>
        </w:rPr>
        <w:t>、《地方预决算公开操作规程》和《河北省省级预算公开办法》规定，现将无极县发展改革局201</w:t>
      </w:r>
      <w:r>
        <w:rPr>
          <w:rFonts w:ascii="仿宋" w:hAnsi="仿宋" w:eastAsia="仿宋" w:cs="仿宋"/>
          <w:sz w:val="32"/>
          <w:szCs w:val="32"/>
        </w:rPr>
        <w:t>9</w:t>
      </w:r>
      <w:r>
        <w:rPr>
          <w:rFonts w:hint="eastAsia" w:ascii="仿宋" w:hAnsi="仿宋" w:eastAsia="仿宋" w:cs="仿宋"/>
          <w:sz w:val="32"/>
          <w:szCs w:val="32"/>
        </w:rPr>
        <w:t>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仿宋" w:hAnsi="仿宋" w:eastAsia="仿宋" w:cs="仿宋_GB2312"/>
          <w:sz w:val="32"/>
          <w:szCs w:val="32"/>
        </w:rPr>
      </w:pPr>
      <w:r>
        <w:rPr>
          <w:rFonts w:hint="eastAsia" w:ascii="仿宋" w:hAnsi="仿宋" w:eastAsia="仿宋" w:cs="仿宋_GB2312"/>
          <w:sz w:val="32"/>
          <w:szCs w:val="32"/>
        </w:rPr>
        <w:t>（一）部门职责</w:t>
      </w:r>
    </w:p>
    <w:p>
      <w:pPr>
        <w:ind w:firstLine="640" w:firstLineChars="200"/>
        <w:rPr>
          <w:rFonts w:ascii="仿宋" w:hAnsi="仿宋" w:eastAsia="仿宋"/>
          <w:sz w:val="32"/>
          <w:szCs w:val="32"/>
        </w:rPr>
      </w:pPr>
      <w:r>
        <w:rPr>
          <w:rFonts w:hint="eastAsia" w:ascii="仿宋" w:hAnsi="仿宋" w:eastAsia="仿宋"/>
          <w:sz w:val="32"/>
          <w:szCs w:val="32"/>
        </w:rPr>
        <w:t>1.统筹协调，推进规划编制实施。坚持立足无极实际，突出规划引领，在抓好“十三五”规划纲要实施的同时，抓住京津冀协同发展机遇，加强与高等院校的合作，充分发挥专家、学者以及科研院所的智力优势，找准研究方向、研究重点，找出发展路径和解决难题的具体办法，集中体现以人为本、可持续发展理念，确保“十三五”规划目标任务顺利完成。</w:t>
      </w:r>
    </w:p>
    <w:p>
      <w:pPr>
        <w:ind w:firstLine="640" w:firstLineChars="200"/>
        <w:rPr>
          <w:rFonts w:ascii="仿宋" w:hAnsi="仿宋" w:eastAsia="仿宋"/>
          <w:sz w:val="32"/>
          <w:szCs w:val="32"/>
        </w:rPr>
      </w:pPr>
      <w:r>
        <w:rPr>
          <w:rFonts w:hint="eastAsia" w:ascii="仿宋" w:hAnsi="仿宋" w:eastAsia="仿宋"/>
          <w:sz w:val="32"/>
          <w:szCs w:val="32"/>
        </w:rPr>
        <w:t>2.超前谋划研究，当好参谋和助手。一是科学制定年度计划。做到计划目标积极主动又切实可行，并与“十三五”规划相衔接。二是强化经济运行监控。加强工作调研，立足经济发展新常态，认真分析研究宏观政策，增强对宏观发展环境的研判，及时发现苗头性、倾向性问题，提出保持经济平稳较快增长的对策建议。</w:t>
      </w:r>
    </w:p>
    <w:p>
      <w:pPr>
        <w:ind w:firstLine="640" w:firstLineChars="200"/>
        <w:rPr>
          <w:rFonts w:ascii="仿宋" w:hAnsi="仿宋" w:eastAsia="仿宋"/>
          <w:sz w:val="32"/>
          <w:szCs w:val="32"/>
        </w:rPr>
      </w:pPr>
      <w:r>
        <w:rPr>
          <w:rFonts w:hint="eastAsia" w:ascii="仿宋" w:hAnsi="仿宋" w:eastAsia="仿宋"/>
          <w:sz w:val="32"/>
          <w:szCs w:val="32"/>
        </w:rPr>
        <w:t>3.攻坚克难，强力推进项目建设。牢固树立“抓项目就是抓发展、抓项目就是抓转型升级”的理念，继续把项目工作作为重中之重来抓。做好协调和督导工作，加强重点建设协调管理，完成市下达的计划目标。</w:t>
      </w:r>
    </w:p>
    <w:p>
      <w:pPr>
        <w:ind w:firstLine="640" w:firstLineChars="200"/>
        <w:rPr>
          <w:rFonts w:ascii="仿宋" w:hAnsi="仿宋" w:eastAsia="仿宋"/>
          <w:sz w:val="32"/>
          <w:szCs w:val="32"/>
        </w:rPr>
      </w:pPr>
      <w:r>
        <w:rPr>
          <w:rFonts w:hint="eastAsia" w:ascii="仿宋" w:hAnsi="仿宋" w:eastAsia="仿宋"/>
          <w:sz w:val="32"/>
          <w:szCs w:val="32"/>
        </w:rPr>
        <w:t>4、节能降耗工作。强化节能监察，加强大气污染综合治理，完成市下达的节能降耗任务目标。</w:t>
      </w:r>
    </w:p>
    <w:p>
      <w:pPr>
        <w:ind w:firstLine="640" w:firstLineChars="200"/>
        <w:rPr>
          <w:rFonts w:ascii="仿宋" w:hAnsi="仿宋" w:eastAsia="仿宋"/>
          <w:sz w:val="32"/>
          <w:szCs w:val="32"/>
        </w:rPr>
      </w:pPr>
      <w:r>
        <w:rPr>
          <w:rFonts w:hint="eastAsia" w:ascii="仿宋" w:hAnsi="仿宋" w:eastAsia="仿宋"/>
          <w:sz w:val="32"/>
          <w:szCs w:val="32"/>
        </w:rPr>
        <w:t>5、服务业工作。加强服务业工作管理，加快服务业重点项目建设，大力发展生产性服务业、生活性服务业及新兴服务业，提高第三产业比重，完成市下达的任务目标。</w:t>
      </w:r>
    </w:p>
    <w:p>
      <w:pPr>
        <w:ind w:firstLine="640" w:firstLineChars="200"/>
        <w:rPr>
          <w:rFonts w:ascii="仿宋" w:hAnsi="仿宋" w:eastAsia="仿宋"/>
          <w:sz w:val="32"/>
          <w:szCs w:val="32"/>
        </w:rPr>
      </w:pPr>
      <w:r>
        <w:rPr>
          <w:rFonts w:hint="eastAsia" w:ascii="仿宋" w:hAnsi="仿宋" w:eastAsia="仿宋"/>
          <w:sz w:val="32"/>
          <w:szCs w:val="32"/>
        </w:rPr>
        <w:t>6、价格工作。贯彻执行国家的价格方针、政策和法规；监督有关部门实施国家和省、市制定的商品价格和收费标准及价格改革方案。对实行由县定价（含市委托代管）的工农业产品价格、房地产价格和收费标准实施直接管理；对放开商品的价格，通过监审、提价申报、规定限价和差率控制等措施进行间接管理；通过组织行业议价，制止抬价抢购和拒收压价，应限制市场调节的盲目性。研究重要商品（含由市场调节的关系国计民生比较重要的商品）价格管理体制和宏观调控机制；监测市场物价动态，分析市场物价趋势，适时提出对市场物价进行调控的意见和建议。建立价格监测体系，对市场物价进行监测、预测和预警，向县委、县政府反馈市场物价方面的重要情况，为领导决策提供依据；完善价格信息网络，及时向企业发布价格信息，指导企业的生产和经营。依据国家和省市有关价格法规，组织全县物价和收费的监督检查，查处和制止价格违法行为，特别是要坚决查处价格垄断、牟取暴利、哄抬价格行为，规范市场价格秩序；对价格、收费申诉案件进行裁决。负责全县价格纠纷仲裁、企业定价鉴证和赃物罚没物资价格的评估。负责全县工农业产品成本调查工作，为领导决策提供依据。</w:t>
      </w:r>
    </w:p>
    <w:p>
      <w:pPr>
        <w:rPr>
          <w:rFonts w:ascii="仿宋" w:hAnsi="仿宋" w:eastAsia="仿宋"/>
          <w:sz w:val="32"/>
          <w:szCs w:val="32"/>
        </w:rPr>
      </w:pPr>
      <w:r>
        <w:rPr>
          <w:rFonts w:hint="eastAsia" w:ascii="仿宋" w:hAnsi="仿宋" w:eastAsia="仿宋"/>
          <w:sz w:val="32"/>
          <w:szCs w:val="32"/>
        </w:rPr>
        <w:t>指导企业用好市场调节商品价格的定价权，帮助企业提高经济效益；企事业单位物价人员的业务培训。</w:t>
      </w:r>
    </w:p>
    <w:p>
      <w:pPr>
        <w:ind w:firstLine="640" w:firstLineChars="200"/>
        <w:rPr>
          <w:rFonts w:ascii="仿宋" w:hAnsi="仿宋" w:eastAsia="仿宋"/>
          <w:sz w:val="32"/>
          <w:szCs w:val="32"/>
        </w:rPr>
      </w:pP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rPr>
          <w:rFonts w:ascii="仿宋" w:hAnsi="仿宋" w:eastAsia="仿宋"/>
          <w:sz w:val="32"/>
          <w:szCs w:val="32"/>
        </w:rPr>
      </w:pPr>
      <w:r>
        <w:rPr>
          <w:rFonts w:hint="eastAsia" w:ascii="仿宋" w:hAnsi="仿宋" w:eastAsia="仿宋"/>
          <w:sz w:val="32"/>
          <w:szCs w:val="32"/>
        </w:rPr>
        <w:t>部门机构设置情况</w:t>
      </w:r>
    </w:p>
    <w:tbl>
      <w:tblPr>
        <w:tblStyle w:val="5"/>
        <w:tblW w:w="13575" w:type="dxa"/>
        <w:tblInd w:w="108"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852"/>
        <w:gridCol w:w="3210"/>
        <w:gridCol w:w="2977"/>
        <w:gridCol w:w="45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2852" w:type="dxa"/>
            <w:vMerge w:val="restart"/>
            <w:vAlign w:val="center"/>
          </w:tcPr>
          <w:p>
            <w:pPr>
              <w:spacing w:line="300" w:lineRule="exact"/>
              <w:jc w:val="center"/>
              <w:rPr>
                <w:rFonts w:ascii="仿宋_GB2312" w:eastAsia="仿宋_GB2312"/>
                <w:szCs w:val="21"/>
              </w:rPr>
            </w:pPr>
            <w:r>
              <w:rPr>
                <w:rFonts w:hint="eastAsia" w:ascii="仿宋_GB2312" w:eastAsia="仿宋_GB2312"/>
                <w:szCs w:val="21"/>
              </w:rPr>
              <w:t>单位名称</w:t>
            </w:r>
          </w:p>
        </w:tc>
        <w:tc>
          <w:tcPr>
            <w:tcW w:w="3210" w:type="dxa"/>
            <w:vMerge w:val="restart"/>
            <w:vAlign w:val="center"/>
          </w:tcPr>
          <w:p>
            <w:pPr>
              <w:spacing w:line="300" w:lineRule="exact"/>
              <w:rPr>
                <w:rFonts w:ascii="仿宋_GB2312" w:eastAsia="仿宋_GB2312"/>
                <w:szCs w:val="21"/>
              </w:rPr>
            </w:pPr>
            <w:r>
              <w:rPr>
                <w:rFonts w:hint="eastAsia" w:ascii="仿宋_GB2312" w:eastAsia="仿宋_GB2312"/>
                <w:szCs w:val="21"/>
              </w:rPr>
              <w:t>单位性质</w:t>
            </w:r>
          </w:p>
        </w:tc>
        <w:tc>
          <w:tcPr>
            <w:tcW w:w="2977" w:type="dxa"/>
            <w:vMerge w:val="restart"/>
            <w:vAlign w:val="center"/>
          </w:tcPr>
          <w:p>
            <w:pPr>
              <w:spacing w:line="300" w:lineRule="exact"/>
              <w:jc w:val="center"/>
              <w:rPr>
                <w:rFonts w:ascii="仿宋_GB2312" w:eastAsia="仿宋_GB2312"/>
                <w:szCs w:val="21"/>
              </w:rPr>
            </w:pPr>
            <w:r>
              <w:rPr>
                <w:rFonts w:hint="eastAsia" w:ascii="仿宋_GB2312" w:eastAsia="仿宋_GB2312"/>
                <w:szCs w:val="21"/>
              </w:rPr>
              <w:t>单位规格</w:t>
            </w:r>
          </w:p>
        </w:tc>
        <w:tc>
          <w:tcPr>
            <w:tcW w:w="4536" w:type="dxa"/>
            <w:vMerge w:val="restart"/>
            <w:vAlign w:val="center"/>
          </w:tcPr>
          <w:p>
            <w:pPr>
              <w:spacing w:line="300" w:lineRule="exact"/>
              <w:jc w:val="center"/>
              <w:rPr>
                <w:rFonts w:ascii="仿宋_GB2312" w:eastAsia="仿宋_GB2312"/>
                <w:szCs w:val="21"/>
              </w:rPr>
            </w:pPr>
            <w:r>
              <w:rPr>
                <w:rFonts w:hint="eastAsia" w:ascii="仿宋_GB2312" w:eastAsia="仿宋_GB2312"/>
                <w:szCs w:val="21"/>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trPr>
        <w:tc>
          <w:tcPr>
            <w:tcW w:w="2852" w:type="dxa"/>
            <w:vMerge w:val="continue"/>
            <w:vAlign w:val="center"/>
          </w:tcPr>
          <w:p>
            <w:pPr>
              <w:spacing w:line="300" w:lineRule="exact"/>
              <w:jc w:val="center"/>
              <w:outlineLvl w:val="0"/>
              <w:rPr>
                <w:rFonts w:ascii="仿宋_GB2312" w:eastAsia="仿宋_GB2312"/>
                <w:szCs w:val="21"/>
              </w:rPr>
            </w:pPr>
          </w:p>
        </w:tc>
        <w:tc>
          <w:tcPr>
            <w:tcW w:w="3210" w:type="dxa"/>
            <w:vMerge w:val="continue"/>
            <w:vAlign w:val="center"/>
          </w:tcPr>
          <w:p>
            <w:pPr>
              <w:spacing w:line="300" w:lineRule="exact"/>
              <w:jc w:val="center"/>
              <w:outlineLvl w:val="0"/>
              <w:rPr>
                <w:rFonts w:ascii="仿宋_GB2312" w:eastAsia="仿宋_GB2312"/>
                <w:szCs w:val="21"/>
              </w:rPr>
            </w:pPr>
          </w:p>
        </w:tc>
        <w:tc>
          <w:tcPr>
            <w:tcW w:w="2977" w:type="dxa"/>
            <w:vMerge w:val="continue"/>
            <w:vAlign w:val="center"/>
          </w:tcPr>
          <w:p>
            <w:pPr>
              <w:spacing w:line="300" w:lineRule="exact"/>
              <w:jc w:val="center"/>
              <w:outlineLvl w:val="0"/>
              <w:rPr>
                <w:rFonts w:ascii="仿宋_GB2312" w:eastAsia="仿宋_GB2312"/>
                <w:szCs w:val="21"/>
              </w:rPr>
            </w:pPr>
          </w:p>
        </w:tc>
        <w:tc>
          <w:tcPr>
            <w:tcW w:w="4536" w:type="dxa"/>
            <w:vMerge w:val="continue"/>
            <w:vAlign w:val="center"/>
          </w:tcPr>
          <w:p>
            <w:pPr>
              <w:spacing w:line="300" w:lineRule="exact"/>
              <w:jc w:val="center"/>
              <w:outlineLvl w:val="0"/>
              <w:rPr>
                <w:rFonts w:ascii="仿宋_GB2312" w:eastAsia="仿宋_GB2312"/>
                <w:szCs w:val="21"/>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rPr>
        <w:tc>
          <w:tcPr>
            <w:tcW w:w="2852" w:type="dxa"/>
            <w:vAlign w:val="center"/>
          </w:tcPr>
          <w:p>
            <w:pPr>
              <w:spacing w:line="300" w:lineRule="exact"/>
              <w:jc w:val="center"/>
              <w:rPr>
                <w:rFonts w:ascii="仿宋_GB2312" w:eastAsia="仿宋_GB2312"/>
                <w:szCs w:val="21"/>
              </w:rPr>
            </w:pPr>
            <w:r>
              <w:rPr>
                <w:rFonts w:hint="eastAsia" w:ascii="仿宋_GB2312" w:eastAsia="仿宋_GB2312"/>
                <w:szCs w:val="21"/>
              </w:rPr>
              <w:t>无极县发展改革局</w:t>
            </w:r>
          </w:p>
        </w:tc>
        <w:tc>
          <w:tcPr>
            <w:tcW w:w="3210" w:type="dxa"/>
            <w:vAlign w:val="center"/>
          </w:tcPr>
          <w:p>
            <w:pPr>
              <w:spacing w:line="300" w:lineRule="exact"/>
              <w:jc w:val="center"/>
              <w:rPr>
                <w:rFonts w:ascii="仿宋_GB2312" w:eastAsia="仿宋_GB2312"/>
                <w:szCs w:val="21"/>
              </w:rPr>
            </w:pPr>
            <w:r>
              <w:rPr>
                <w:rFonts w:hint="eastAsia" w:ascii="仿宋_GB2312" w:eastAsia="仿宋_GB2312"/>
                <w:szCs w:val="21"/>
              </w:rPr>
              <w:t>行政</w:t>
            </w:r>
          </w:p>
        </w:tc>
        <w:tc>
          <w:tcPr>
            <w:tcW w:w="2977" w:type="dxa"/>
            <w:vAlign w:val="center"/>
          </w:tcPr>
          <w:p>
            <w:pPr>
              <w:spacing w:line="300" w:lineRule="exact"/>
              <w:jc w:val="center"/>
              <w:rPr>
                <w:rFonts w:ascii="仿宋_GB2312" w:eastAsia="仿宋_GB2312"/>
                <w:szCs w:val="21"/>
              </w:rPr>
            </w:pPr>
            <w:r>
              <w:rPr>
                <w:rFonts w:hint="eastAsia" w:ascii="仿宋_GB2312" w:eastAsia="仿宋_GB2312"/>
                <w:szCs w:val="21"/>
              </w:rPr>
              <w:t>正科级</w:t>
            </w:r>
          </w:p>
        </w:tc>
        <w:tc>
          <w:tcPr>
            <w:tcW w:w="4536" w:type="dxa"/>
            <w:vAlign w:val="center"/>
          </w:tcPr>
          <w:p>
            <w:pPr>
              <w:spacing w:line="300" w:lineRule="exact"/>
              <w:jc w:val="center"/>
              <w:rPr>
                <w:rFonts w:ascii="仿宋_GB2312" w:eastAsia="仿宋_GB2312"/>
                <w:szCs w:val="21"/>
              </w:rPr>
            </w:pPr>
            <w:r>
              <w:rPr>
                <w:rFonts w:hint="eastAsia" w:ascii="仿宋_GB2312" w:eastAsia="仿宋_GB2312"/>
                <w:szCs w:val="21"/>
              </w:rPr>
              <w:t>财政拨款</w:t>
            </w:r>
          </w:p>
        </w:tc>
      </w:tr>
    </w:tbl>
    <w:p>
      <w:pPr>
        <w:rPr>
          <w:rFonts w:ascii="仿宋" w:hAnsi="仿宋" w:eastAsia="仿宋"/>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仿宋" w:hAnsi="仿宋" w:eastAsia="仿宋"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仿宋" w:hAnsi="仿宋" w:eastAsia="仿宋" w:cs="仿宋_GB2312"/>
          <w:sz w:val="30"/>
          <w:szCs w:val="30"/>
        </w:rPr>
        <w:t>。</w:t>
      </w:r>
    </w:p>
    <w:p>
      <w:pPr>
        <w:pStyle w:val="11"/>
        <w:numPr>
          <w:ilvl w:val="0"/>
          <w:numId w:val="1"/>
        </w:numPr>
        <w:ind w:firstLineChars="0"/>
        <w:rPr>
          <w:rFonts w:ascii="仿宋" w:hAnsi="仿宋" w:eastAsia="仿宋" w:cs="仿宋_GB2312"/>
          <w:sz w:val="30"/>
          <w:szCs w:val="30"/>
        </w:rPr>
      </w:pPr>
      <w:r>
        <w:rPr>
          <w:rFonts w:hint="eastAsia" w:ascii="仿宋" w:hAnsi="仿宋" w:eastAsia="仿宋" w:cs="仿宋_GB2312"/>
          <w:sz w:val="30"/>
          <w:szCs w:val="30"/>
        </w:rPr>
        <w:t>收入说明</w:t>
      </w:r>
    </w:p>
    <w:p>
      <w:pPr>
        <w:adjustRightInd w:val="0"/>
        <w:snapToGrid w:val="0"/>
        <w:spacing w:line="600" w:lineRule="exact"/>
        <w:ind w:firstLine="707" w:firstLineChars="221"/>
        <w:jc w:val="left"/>
        <w:rPr>
          <w:rFonts w:ascii="仿宋" w:hAnsi="仿宋" w:eastAsia="仿宋" w:cs="仿宋_GB2312"/>
          <w:bCs/>
          <w:sz w:val="32"/>
          <w:szCs w:val="32"/>
        </w:rPr>
      </w:pPr>
      <w:r>
        <w:rPr>
          <w:rFonts w:hint="eastAsia" w:ascii="仿宋" w:hAnsi="仿宋" w:eastAsia="仿宋" w:cs="仿宋_GB2312"/>
          <w:bCs/>
          <w:sz w:val="32"/>
          <w:szCs w:val="32"/>
        </w:rPr>
        <w:t>无极县发展局201</w:t>
      </w:r>
      <w:r>
        <w:rPr>
          <w:rFonts w:ascii="仿宋" w:hAnsi="仿宋" w:eastAsia="仿宋" w:cs="仿宋_GB2312"/>
          <w:bCs/>
          <w:sz w:val="32"/>
          <w:szCs w:val="32"/>
        </w:rPr>
        <w:t>9</w:t>
      </w:r>
      <w:r>
        <w:rPr>
          <w:rFonts w:hint="eastAsia" w:ascii="仿宋" w:hAnsi="仿宋" w:eastAsia="仿宋" w:cs="仿宋_GB2312"/>
          <w:bCs/>
          <w:sz w:val="32"/>
          <w:szCs w:val="32"/>
        </w:rPr>
        <w:t>年预算收入总计</w:t>
      </w:r>
      <w:r>
        <w:rPr>
          <w:rFonts w:ascii="仿宋" w:hAnsi="仿宋" w:eastAsia="仿宋" w:cs="仿宋_GB2312"/>
          <w:bCs/>
          <w:sz w:val="32"/>
          <w:szCs w:val="32"/>
        </w:rPr>
        <w:t>553.19</w:t>
      </w:r>
      <w:r>
        <w:rPr>
          <w:rFonts w:hint="eastAsia" w:ascii="仿宋" w:hAnsi="仿宋" w:eastAsia="仿宋" w:cs="仿宋_GB2312"/>
          <w:bCs/>
          <w:sz w:val="32"/>
          <w:szCs w:val="32"/>
        </w:rPr>
        <w:t>万元。其中，一般公共预算收入</w:t>
      </w:r>
      <w:r>
        <w:rPr>
          <w:rFonts w:ascii="仿宋" w:hAnsi="仿宋" w:eastAsia="仿宋" w:cs="仿宋_GB2312"/>
          <w:bCs/>
          <w:sz w:val="32"/>
          <w:szCs w:val="32"/>
        </w:rPr>
        <w:t>553.19</w:t>
      </w:r>
      <w:r>
        <w:rPr>
          <w:rFonts w:hint="eastAsia" w:ascii="仿宋" w:hAnsi="仿宋" w:eastAsia="仿宋" w:cs="仿宋_GB2312"/>
          <w:bCs/>
          <w:sz w:val="32"/>
          <w:szCs w:val="32"/>
        </w:rPr>
        <w:t>万元、政府性基金收入0万元、财政专户核拨收入0万元，其他来源收入0万元。</w:t>
      </w:r>
    </w:p>
    <w:p>
      <w:pPr>
        <w:pStyle w:val="11"/>
        <w:numPr>
          <w:ilvl w:val="0"/>
          <w:numId w:val="1"/>
        </w:numPr>
        <w:ind w:firstLineChars="0"/>
        <w:rPr>
          <w:rFonts w:ascii="仿宋" w:hAnsi="仿宋" w:eastAsia="仿宋"/>
          <w:sz w:val="32"/>
          <w:szCs w:val="32"/>
        </w:rPr>
      </w:pPr>
      <w:r>
        <w:rPr>
          <w:rFonts w:hint="eastAsia" w:ascii="仿宋" w:hAnsi="仿宋" w:eastAsia="仿宋"/>
          <w:sz w:val="32"/>
          <w:szCs w:val="32"/>
        </w:rPr>
        <w:t>支出说明</w:t>
      </w:r>
    </w:p>
    <w:p>
      <w:pPr>
        <w:adjustRightInd w:val="0"/>
        <w:snapToGrid w:val="0"/>
        <w:spacing w:line="600" w:lineRule="exact"/>
        <w:ind w:firstLine="707" w:firstLineChars="221"/>
        <w:jc w:val="left"/>
        <w:rPr>
          <w:rFonts w:ascii="仿宋" w:hAnsi="仿宋" w:eastAsia="仿宋" w:cs="仿宋_GB2312"/>
          <w:bCs/>
          <w:sz w:val="32"/>
          <w:szCs w:val="32"/>
        </w:rPr>
      </w:pPr>
      <w:r>
        <w:rPr>
          <w:rFonts w:ascii="仿宋" w:hAnsi="仿宋" w:eastAsia="仿宋" w:cs="仿宋_GB2312"/>
          <w:bCs/>
          <w:sz w:val="32"/>
          <w:szCs w:val="32"/>
        </w:rPr>
        <w:t>收支预算总表支出栏、基本支出表、项目支出表按经济 分类和支出功能分类科目编制，反映</w:t>
      </w:r>
      <w:r>
        <w:rPr>
          <w:rFonts w:hint="eastAsia" w:ascii="仿宋" w:hAnsi="仿宋" w:eastAsia="仿宋" w:cs="仿宋_GB2312"/>
          <w:bCs/>
          <w:sz w:val="32"/>
          <w:szCs w:val="32"/>
        </w:rPr>
        <w:t>无极</w:t>
      </w:r>
      <w:r>
        <w:rPr>
          <w:rFonts w:ascii="仿宋" w:hAnsi="仿宋" w:eastAsia="仿宋" w:cs="仿宋_GB2312"/>
          <w:bCs/>
          <w:sz w:val="32"/>
          <w:szCs w:val="32"/>
        </w:rPr>
        <w:t>县发展和改革局年度部门预算中支出预算的总体情况</w:t>
      </w:r>
      <w:r>
        <w:rPr>
          <w:rFonts w:hint="eastAsia" w:ascii="仿宋" w:hAnsi="仿宋" w:eastAsia="仿宋" w:cs="仿宋_GB2312"/>
          <w:bCs/>
          <w:sz w:val="32"/>
          <w:szCs w:val="32"/>
        </w:rPr>
        <w:t>。201</w:t>
      </w:r>
      <w:r>
        <w:rPr>
          <w:rFonts w:ascii="仿宋" w:hAnsi="仿宋" w:eastAsia="仿宋" w:cs="仿宋_GB2312"/>
          <w:bCs/>
          <w:sz w:val="32"/>
          <w:szCs w:val="32"/>
        </w:rPr>
        <w:t>9</w:t>
      </w:r>
      <w:r>
        <w:rPr>
          <w:rFonts w:hint="eastAsia" w:ascii="仿宋" w:hAnsi="仿宋" w:eastAsia="仿宋" w:cs="仿宋_GB2312"/>
          <w:bCs/>
          <w:sz w:val="32"/>
          <w:szCs w:val="32"/>
        </w:rPr>
        <w:t>年预算支出</w:t>
      </w:r>
      <w:r>
        <w:rPr>
          <w:rFonts w:ascii="仿宋" w:hAnsi="仿宋" w:eastAsia="仿宋" w:cs="仿宋_GB2312"/>
          <w:bCs/>
          <w:sz w:val="32"/>
          <w:szCs w:val="32"/>
        </w:rPr>
        <w:t>553.19</w:t>
      </w:r>
      <w:r>
        <w:rPr>
          <w:rFonts w:hint="eastAsia" w:ascii="仿宋" w:hAnsi="仿宋" w:eastAsia="仿宋" w:cs="仿宋_GB2312"/>
          <w:bCs/>
          <w:sz w:val="32"/>
          <w:szCs w:val="32"/>
        </w:rPr>
        <w:t>万元。其中，人员经费支出</w:t>
      </w:r>
      <w:r>
        <w:rPr>
          <w:rFonts w:ascii="仿宋" w:hAnsi="仿宋" w:eastAsia="仿宋" w:cs="仿宋_GB2312"/>
          <w:bCs/>
          <w:sz w:val="32"/>
          <w:szCs w:val="32"/>
        </w:rPr>
        <w:t>432.94</w:t>
      </w:r>
      <w:r>
        <w:rPr>
          <w:rFonts w:hint="eastAsia" w:ascii="仿宋" w:hAnsi="仿宋" w:eastAsia="仿宋" w:cs="仿宋_GB2312"/>
          <w:bCs/>
          <w:sz w:val="32"/>
          <w:szCs w:val="32"/>
        </w:rPr>
        <w:t>万元，正常公用经费</w:t>
      </w:r>
      <w:r>
        <w:rPr>
          <w:rFonts w:ascii="仿宋" w:hAnsi="仿宋" w:eastAsia="仿宋" w:cs="仿宋_GB2312"/>
          <w:bCs/>
          <w:sz w:val="32"/>
          <w:szCs w:val="32"/>
        </w:rPr>
        <w:t>23</w:t>
      </w:r>
      <w:r>
        <w:rPr>
          <w:rFonts w:hint="eastAsia" w:ascii="仿宋" w:hAnsi="仿宋" w:eastAsia="仿宋" w:cs="仿宋_GB2312"/>
          <w:bCs/>
          <w:sz w:val="32"/>
          <w:szCs w:val="32"/>
        </w:rPr>
        <w:t>万元，项目支出</w:t>
      </w:r>
      <w:r>
        <w:rPr>
          <w:rFonts w:ascii="仿宋" w:hAnsi="仿宋" w:eastAsia="仿宋" w:cs="仿宋_GB2312"/>
          <w:bCs/>
          <w:sz w:val="32"/>
          <w:szCs w:val="32"/>
        </w:rPr>
        <w:t>97.</w:t>
      </w:r>
      <w:r>
        <w:rPr>
          <w:rFonts w:hint="eastAsia" w:ascii="仿宋" w:hAnsi="仿宋" w:eastAsia="仿宋" w:cs="仿宋_GB2312"/>
          <w:bCs/>
          <w:sz w:val="32"/>
          <w:szCs w:val="32"/>
        </w:rPr>
        <w:t>2</w:t>
      </w:r>
      <w:r>
        <w:rPr>
          <w:rFonts w:ascii="仿宋" w:hAnsi="仿宋" w:eastAsia="仿宋" w:cs="仿宋_GB2312"/>
          <w:bCs/>
          <w:sz w:val="32"/>
          <w:szCs w:val="32"/>
        </w:rPr>
        <w:t>5</w:t>
      </w:r>
      <w:r>
        <w:rPr>
          <w:rFonts w:hint="eastAsia" w:ascii="仿宋" w:hAnsi="仿宋" w:eastAsia="仿宋" w:cs="仿宋_GB2312"/>
          <w:bCs/>
          <w:sz w:val="32"/>
          <w:szCs w:val="32"/>
        </w:rPr>
        <w:t>万元。</w:t>
      </w:r>
    </w:p>
    <w:p>
      <w:pPr>
        <w:pStyle w:val="11"/>
        <w:numPr>
          <w:ilvl w:val="0"/>
          <w:numId w:val="1"/>
        </w:numPr>
        <w:ind w:firstLineChars="0"/>
        <w:rPr>
          <w:rFonts w:ascii="仿宋" w:hAnsi="仿宋" w:eastAsia="仿宋"/>
          <w:sz w:val="32"/>
          <w:szCs w:val="32"/>
        </w:rPr>
      </w:pPr>
      <w:r>
        <w:rPr>
          <w:rFonts w:hint="eastAsia" w:ascii="仿宋" w:hAnsi="仿宋" w:eastAsia="仿宋"/>
          <w:sz w:val="32"/>
          <w:szCs w:val="32"/>
        </w:rPr>
        <w:t>比上年增减情况</w:t>
      </w:r>
    </w:p>
    <w:p>
      <w:pPr>
        <w:pStyle w:val="11"/>
        <w:ind w:firstLine="707" w:firstLineChars="221"/>
        <w:rPr>
          <w:rFonts w:ascii="仿宋" w:hAnsi="仿宋" w:eastAsia="仿宋"/>
          <w:sz w:val="32"/>
          <w:szCs w:val="32"/>
        </w:rPr>
      </w:pPr>
      <w:r>
        <w:rPr>
          <w:rFonts w:hint="eastAsia" w:ascii="仿宋" w:hAnsi="仿宋" w:eastAsia="仿宋"/>
          <w:sz w:val="32"/>
          <w:szCs w:val="32"/>
        </w:rPr>
        <w:t>201</w:t>
      </w:r>
      <w:r>
        <w:rPr>
          <w:rFonts w:ascii="仿宋" w:hAnsi="仿宋" w:eastAsia="仿宋"/>
          <w:sz w:val="32"/>
          <w:szCs w:val="32"/>
        </w:rPr>
        <w:t>9</w:t>
      </w:r>
      <w:r>
        <w:rPr>
          <w:rFonts w:hint="eastAsia" w:ascii="仿宋" w:hAnsi="仿宋" w:eastAsia="仿宋"/>
          <w:sz w:val="32"/>
          <w:szCs w:val="32"/>
        </w:rPr>
        <w:t>年部门预算较201</w:t>
      </w:r>
      <w:r>
        <w:rPr>
          <w:rFonts w:ascii="仿宋" w:hAnsi="仿宋" w:eastAsia="仿宋"/>
          <w:sz w:val="32"/>
          <w:szCs w:val="32"/>
        </w:rPr>
        <w:t>8</w:t>
      </w:r>
      <w:r>
        <w:rPr>
          <w:rFonts w:hint="eastAsia" w:ascii="仿宋" w:hAnsi="仿宋" w:eastAsia="仿宋"/>
          <w:sz w:val="32"/>
          <w:szCs w:val="32"/>
        </w:rPr>
        <w:t>年增加</w:t>
      </w:r>
      <w:r>
        <w:rPr>
          <w:rFonts w:ascii="仿宋" w:hAnsi="仿宋" w:eastAsia="仿宋"/>
          <w:sz w:val="32"/>
          <w:szCs w:val="32"/>
        </w:rPr>
        <w:t>250.88</w:t>
      </w:r>
      <w:r>
        <w:rPr>
          <w:rFonts w:hint="eastAsia" w:ascii="仿宋" w:hAnsi="仿宋" w:eastAsia="仿宋"/>
          <w:sz w:val="32"/>
          <w:szCs w:val="32"/>
        </w:rPr>
        <w:t>万元，其中：基本支出增加</w:t>
      </w:r>
      <w:r>
        <w:rPr>
          <w:rFonts w:ascii="仿宋" w:hAnsi="仿宋" w:eastAsia="仿宋"/>
          <w:sz w:val="32"/>
          <w:szCs w:val="32"/>
        </w:rPr>
        <w:t>259.53</w:t>
      </w:r>
      <w:r>
        <w:rPr>
          <w:rFonts w:hint="eastAsia" w:ascii="仿宋" w:hAnsi="仿宋" w:eastAsia="仿宋"/>
          <w:sz w:val="32"/>
          <w:szCs w:val="32"/>
        </w:rPr>
        <w:t>万元，主要是人员工资、保险增加和公用经费标准定额调整；项目支出减少8</w:t>
      </w:r>
      <w:r>
        <w:rPr>
          <w:rFonts w:ascii="仿宋" w:hAnsi="仿宋" w:eastAsia="仿宋"/>
          <w:sz w:val="32"/>
          <w:szCs w:val="32"/>
        </w:rPr>
        <w:t>.4</w:t>
      </w:r>
      <w:r>
        <w:rPr>
          <w:rFonts w:hint="eastAsia" w:ascii="仿宋" w:hAnsi="仿宋" w:eastAsia="仿宋"/>
          <w:sz w:val="32"/>
          <w:szCs w:val="32"/>
        </w:rPr>
        <w:t>万元，主要是由于项目调整。</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ind w:firstLine="640" w:firstLineChars="200"/>
        <w:rPr>
          <w:rFonts w:ascii="黑体" w:hAnsi="黑体" w:eastAsia="黑体" w:cs="仿宋_GB2312"/>
          <w:sz w:val="32"/>
          <w:szCs w:val="32"/>
        </w:rPr>
      </w:pPr>
      <w:r>
        <w:rPr>
          <w:rFonts w:hint="eastAsia" w:ascii="仿宋" w:hAnsi="仿宋" w:eastAsia="仿宋" w:cs="仿宋_GB2312"/>
          <w:sz w:val="32"/>
          <w:szCs w:val="32"/>
        </w:rPr>
        <w:t>201</w:t>
      </w:r>
      <w:r>
        <w:rPr>
          <w:rFonts w:ascii="仿宋" w:hAnsi="仿宋" w:eastAsia="仿宋" w:cs="仿宋_GB2312"/>
          <w:sz w:val="32"/>
          <w:szCs w:val="32"/>
        </w:rPr>
        <w:t>9</w:t>
      </w:r>
      <w:r>
        <w:rPr>
          <w:rFonts w:hint="eastAsia" w:ascii="仿宋" w:hAnsi="仿宋" w:eastAsia="仿宋" w:cs="仿宋_GB2312"/>
          <w:sz w:val="32"/>
          <w:szCs w:val="32"/>
        </w:rPr>
        <w:t>年机关运行经费共计安排23万元，主要用于我部门日常办公，办公区水电费、日常维修、办公用房物业管理费、公务交通补等日常运行支出。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四、财政拨款“三公”经费预算情况及增减变化原因</w:t>
      </w:r>
    </w:p>
    <w:p>
      <w:pPr>
        <w:autoSpaceDE w:val="0"/>
        <w:autoSpaceDN w:val="0"/>
        <w:adjustRightInd w:val="0"/>
        <w:spacing w:line="540" w:lineRule="exact"/>
        <w:ind w:left="198" w:firstLine="640" w:firstLineChars="200"/>
        <w:jc w:val="left"/>
        <w:rPr>
          <w:rFonts w:eastAsia="仿宋"/>
          <w:sz w:val="32"/>
          <w:szCs w:val="32"/>
        </w:rPr>
      </w:pPr>
      <w:r>
        <w:rPr>
          <w:rFonts w:hint="eastAsia" w:eastAsia="仿宋"/>
          <w:sz w:val="32"/>
          <w:szCs w:val="32"/>
        </w:rPr>
        <w:t>2020年，我部门财政拨款“三公”经费预算安排3万元，其中：因公出国（境）费0万元；公务用车购置及运维费3万元（其中：公务用车购置费0万元，公务用车运行维护费3万元)；公务接待费0万元。“三公”经费与上年持平，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ind w:firstLine="640" w:firstLineChars="200"/>
        <w:rPr>
          <w:rFonts w:ascii="仿宋" w:hAnsi="仿宋" w:eastAsia="仿宋"/>
          <w:sz w:val="32"/>
        </w:rPr>
      </w:pPr>
      <w:r>
        <w:rPr>
          <w:rFonts w:hint="eastAsia" w:ascii="仿宋" w:hAnsi="仿宋" w:eastAsia="仿宋"/>
          <w:sz w:val="32"/>
        </w:rPr>
        <w:t>分类绩效目标比较切合我局实际，我局将紧紧围绕目标，加强领导，责任到人，强化考核、确保年度绩效目标完成。</w:t>
      </w:r>
    </w:p>
    <w:p>
      <w:pPr>
        <w:ind w:firstLine="640" w:firstLineChars="200"/>
        <w:rPr>
          <w:rFonts w:ascii="仿宋" w:hAnsi="仿宋" w:eastAsia="仿宋"/>
          <w:sz w:val="32"/>
        </w:rPr>
      </w:pPr>
      <w:r>
        <w:rPr>
          <w:rFonts w:hint="eastAsia" w:ascii="仿宋" w:hAnsi="仿宋" w:eastAsia="仿宋"/>
          <w:sz w:val="32"/>
        </w:rPr>
        <w:t>1、组织编制经济社会发展规划，完成“十三五”规划编制，保良争优。</w:t>
      </w:r>
    </w:p>
    <w:p>
      <w:pPr>
        <w:ind w:firstLine="640" w:firstLineChars="200"/>
        <w:rPr>
          <w:rFonts w:ascii="仿宋" w:hAnsi="仿宋" w:eastAsia="仿宋"/>
          <w:sz w:val="32"/>
        </w:rPr>
      </w:pPr>
      <w:r>
        <w:rPr>
          <w:rFonts w:hint="eastAsia" w:ascii="仿宋" w:hAnsi="仿宋" w:eastAsia="仿宋"/>
          <w:sz w:val="32"/>
        </w:rPr>
        <w:t>2、组织全县改革开放，发挥发改职能，争取在招商引资方面取得新突破，保良争优。</w:t>
      </w:r>
    </w:p>
    <w:p>
      <w:pPr>
        <w:ind w:firstLine="640" w:firstLineChars="200"/>
        <w:rPr>
          <w:rFonts w:ascii="仿宋" w:hAnsi="仿宋" w:eastAsia="仿宋"/>
          <w:sz w:val="32"/>
        </w:rPr>
      </w:pPr>
      <w:r>
        <w:rPr>
          <w:rFonts w:hint="eastAsia" w:ascii="仿宋" w:hAnsi="仿宋" w:eastAsia="仿宋"/>
          <w:sz w:val="32"/>
        </w:rPr>
        <w:t>3、做好经济运行监控，确保全县年度计划完成，保良争优。</w:t>
      </w:r>
    </w:p>
    <w:p>
      <w:pPr>
        <w:ind w:firstLine="640" w:firstLineChars="200"/>
        <w:rPr>
          <w:rFonts w:ascii="仿宋" w:hAnsi="仿宋" w:eastAsia="仿宋"/>
          <w:sz w:val="32"/>
        </w:rPr>
      </w:pPr>
      <w:r>
        <w:rPr>
          <w:rFonts w:hint="eastAsia" w:ascii="仿宋" w:hAnsi="仿宋" w:eastAsia="仿宋"/>
          <w:sz w:val="32"/>
        </w:rPr>
        <w:t>4、促进县级区域经济发展，发挥综合部门职能，协调调度、做好经济预警，确保县域经济又好又快发展，保良争优。</w:t>
      </w:r>
    </w:p>
    <w:p>
      <w:pPr>
        <w:ind w:firstLine="640" w:firstLineChars="200"/>
        <w:rPr>
          <w:rFonts w:ascii="仿宋" w:hAnsi="仿宋" w:eastAsia="仿宋"/>
          <w:sz w:val="32"/>
        </w:rPr>
      </w:pPr>
      <w:r>
        <w:rPr>
          <w:rFonts w:hint="eastAsia" w:ascii="仿宋" w:hAnsi="仿宋" w:eastAsia="仿宋"/>
          <w:sz w:val="32"/>
        </w:rPr>
        <w:t>5、推进产业结构调整，抓好重大产业项目建设，以项目建设促进产业调整，保良争优。</w:t>
      </w:r>
    </w:p>
    <w:p>
      <w:pPr>
        <w:ind w:firstLine="640" w:firstLineChars="200"/>
        <w:rPr>
          <w:rFonts w:ascii="仿宋" w:hAnsi="仿宋" w:eastAsia="仿宋"/>
          <w:sz w:val="32"/>
        </w:rPr>
      </w:pPr>
      <w:r>
        <w:rPr>
          <w:rFonts w:hint="eastAsia" w:ascii="仿宋" w:hAnsi="仿宋" w:eastAsia="仿宋"/>
          <w:sz w:val="32"/>
        </w:rPr>
        <w:t>6、固定资产投资调控管理，落实产业发展政策，严禁三高项目建设，保良争优。</w:t>
      </w:r>
    </w:p>
    <w:p>
      <w:pPr>
        <w:ind w:firstLine="640" w:firstLineChars="200"/>
        <w:rPr>
          <w:rFonts w:ascii="仿宋" w:hAnsi="仿宋" w:eastAsia="仿宋"/>
          <w:sz w:val="32"/>
        </w:rPr>
      </w:pPr>
      <w:r>
        <w:rPr>
          <w:rFonts w:hint="eastAsia" w:ascii="仿宋" w:hAnsi="仿宋" w:eastAsia="仿宋"/>
          <w:sz w:val="32"/>
        </w:rPr>
        <w:t>7、发展和改革政务管理，加强内部建设，打造廉洁高效服务型工作队伍，推进各项工作落实，保良争优。</w:t>
      </w:r>
    </w:p>
    <w:p>
      <w:pPr>
        <w:ind w:firstLine="560"/>
        <w:rPr>
          <w:rFonts w:ascii="仿宋" w:hAnsi="仿宋" w:eastAsia="仿宋"/>
          <w:sz w:val="32"/>
          <w:szCs w:val="32"/>
        </w:rPr>
      </w:pPr>
      <w:r>
        <w:rPr>
          <w:rFonts w:hint="eastAsia" w:ascii="仿宋" w:hAnsi="仿宋" w:eastAsia="仿宋"/>
          <w:sz w:val="32"/>
          <w:szCs w:val="32"/>
        </w:rPr>
        <w:t>8、贯彻落实国家和省、市各项宏观调控措施，确保全年全县居民消费价格指数控制在合理水平。</w:t>
      </w:r>
    </w:p>
    <w:p>
      <w:pPr>
        <w:ind w:firstLine="560"/>
        <w:rPr>
          <w:rFonts w:ascii="仿宋" w:hAnsi="仿宋" w:eastAsia="仿宋"/>
          <w:sz w:val="32"/>
          <w:szCs w:val="32"/>
        </w:rPr>
      </w:pPr>
      <w:r>
        <w:rPr>
          <w:rFonts w:hint="eastAsia" w:ascii="仿宋" w:hAnsi="仿宋" w:eastAsia="仿宋"/>
          <w:sz w:val="32"/>
          <w:szCs w:val="32"/>
        </w:rPr>
        <w:t>9、建立完善价格应急预案，确保居民基本生活必需品价格基本稳定。</w:t>
      </w:r>
    </w:p>
    <w:p>
      <w:pPr>
        <w:ind w:firstLine="560"/>
        <w:rPr>
          <w:rFonts w:ascii="仿宋" w:hAnsi="仿宋" w:eastAsia="仿宋"/>
          <w:sz w:val="32"/>
          <w:szCs w:val="32"/>
        </w:rPr>
      </w:pPr>
      <w:r>
        <w:rPr>
          <w:rFonts w:hint="eastAsia" w:ascii="仿宋" w:hAnsi="仿宋" w:eastAsia="仿宋"/>
          <w:sz w:val="32"/>
          <w:szCs w:val="32"/>
        </w:rPr>
        <w:t>10、做好商品和服务价格的监测工作，落实价格监测预警机制和制度，确保保质保量完成信息报送任务。</w:t>
      </w:r>
    </w:p>
    <w:p>
      <w:pPr>
        <w:ind w:firstLine="560"/>
        <w:rPr>
          <w:rFonts w:ascii="仿宋" w:hAnsi="仿宋" w:eastAsia="仿宋"/>
          <w:sz w:val="32"/>
          <w:szCs w:val="32"/>
        </w:rPr>
      </w:pPr>
      <w:r>
        <w:rPr>
          <w:rFonts w:hint="eastAsia" w:ascii="仿宋" w:hAnsi="仿宋" w:eastAsia="仿宋"/>
          <w:sz w:val="32"/>
          <w:szCs w:val="32"/>
        </w:rPr>
        <w:t>11、贯彻落实国家、省、市取消的行政事业性收费项目，严把收费审批关。</w:t>
      </w:r>
    </w:p>
    <w:p>
      <w:pPr>
        <w:ind w:firstLine="560"/>
        <w:rPr>
          <w:rFonts w:ascii="仿宋" w:hAnsi="仿宋" w:eastAsia="仿宋"/>
          <w:sz w:val="32"/>
          <w:szCs w:val="32"/>
        </w:rPr>
      </w:pPr>
      <w:r>
        <w:rPr>
          <w:rFonts w:hint="eastAsia" w:ascii="仿宋" w:hAnsi="仿宋" w:eastAsia="仿宋"/>
          <w:sz w:val="32"/>
          <w:szCs w:val="32"/>
        </w:rPr>
        <w:t>12、深化公用事业领域的价格改革，规范收费行为，切实减轻群众、企业负担。</w:t>
      </w:r>
    </w:p>
    <w:p>
      <w:pPr>
        <w:ind w:firstLine="560"/>
        <w:rPr>
          <w:rFonts w:ascii="仿宋" w:hAnsi="仿宋" w:eastAsia="仿宋"/>
          <w:sz w:val="32"/>
          <w:szCs w:val="32"/>
        </w:rPr>
      </w:pPr>
      <w:r>
        <w:rPr>
          <w:rFonts w:hint="eastAsia" w:ascii="仿宋" w:hAnsi="仿宋" w:eastAsia="仿宋"/>
          <w:sz w:val="32"/>
          <w:szCs w:val="32"/>
        </w:rPr>
        <w:t>13、做好涉农收费清理整顿工作，确保国家各项惠农政策落实。</w:t>
      </w:r>
    </w:p>
    <w:p>
      <w:pPr>
        <w:ind w:firstLine="560"/>
        <w:rPr>
          <w:rFonts w:ascii="仿宋" w:hAnsi="仿宋" w:eastAsia="仿宋"/>
          <w:sz w:val="32"/>
          <w:szCs w:val="32"/>
        </w:rPr>
      </w:pPr>
      <w:r>
        <w:rPr>
          <w:rFonts w:hint="eastAsia" w:ascii="仿宋" w:hAnsi="仿宋" w:eastAsia="仿宋"/>
          <w:sz w:val="32"/>
          <w:szCs w:val="32"/>
        </w:rPr>
        <w:t>14、推进医药价格改革，完善医疗服务项目和价格改革，贯彻落实国家医改方案和药品价格管理办法。</w:t>
      </w:r>
    </w:p>
    <w:p>
      <w:pPr>
        <w:ind w:firstLine="560"/>
        <w:rPr>
          <w:rFonts w:ascii="仿宋" w:hAnsi="仿宋" w:eastAsia="仿宋"/>
          <w:sz w:val="32"/>
          <w:szCs w:val="32"/>
        </w:rPr>
      </w:pPr>
      <w:r>
        <w:rPr>
          <w:rFonts w:hint="eastAsia" w:ascii="仿宋" w:hAnsi="仿宋" w:eastAsia="仿宋"/>
          <w:sz w:val="32"/>
          <w:szCs w:val="32"/>
        </w:rPr>
        <w:t>15、全面完成上级价格主管部门安排的各项重点和专项检查工作，同时要结合全县实际，自主开展检查。对群众举报的价格案件要加大查处力度。</w:t>
      </w:r>
    </w:p>
    <w:p>
      <w:pPr>
        <w:ind w:firstLine="560"/>
        <w:rPr>
          <w:rFonts w:ascii="仿宋" w:hAnsi="仿宋" w:eastAsia="仿宋"/>
          <w:sz w:val="32"/>
          <w:szCs w:val="32"/>
        </w:rPr>
      </w:pPr>
      <w:r>
        <w:rPr>
          <w:rFonts w:hint="eastAsia" w:ascii="仿宋" w:hAnsi="仿宋" w:eastAsia="仿宋"/>
          <w:sz w:val="32"/>
          <w:szCs w:val="32"/>
        </w:rPr>
        <w:t>16、加大市场商品价格监督检查力度。依据《价格法》、《反垄断法》等法规启动反价格垄断执法工作，严厉打击低价倾销、价格串通、行业自律价、价格欺诈等不正当价格行为；加强市场价格巡查和应急检查，加强节假日市场价格监管工作。</w:t>
      </w:r>
    </w:p>
    <w:p>
      <w:pPr>
        <w:ind w:firstLine="560"/>
        <w:rPr>
          <w:rFonts w:ascii="仿宋_GB2312" w:eastAsia="仿宋_GB2312"/>
          <w:sz w:val="32"/>
          <w:szCs w:val="32"/>
        </w:rPr>
      </w:pPr>
      <w:r>
        <w:rPr>
          <w:rFonts w:hint="eastAsia" w:ascii="仿宋" w:hAnsi="仿宋" w:eastAsia="仿宋"/>
          <w:sz w:val="32"/>
          <w:szCs w:val="32"/>
        </w:rPr>
        <w:t>17、完善价格举报制度，健全价格举报网络。充分发挥“12358”价格举报网络平台作用，按照“热情受理、快速反应”的要求，及时处理群众咨询和举报投诉，化解价格矛盾，促进社会和谐。</w:t>
      </w:r>
    </w:p>
    <w:p>
      <w:pPr>
        <w:ind w:firstLine="480" w:firstLineChars="150"/>
        <w:jc w:val="left"/>
        <w:rPr>
          <w:rFonts w:ascii="楷体" w:hAnsi="楷体" w:eastAsia="楷体"/>
          <w:sz w:val="32"/>
        </w:rPr>
      </w:pPr>
      <w:r>
        <w:rPr>
          <w:rFonts w:hint="eastAsia" w:ascii="楷体" w:hAnsi="楷体" w:eastAsia="楷体"/>
          <w:sz w:val="32"/>
        </w:rPr>
        <w:t>（二）实现年度发展规划目标的保障措施</w:t>
      </w:r>
    </w:p>
    <w:p>
      <w:pPr>
        <w:ind w:firstLine="640" w:firstLineChars="200"/>
        <w:rPr>
          <w:rFonts w:ascii="仿宋" w:hAnsi="仿宋" w:eastAsia="仿宋"/>
          <w:sz w:val="32"/>
        </w:rPr>
      </w:pPr>
      <w:r>
        <w:rPr>
          <w:rFonts w:hint="eastAsia" w:ascii="仿宋" w:hAnsi="仿宋" w:eastAsia="仿宋"/>
          <w:sz w:val="32"/>
        </w:rPr>
        <w:t>项目工作上：一是</w:t>
      </w:r>
      <w:r>
        <w:rPr>
          <w:rFonts w:hint="eastAsia" w:ascii="仿宋" w:hAnsi="仿宋" w:eastAsia="仿宋" w:cs="宋体"/>
          <w:sz w:val="32"/>
        </w:rPr>
        <w:t>完善项目工作机制。根据项目工作要求和项目建设环境的变化，进一步修订完善领导分包、考核等项目工作制度，充分调动全县上下抓项目工作的积极性，形成抓项目工作的强大合力。</w:t>
      </w:r>
      <w:r>
        <w:rPr>
          <w:rFonts w:hint="eastAsia" w:ascii="仿宋" w:hAnsi="仿宋" w:eastAsia="仿宋"/>
          <w:sz w:val="32"/>
        </w:rPr>
        <w:t>二是</w:t>
      </w:r>
      <w:r>
        <w:rPr>
          <w:rFonts w:hint="eastAsia" w:ascii="仿宋" w:hAnsi="仿宋" w:eastAsia="仿宋" w:cs="宋体"/>
          <w:sz w:val="32"/>
        </w:rPr>
        <w:t>主动与上级发改部门沟通衔接，及时掌握信息，有重点、有针对性地收集筛选申报省、市重点项目。完善重点项目管理网络，加快重点项目推进。</w:t>
      </w:r>
      <w:r>
        <w:rPr>
          <w:rFonts w:hint="eastAsia" w:ascii="仿宋" w:hAnsi="仿宋" w:eastAsia="仿宋"/>
          <w:sz w:val="32"/>
        </w:rPr>
        <w:t>三是</w:t>
      </w:r>
      <w:r>
        <w:rPr>
          <w:rFonts w:hint="eastAsia" w:ascii="仿宋" w:hAnsi="仿宋" w:eastAsia="仿宋" w:cs="宋体"/>
          <w:sz w:val="32"/>
        </w:rPr>
        <w:t>多渠道、多层次了解掌握国家、省市投资信息，认真研究政策，寻找机遇，挖掘项目，主动对接，完善项目前期手续，协助项目单位及时将项目信息录入国家重大建设项目库，争取更多项目进入国家、省市计划盘子。</w:t>
      </w:r>
      <w:r>
        <w:rPr>
          <w:rFonts w:hint="eastAsia" w:ascii="仿宋" w:hAnsi="仿宋" w:eastAsia="仿宋"/>
          <w:sz w:val="32"/>
        </w:rPr>
        <w:t>四是</w:t>
      </w:r>
      <w:r>
        <w:rPr>
          <w:rFonts w:hint="eastAsia" w:ascii="仿宋" w:hAnsi="仿宋" w:eastAsia="仿宋" w:cs="宋体"/>
          <w:sz w:val="32"/>
        </w:rPr>
        <w:t>强化招商引资工作。围绕我县主导产业转型升级，紧紧抓住京津冀协同发展的重大机遇，做好以商招商、产业招商，吸引相关项目和新兴产业项目落户，迅速提升我县产业规模和档次。</w:t>
      </w:r>
    </w:p>
    <w:p>
      <w:pPr>
        <w:ind w:firstLine="640" w:firstLineChars="200"/>
        <w:rPr>
          <w:rFonts w:ascii="仿宋" w:hAnsi="仿宋" w:eastAsia="仿宋"/>
          <w:sz w:val="32"/>
        </w:rPr>
      </w:pPr>
      <w:r>
        <w:rPr>
          <w:rFonts w:hint="eastAsia" w:ascii="仿宋" w:hAnsi="仿宋" w:eastAsia="仿宋"/>
          <w:sz w:val="32"/>
        </w:rPr>
        <w:t>节能工作上：一是</w:t>
      </w:r>
      <w:r>
        <w:rPr>
          <w:rFonts w:hint="eastAsia" w:ascii="仿宋" w:hAnsi="仿宋" w:eastAsia="仿宋" w:cs="宋体"/>
          <w:sz w:val="32"/>
        </w:rPr>
        <w:t>加强节能监察。以耗能大户为重点，强化节能监察工作，加强业务指导，切实提高重点耗能企业节能工作水平，促使企业走节能环保的发展道路。</w:t>
      </w:r>
      <w:r>
        <w:rPr>
          <w:rFonts w:hint="eastAsia" w:ascii="仿宋" w:hAnsi="仿宋" w:eastAsia="仿宋"/>
          <w:sz w:val="32"/>
        </w:rPr>
        <w:t>二是</w:t>
      </w:r>
      <w:r>
        <w:rPr>
          <w:rFonts w:hint="eastAsia" w:ascii="仿宋" w:hAnsi="仿宋" w:eastAsia="仿宋" w:cs="宋体"/>
          <w:sz w:val="32"/>
        </w:rPr>
        <w:t>严把项目准入关口。严格控制年耗能新增总量，所有新上项目通过节能审查后，才予办理批复手续，确保新上项目节能。</w:t>
      </w:r>
      <w:r>
        <w:rPr>
          <w:rFonts w:hint="eastAsia" w:ascii="仿宋" w:hAnsi="仿宋" w:eastAsia="仿宋"/>
          <w:sz w:val="32"/>
        </w:rPr>
        <w:t>三是</w:t>
      </w:r>
      <w:r>
        <w:rPr>
          <w:rFonts w:hint="eastAsia" w:ascii="仿宋" w:hAnsi="仿宋" w:eastAsia="仿宋" w:cs="宋体"/>
          <w:sz w:val="32"/>
        </w:rPr>
        <w:t>谋划一批重点节能项目。围绕主导产业，依托骨干企业，谋划一批重大项目，形成有力的节能支撑。</w:t>
      </w:r>
      <w:r>
        <w:rPr>
          <w:rFonts w:hint="eastAsia" w:ascii="仿宋" w:hAnsi="仿宋" w:eastAsia="仿宋"/>
          <w:sz w:val="32"/>
        </w:rPr>
        <w:t>四是</w:t>
      </w:r>
      <w:r>
        <w:rPr>
          <w:rFonts w:hint="eastAsia" w:ascii="仿宋" w:hAnsi="仿宋" w:eastAsia="仿宋" w:cs="宋体"/>
          <w:sz w:val="32"/>
        </w:rPr>
        <w:t>加大燃煤锅炉淘汰力度。通过行政手段，对不符合环保手续、安全手续不达标的燃煤锅炉实行强制拆除；对分散燃煤锅炉，逐步改用新能源锅炉替代，或按照减量替代的原则，筹划建设高效环保型锅炉系统实施集中供热。</w:t>
      </w:r>
    </w:p>
    <w:p>
      <w:pPr>
        <w:ind w:firstLine="640" w:firstLineChars="200"/>
        <w:rPr>
          <w:rFonts w:ascii="仿宋" w:hAnsi="仿宋" w:eastAsia="仿宋" w:cs="宋体"/>
          <w:sz w:val="32"/>
        </w:rPr>
      </w:pPr>
      <w:r>
        <w:rPr>
          <w:rFonts w:hint="eastAsia" w:ascii="仿宋" w:hAnsi="仿宋" w:eastAsia="仿宋"/>
          <w:sz w:val="32"/>
        </w:rPr>
        <w:t>服务业工作上：一是</w:t>
      </w:r>
      <w:r>
        <w:rPr>
          <w:rFonts w:hint="eastAsia" w:ascii="仿宋" w:hAnsi="仿宋" w:eastAsia="仿宋" w:cs="宋体"/>
          <w:sz w:val="32"/>
        </w:rPr>
        <w:t>推动生产性服务业向专业化和价值链高端延伸。重点培育壮大现代物流、电子商务、金融服务、科技服务等生产性服务业，提高生产性服务业对产业集聚发展的促进作用。</w:t>
      </w:r>
      <w:r>
        <w:rPr>
          <w:rFonts w:hint="eastAsia" w:ascii="仿宋" w:hAnsi="仿宋" w:eastAsia="仿宋"/>
          <w:sz w:val="32"/>
        </w:rPr>
        <w:t>二是</w:t>
      </w:r>
      <w:r>
        <w:rPr>
          <w:rFonts w:hint="eastAsia" w:ascii="仿宋" w:hAnsi="仿宋" w:eastAsia="仿宋" w:cs="宋体"/>
          <w:sz w:val="32"/>
        </w:rPr>
        <w:t>推动生活性服务业向便民和高品质转变。重点培育壮大现代商贸业、健康养老产业、社区服务业等生活性服务业，提高生活性服务业的发展水平和质量，满足人民群众多元化、多样化的服务需求。</w:t>
      </w:r>
    </w:p>
    <w:p>
      <w:pPr>
        <w:ind w:firstLine="640" w:firstLineChars="200"/>
        <w:rPr>
          <w:rFonts w:ascii="仿宋" w:hAnsi="仿宋" w:eastAsia="仿宋"/>
          <w:sz w:val="32"/>
          <w:szCs w:val="32"/>
        </w:rPr>
      </w:pPr>
      <w:r>
        <w:rPr>
          <w:rFonts w:hint="eastAsia" w:ascii="仿宋" w:hAnsi="仿宋" w:eastAsia="仿宋"/>
          <w:sz w:val="32"/>
          <w:szCs w:val="32"/>
        </w:rPr>
        <w:t>价格工作上：加强价格监管，强化对政府定价、政府指导价的管理，及时上传下达，确保各项价格政策落实到位。加强价格监测，对与群众生活密切相关的粮食、食用油、猪肉、农资等商品价格进行重点监测，完善价格监测预警机制，及时掌握市场价格动态，维护我县市场价格的基本稳定。强化市场价格监督检查，对扰乱市场价格秩序的哄抬物价、串通涨价、囤积居奇、价格欺诈等价格违法行为进行严厉打击，维护消费者的合法权益和正常的价格秩序。进一步加大清费、治乱、减负力度，开展涉农收费及教育、医疗服务和惠农价格收费政策落实情况等各项专项检查。严格收费许可证审验工作。充分发挥“12358”价格举报电话作用，做到件件有着落，事事有回音。</w:t>
      </w:r>
    </w:p>
    <w:p>
      <w:pPr>
        <w:ind w:firstLine="640" w:firstLineChars="200"/>
        <w:rPr>
          <w:rFonts w:ascii="仿宋_GB2312" w:hAnsi="宋体" w:eastAsia="仿宋_GB2312" w:cs="宋体"/>
          <w:sz w:val="32"/>
        </w:rPr>
      </w:pPr>
    </w:p>
    <w:p>
      <w:pPr>
        <w:numPr>
          <w:ilvl w:val="0"/>
          <w:numId w:val="2"/>
        </w:numPr>
        <w:ind w:firstLine="645"/>
        <w:rPr>
          <w:rFonts w:ascii="楷体" w:hAnsi="楷体" w:eastAsia="楷体"/>
          <w:sz w:val="32"/>
          <w:szCs w:val="32"/>
        </w:rPr>
      </w:pPr>
      <w:r>
        <w:rPr>
          <w:rFonts w:hint="eastAsia" w:ascii="楷体" w:hAnsi="楷体" w:eastAsia="楷体"/>
          <w:sz w:val="32"/>
          <w:szCs w:val="32"/>
        </w:rPr>
        <w:t>部门职责-工作活动绩效目标</w:t>
      </w:r>
    </w:p>
    <w:p>
      <w:pPr>
        <w:rPr>
          <w:rFonts w:ascii="楷体" w:hAnsi="楷体" w:eastAsia="楷体"/>
          <w:sz w:val="32"/>
          <w:szCs w:val="32"/>
        </w:rPr>
      </w:pPr>
    </w:p>
    <w:p>
      <w:pPr>
        <w:jc w:val="center"/>
        <w:outlineLvl w:val="0"/>
        <w:rPr>
          <w:rFonts w:ascii="方正小标宋_GBK" w:eastAsia="方正小标宋_GBK"/>
          <w:color w:val="FFFFFF"/>
          <w:sz w:val="32"/>
        </w:rPr>
      </w:pPr>
      <w:bookmarkStart w:id="0" w:name="_Toc2341497"/>
      <w:r>
        <w:rPr>
          <w:rFonts w:hint="eastAsia" w:ascii="方正小标宋_GBK" w:eastAsia="方正小标宋_GBK"/>
          <w:sz w:val="32"/>
        </w:rPr>
        <w:t>部门职责-工作活动绩效目标</w:t>
      </w:r>
      <w:r>
        <w:rPr>
          <w:rStyle w:val="7"/>
          <w:rFonts w:ascii="方正小标宋_GBK" w:eastAsia="方正小标宋_GBK"/>
          <w:color w:val="FFFFFF"/>
          <w:sz w:val="32"/>
        </w:rPr>
        <w:sym w:font="Symbol" w:char="F020"/>
      </w:r>
      <w:bookmarkEnd w:id="0"/>
    </w:p>
    <w:tbl>
      <w:tblPr>
        <w:tblStyle w:val="5"/>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footnoteReference w:id="0" w:customMarkFollows="1"/>
              <w:t>3</w:t>
            </w:r>
            <w:r>
              <w:rPr>
                <w:rFonts w:ascii="方正小标宋_GBK" w:eastAsia="方正小标宋_GBK"/>
                <w:sz w:val="24"/>
              </w:rPr>
              <w:t>03</w:t>
            </w:r>
            <w:r>
              <w:rPr>
                <w:rFonts w:hint="eastAsia" w:ascii="方正小标宋_GBK" w:eastAsia="方正小标宋_GBK"/>
                <w:sz w:val="24"/>
              </w:rPr>
              <w:t>发展改革局</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一、组织编制经济社会发展规划和计划</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组织拟订全省经济社会发展战略（中长期）规划、年度计划及重点领域、区域经济的规划；参与国民经济和社会发展有关地方性法规、规章的起草和组织实施。</w:t>
            </w:r>
          </w:p>
        </w:tc>
        <w:tc>
          <w:tcPr>
            <w:tcW w:w="2976" w:type="dxa"/>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增强规划和计划的前瞻性、科学性、可操作性；规划目标全面、先进、可行；组织落实措施得力，调度有序。</w:t>
            </w:r>
            <w:r>
              <w:rPr>
                <w:rFonts w:ascii="方正书宋_GBK" w:eastAsia="方正书宋_GBK"/>
              </w:rPr>
              <w:t>"</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、规划、计划及课题编制</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拟定全县经济社会发展中长期规划，对规划执行情况监测预测、中期评估及动态调整，统筹协调县级专项规划和区域规划；研究分析全县经济和社会发展重大战略与布局，拟定全县年度经济社会发展计划，并受县政府委托向县人大作全县国民经济和社会发展计划报告。编制和拟订全县重点领域、重要产业和县域发展等战略规划和计划，研究提出落实措施等建议。</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规划和计划前瞻性、科学性、可操作性较强；规划目标全面、先进、可行；组织实施有效，及时评估调度，动态调整切实可行。经济社会发展计划切实体现县委、县政府决策目标和部署。确保重点领域和区域经济社会规划与国民经济和社会发展规划、计划的衔接和协调。</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县人大代表表决通过率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50%</w:t>
            </w:r>
          </w:p>
        </w:tc>
        <w:tc>
          <w:tcPr>
            <w:tcW w:w="737" w:type="dxa"/>
            <w:vAlign w:val="center"/>
          </w:tcPr>
          <w:p>
            <w:pPr>
              <w:spacing w:line="300" w:lineRule="exact"/>
              <w:jc w:val="center"/>
              <w:rPr>
                <w:rFonts w:ascii="方正书宋_GBK" w:eastAsia="方正书宋_GBK"/>
              </w:rPr>
            </w:pPr>
            <w:r>
              <w:rPr>
                <w:rFonts w:ascii="方正书宋_GBK" w:eastAsia="方正书宋_GBK"/>
              </w:rPr>
              <w:t>&lt;50%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重点领域与区域经济社会规划编制完成率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各类经济社会发展中长期规划编制完成率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二、推进全县改革开放和经济技术合作</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推进经济体制改革，实施经济体制改革、对外开放有关地方性法规，以及对相关规章的起草和实施。</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推进经济体制改革，实施经济体制改革、对外开放有关地方性法规，以及对相关规章的起草和实施。</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、推进体制改革、社会公共服务均等化</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实施综合性改革方案，组织实施重要改革事项，统筹推动全县综合配套改革试点和专项改革试点。统筹全县重大公共服务资源布局和相关项目的计划实施，促进公共服务资源有效整合和协调配置。推进全县信用体系建设。</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力争重点领域和关键环节改革取得积极进展；促进全县城镇居民人均可支配收入增长和新增就业目标的实现。协调推进文化、教育、体育、卫生、养老、社会救助等基本公共服务体系建设，促进全县社会公共服务均等化。推进全县统一的信用信息数据库和共享、公示平台。</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全县城乡居民可支配收入增长率</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推进全县社会信用体系建设</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完成指标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较好完成指标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基本完成指标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较差完成指标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公共服务均等化评估结果</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实现规划目标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较好完成规划目标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基本完成规划目标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未制订</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三、经济和社会运行监测、调节与协调</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综合协调和监测调节经济社会协调发展，实施重大调控政策，实施促进就业、调整收入分配、完善社会保障与经济协调发展的政策措施，推进社会公共服务均等化；实施产业政策；组织实施全县国民经济、装备动员。</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做好经济运行监测分析，协调经济社会运行平稳有序和健康发展，提升全县经济、装备动员能力。</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、经济社会发展形势监测分析、调节</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负责全县经济社会发展运行调节、监测，综合协调经济社会发展，进行区域经济的预测、预警；负责日常经济和社会事业发展运行的调节，组织解决经济运行和社会事业发展中重大问题；组织实施全县国民经济、装备动员潜力调查、预案编制、专业队伍组建、动员中心建设。</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推进经济社会健康协调发展，提升全县经济、装备动员能力。</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调研次数、形势分析或调研报告数量</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组织</w:t>
            </w:r>
            <w:r>
              <w:rPr>
                <w:rFonts w:ascii="方正书宋_GBK" w:eastAsia="方正书宋_GBK"/>
              </w:rPr>
              <w:t>2</w:t>
            </w:r>
            <w:r>
              <w:rPr>
                <w:rFonts w:hint="eastAsia" w:ascii="方正书宋_GBK" w:eastAsia="方正书宋_GBK"/>
              </w:rPr>
              <w:t>次（含）以上集中调研活动，形成</w:t>
            </w:r>
            <w:r>
              <w:rPr>
                <w:rFonts w:ascii="方正书宋_GBK" w:eastAsia="方正书宋_GBK"/>
              </w:rPr>
              <w:t>1</w:t>
            </w:r>
            <w:r>
              <w:rPr>
                <w:rFonts w:hint="eastAsia" w:ascii="方正书宋_GBK" w:eastAsia="方正书宋_GBK"/>
              </w:rPr>
              <w:t>个（含）以上形势分析或调研报告</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组织</w:t>
            </w:r>
            <w:r>
              <w:rPr>
                <w:rFonts w:ascii="方正书宋_GBK" w:eastAsia="方正书宋_GBK"/>
              </w:rPr>
              <w:t>1</w:t>
            </w:r>
            <w:r>
              <w:rPr>
                <w:rFonts w:hint="eastAsia" w:ascii="方正书宋_GBK" w:eastAsia="方正书宋_GBK"/>
              </w:rPr>
              <w:t>次（含）以上集中调研活动，形成</w:t>
            </w:r>
            <w:r>
              <w:rPr>
                <w:rFonts w:ascii="方正书宋_GBK" w:eastAsia="方正书宋_GBK"/>
              </w:rPr>
              <w:t>1</w:t>
            </w:r>
            <w:r>
              <w:rPr>
                <w:rFonts w:hint="eastAsia" w:ascii="方正书宋_GBK" w:eastAsia="方正书宋_GBK"/>
              </w:rPr>
              <w:t>个（含）以上形势分析或调研报告</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未组织集中调研活动，或未形成政策性文件、形势分析或调研报告</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未完成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形势分析或调研报告采用率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年度经济、装备动员年度计划完成率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、内、外资管理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推进全县利用外资和境外投资工作；组织开展全县对外经贸洽谈和招商活动，组织项目谋划发布、洽谈等活动。组织开展全县经济技术交流合作，组织谋划县际合作项目的考察、论证、对接、落实和实施；组织与交流合作方和县内各方面沟通对接。</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稳步提高全县利用外资、境外投资规模和水平。</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实际利用外资规模增长率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&lt;3%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境外投资规模增长率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w:t>
            </w:r>
          </w:p>
        </w:tc>
        <w:tc>
          <w:tcPr>
            <w:tcW w:w="737" w:type="dxa"/>
            <w:vAlign w:val="center"/>
          </w:tcPr>
          <w:p>
            <w:pPr>
              <w:spacing w:line="300" w:lineRule="exact"/>
              <w:jc w:val="center"/>
              <w:rPr>
                <w:rFonts w:ascii="方正书宋_GBK" w:eastAsia="方正书宋_GBK"/>
              </w:rPr>
            </w:pPr>
            <w:r>
              <w:rPr>
                <w:rFonts w:ascii="方正书宋_GBK" w:eastAsia="方正书宋_GBK"/>
              </w:rPr>
              <w:t>&lt;6%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引进县外资金数量增长率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ascii="方正书宋_GBK" w:eastAsia="方正书宋_GBK"/>
              </w:rPr>
              <w:t>&lt;5%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四、经济和社会运行监测、调节与协调</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综合协调和监测调节经济社会协调发展，研究拟订重大调控政策建议并组织实施；研究提出促进就业、调整收入分配、完善社会保障与经济协调发展的政策措施，推进社会公共服务均等化；制定并组织实施产业政策；负责省内重要物资和商品总量平衡和调控；组织实施全省国民经济、装备动员。</w:t>
            </w:r>
          </w:p>
        </w:tc>
        <w:tc>
          <w:tcPr>
            <w:tcW w:w="2976" w:type="dxa"/>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做好经济运行监测分析，协调经济社会运行平稳有序和健康发展，提升全省经济、装备动员能力</w:t>
            </w:r>
            <w:r>
              <w:rPr>
                <w:rFonts w:ascii="方正书宋_GBK" w:eastAsia="方正书宋_GBK"/>
              </w:rPr>
              <w:t>"</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、经济运行综合协调保障</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负责煤炭、电力、石油、天然气、交通运输调度和保障工作，协调解决重大问题，抓好供需总量平衡，保障经济社会发展和人民生活需要；制订经济运行和能源供应预警和应急预案，适时组织能源、运输及重要物资、商品的紧急调度，提出安排和动用应急物资和商品储备的建议；做好粮棉等商品进出口配额的审核上报工作；做好国防建设和国民经济发展的衔接。</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做好运行分析、数据上报、要素保障、应急处置、安全管理、矿山管理等工作，确保经济社会运行平稳有序和健康发展；</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电力保障率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96%</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ascii="方正书宋_GBK" w:eastAsia="方正书宋_GBK"/>
              </w:rPr>
              <w:t>&lt;95%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月度分析和数据统计报告完成数（期）</w:t>
            </w:r>
          </w:p>
        </w:tc>
        <w:tc>
          <w:tcPr>
            <w:tcW w:w="737" w:type="dxa"/>
            <w:vAlign w:val="center"/>
          </w:tcPr>
          <w:p>
            <w:pPr>
              <w:spacing w:line="300" w:lineRule="exact"/>
              <w:jc w:val="center"/>
              <w:rPr>
                <w:rFonts w:ascii="方正书宋_GBK" w:eastAsia="方正书宋_GBK"/>
              </w:rPr>
            </w:pPr>
            <w:r>
              <w:rPr>
                <w:rFonts w:ascii="方正书宋_GBK" w:eastAsia="方正书宋_GBK"/>
              </w:rPr>
              <w:t>12</w:t>
            </w:r>
          </w:p>
        </w:tc>
        <w:tc>
          <w:tcPr>
            <w:tcW w:w="737" w:type="dxa"/>
            <w:vAlign w:val="center"/>
          </w:tcPr>
          <w:p>
            <w:pPr>
              <w:spacing w:line="300" w:lineRule="exact"/>
              <w:jc w:val="center"/>
              <w:rPr>
                <w:rFonts w:ascii="方正书宋_GBK" w:eastAsia="方正书宋_GBK"/>
              </w:rPr>
            </w:pPr>
            <w:r>
              <w:rPr>
                <w:rFonts w:ascii="方正书宋_GBK" w:eastAsia="方正书宋_GBK"/>
              </w:rPr>
              <w:t>6</w:t>
            </w:r>
          </w:p>
        </w:tc>
        <w:tc>
          <w:tcPr>
            <w:tcW w:w="737" w:type="dxa"/>
            <w:vAlign w:val="center"/>
          </w:tcPr>
          <w:p>
            <w:pPr>
              <w:spacing w:line="300" w:lineRule="exact"/>
              <w:jc w:val="center"/>
              <w:rPr>
                <w:rFonts w:ascii="方正书宋_GBK" w:eastAsia="方正书宋_GBK"/>
              </w:rPr>
            </w:pP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&lt;4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五、促进全县区域经济发展</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推进区域经济协调发展、加快城镇化、县域经济发展；负责区域经济合作统筹协调；推动沿海、京津冀两大区域发展。</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促进沿海地区实现率先发展</w:t>
            </w:r>
            <w:r>
              <w:rPr>
                <w:rFonts w:ascii="方正书宋_GBK" w:eastAsia="方正书宋_GBK"/>
              </w:rPr>
              <w:t>,</w:t>
            </w:r>
            <w:r>
              <w:rPr>
                <w:rFonts w:hint="eastAsia" w:ascii="方正书宋_GBK" w:eastAsia="方正书宋_GBK"/>
              </w:rPr>
              <w:t>推动京津冀协同发展。</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、促进战略性新兴产业发展</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组织实施战略性新兴产业发展战略、规划、政策措施；宣传展示我县战略性新兴产业发展成果。</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推动产业规模不断壮大。促进产业聚集发展，提升产业竞争力。创新能力稳步提升，协同创新取得成效。创新改革不断深化，创新创业生态环境进一步改善。</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预算内基本建设资金完成率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重点项目建设数量</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&lt;3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区域经济可持续发展规划实施完成情况</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全部如期完成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有</w:t>
            </w:r>
            <w:r>
              <w:rPr>
                <w:rFonts w:ascii="方正书宋_GBK" w:eastAsia="方正书宋_GBK"/>
              </w:rPr>
              <w:t>1</w:t>
            </w:r>
            <w:r>
              <w:rPr>
                <w:rFonts w:hint="eastAsia" w:ascii="方正书宋_GBK" w:eastAsia="方正书宋_GBK"/>
              </w:rPr>
              <w:t>项未能如期完成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有</w:t>
            </w:r>
            <w:r>
              <w:rPr>
                <w:rFonts w:ascii="方正书宋_GBK" w:eastAsia="方正书宋_GBK"/>
              </w:rPr>
              <w:t>2</w:t>
            </w:r>
            <w:r>
              <w:rPr>
                <w:rFonts w:hint="eastAsia" w:ascii="方正书宋_GBK" w:eastAsia="方正书宋_GBK"/>
              </w:rPr>
              <w:t>项未能如期完成</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有</w:t>
            </w:r>
            <w:r>
              <w:rPr>
                <w:rFonts w:ascii="方正书宋_GBK" w:eastAsia="方正书宋_GBK"/>
              </w:rPr>
              <w:t>2</w:t>
            </w:r>
            <w:r>
              <w:rPr>
                <w:rFonts w:hint="eastAsia" w:ascii="方正书宋_GBK" w:eastAsia="方正书宋_GBK"/>
              </w:rPr>
              <w:t>项以上超过规定时间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战略性新兴产业增加值占</w:t>
            </w:r>
            <w:r>
              <w:rPr>
                <w:rFonts w:ascii="方正书宋_GBK" w:eastAsia="方正书宋_GBK"/>
              </w:rPr>
              <w:t>GDP</w:t>
            </w:r>
            <w:r>
              <w:rPr>
                <w:rFonts w:hint="eastAsia" w:ascii="方正书宋_GBK" w:eastAsia="方正书宋_GBK"/>
              </w:rPr>
              <w:t>总值的比重</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逐年增加</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与往年持平</w:t>
            </w: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r>
              <w:rPr>
                <w:rFonts w:hint="eastAsia" w:ascii="方正书宋_GBK" w:eastAsia="方正书宋_GBK"/>
              </w:rPr>
              <w:t>低于往年水平</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、组织推进物流业及服务业发展</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制定并组织实施加快服务业发展的战略规划，落实有关政策措施，推进服务业项目建设。研究提出促进现代物流业发展的相关政策，支持省级物流产业聚集区发展和物流项目建设，进一步完善全省物流基础设施，增强物流企业竞争力，着力推动钢铁、煤炭、农产品三大宗商品交易平台形成规模。</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加快县级物流产业聚集区建设；加快县级物流产业聚集区、已列入物流发展规划的重点项目、农产品物流项目交易设施改造升级及大型冷链物流项目建设</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服务业增加值增长率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w:t>
            </w:r>
          </w:p>
        </w:tc>
        <w:tc>
          <w:tcPr>
            <w:tcW w:w="737" w:type="dxa"/>
            <w:vAlign w:val="center"/>
          </w:tcPr>
          <w:p>
            <w:pPr>
              <w:spacing w:line="300" w:lineRule="exact"/>
              <w:jc w:val="center"/>
              <w:rPr>
                <w:rFonts w:ascii="方正书宋_GBK" w:eastAsia="方正书宋_GBK"/>
              </w:rPr>
            </w:pPr>
            <w:r>
              <w:rPr>
                <w:rFonts w:ascii="方正书宋_GBK" w:eastAsia="方正书宋_GBK"/>
              </w:rPr>
              <w:t>&lt;7%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服务业增加值占</w:t>
            </w:r>
            <w:r>
              <w:rPr>
                <w:rFonts w:ascii="方正书宋_GBK" w:eastAsia="方正书宋_GBK"/>
              </w:rPr>
              <w:t>GDP</w:t>
            </w:r>
            <w:r>
              <w:rPr>
                <w:rFonts w:hint="eastAsia" w:ascii="方正书宋_GBK" w:eastAsia="方正书宋_GBK"/>
              </w:rPr>
              <w:t>总值的比重</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32%</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31.5%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31%</w:t>
            </w:r>
          </w:p>
        </w:tc>
        <w:tc>
          <w:tcPr>
            <w:tcW w:w="737" w:type="dxa"/>
            <w:vAlign w:val="center"/>
          </w:tcPr>
          <w:p>
            <w:pPr>
              <w:spacing w:line="300" w:lineRule="exact"/>
              <w:jc w:val="center"/>
              <w:rPr>
                <w:rFonts w:ascii="方正书宋_GBK" w:eastAsia="方正书宋_GBK"/>
              </w:rPr>
            </w:pPr>
            <w:r>
              <w:rPr>
                <w:rFonts w:ascii="方正书宋_GBK" w:eastAsia="方正书宋_GBK"/>
              </w:rPr>
              <w:t>&lt;31%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县级物流产业聚集区、已列入物流发展规划的重点项目、农产品物流项目交易设施改造升级及大型冷链物流项目建设完成率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ascii="方正书宋_GBK" w:eastAsia="方正书宋_GBK"/>
              </w:rPr>
              <w:t>&lt;70%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物流业增加值增长率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5%</w:t>
            </w:r>
          </w:p>
        </w:tc>
        <w:tc>
          <w:tcPr>
            <w:tcW w:w="737" w:type="dxa"/>
            <w:vAlign w:val="center"/>
          </w:tcPr>
          <w:p>
            <w:pPr>
              <w:spacing w:line="300" w:lineRule="exact"/>
              <w:jc w:val="center"/>
              <w:rPr>
                <w:rFonts w:ascii="方正书宋_GBK" w:eastAsia="方正书宋_GBK"/>
              </w:rPr>
            </w:pPr>
            <w:r>
              <w:rPr>
                <w:rFonts w:ascii="方正书宋_GBK" w:eastAsia="方正书宋_GBK"/>
              </w:rPr>
              <w:t>&lt;5%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3</w:t>
            </w:r>
            <w:r>
              <w:rPr>
                <w:rFonts w:hint="eastAsia" w:ascii="方正书宋_GBK" w:eastAsia="方正书宋_GBK"/>
                <w:b/>
              </w:rPr>
              <w:t>、组织实施全县重点项目和稽查</w:t>
            </w:r>
          </w:p>
        </w:tc>
        <w:tc>
          <w:tcPr>
            <w:tcW w:w="1276" w:type="dxa"/>
            <w:vAlign w:val="center"/>
          </w:tcPr>
          <w:p>
            <w:pPr>
              <w:spacing w:line="300" w:lineRule="exact"/>
              <w:jc w:val="left"/>
              <w:rPr>
                <w:rFonts w:ascii="方正书宋_GBK" w:eastAsia="方正书宋_GBK"/>
              </w:rPr>
            </w:pPr>
            <w:r>
              <w:rPr>
                <w:rFonts w:ascii="方正书宋_GBK" w:eastAsia="方正书宋_GBK"/>
              </w:rPr>
              <w:t>10.00</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实施县级重点建设项目，编制全县重点建设项目年度工作计划并执行；按规定权限审批、核准、审核重大建设项目；组织开展对工作活动范围内的项目单位在前期手续、投资计划和资金下达、建设实施、建设管理、进度控制、资金和财务管理、竣工验收等方面实施情况的监督检查；建立投资项目信息报送制度。化工、煤炭建设项目工程质量监督管理；依法组织开展重点（重大）项目稽查，对市、县投资政策、投资计划执行情况的监督检查。</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加强重点项目谋划、协调，推动重点项目顺利实施。加强项目监管，推动项目顺利实施，处罚项目建设中重大突出违法问题。</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重点项目监督稽察覆盖率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60%</w:t>
            </w:r>
          </w:p>
        </w:tc>
        <w:tc>
          <w:tcPr>
            <w:tcW w:w="737" w:type="dxa"/>
            <w:vAlign w:val="center"/>
          </w:tcPr>
          <w:p>
            <w:pPr>
              <w:spacing w:line="300" w:lineRule="exact"/>
              <w:jc w:val="center"/>
              <w:rPr>
                <w:rFonts w:ascii="方正书宋_GBK" w:eastAsia="方正书宋_GBK"/>
              </w:rPr>
            </w:pPr>
            <w:r>
              <w:rPr>
                <w:rFonts w:ascii="方正书宋_GBK" w:eastAsia="方正书宋_GBK"/>
              </w:rPr>
              <w:t>&lt;60%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4</w:t>
            </w:r>
            <w:r>
              <w:rPr>
                <w:rFonts w:hint="eastAsia" w:ascii="方正书宋_GBK" w:eastAsia="方正书宋_GBK"/>
                <w:b/>
              </w:rPr>
              <w:t>、促进节能降耗、资源综合利用和生态建设</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推进可持续发展战略，组织拟订发展循环经济、全社会资源节约和综合利用、省应对气候变化政策并组织实施；协调生态建设、能源资源节约和综合利用、环保产业和清洁生产促进等工作；推进综合协调节能减排工作，利用专项资金对节能技改、合同能源管理、重点用电行业（领域）和项目电力需求侧管理实施引导和扶持；开展节能监察、监测，加强节能宣传培训，建立碳排放报告、核算、考核及碳排放权交易制度，确保完成节能、削煤、降碳约束性指标；加强散装水泥、新型墙体材料和冶金矿产资源管理。</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发挥专项资金的引导和激励的作用，通过采取补助、奖励等方式调动企业节能降耗的积极性，确保完成节能、削煤、降碳目标任务；电能使用效率不断提高；积极助推节能减排和大气污染防治；确保实现年度单位</w:t>
            </w:r>
            <w:r>
              <w:rPr>
                <w:rFonts w:ascii="方正书宋_GBK" w:eastAsia="方正书宋_GBK"/>
              </w:rPr>
              <w:t>GDP</w:t>
            </w:r>
            <w:r>
              <w:rPr>
                <w:rFonts w:hint="eastAsia" w:ascii="方正书宋_GBK" w:eastAsia="方正书宋_GBK"/>
              </w:rPr>
              <w:t>能耗下降率</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节能量</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w:t>
            </w:r>
          </w:p>
        </w:tc>
        <w:tc>
          <w:tcPr>
            <w:tcW w:w="737" w:type="dxa"/>
            <w:vAlign w:val="center"/>
          </w:tcPr>
          <w:p>
            <w:pPr>
              <w:spacing w:line="300" w:lineRule="exact"/>
              <w:jc w:val="center"/>
              <w:rPr>
                <w:rFonts w:ascii="方正书宋_GBK" w:eastAsia="方正书宋_GBK"/>
              </w:rPr>
            </w:pPr>
            <w:r>
              <w:rPr>
                <w:rFonts w:ascii="方正书宋_GBK" w:eastAsia="方正书宋_GBK"/>
              </w:rPr>
              <w:t>&lt;7%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单位</w:t>
            </w:r>
            <w:r>
              <w:rPr>
                <w:rFonts w:ascii="方正书宋_GBK" w:eastAsia="方正书宋_GBK"/>
              </w:rPr>
              <w:t>GDP</w:t>
            </w:r>
            <w:r>
              <w:rPr>
                <w:rFonts w:hint="eastAsia" w:ascii="方正书宋_GBK" w:eastAsia="方正书宋_GBK"/>
              </w:rPr>
              <w:t>能耗下降率</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w:t>
            </w:r>
          </w:p>
        </w:tc>
        <w:tc>
          <w:tcPr>
            <w:tcW w:w="737" w:type="dxa"/>
            <w:vAlign w:val="center"/>
          </w:tcPr>
          <w:p>
            <w:pPr>
              <w:spacing w:line="300" w:lineRule="exact"/>
              <w:jc w:val="center"/>
              <w:rPr>
                <w:rFonts w:ascii="方正书宋_GBK" w:eastAsia="方正书宋_GBK"/>
              </w:rPr>
            </w:pPr>
            <w:r>
              <w:rPr>
                <w:rFonts w:ascii="方正书宋_GBK" w:eastAsia="方正书宋_GBK"/>
              </w:rPr>
              <w:t>/</w:t>
            </w:r>
          </w:p>
        </w:tc>
        <w:tc>
          <w:tcPr>
            <w:tcW w:w="737" w:type="dxa"/>
            <w:vAlign w:val="center"/>
          </w:tcPr>
          <w:p>
            <w:pPr>
              <w:spacing w:line="300" w:lineRule="exact"/>
              <w:jc w:val="center"/>
              <w:rPr>
                <w:rFonts w:ascii="方正书宋_GBK" w:eastAsia="方正书宋_GBK"/>
              </w:rPr>
            </w:pP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节电量</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w:t>
            </w:r>
          </w:p>
        </w:tc>
        <w:tc>
          <w:tcPr>
            <w:tcW w:w="737" w:type="dxa"/>
            <w:vAlign w:val="center"/>
          </w:tcPr>
          <w:p>
            <w:pPr>
              <w:spacing w:line="300" w:lineRule="exact"/>
              <w:jc w:val="center"/>
              <w:rPr>
                <w:rFonts w:ascii="方正书宋_GBK" w:eastAsia="方正书宋_GBK"/>
              </w:rPr>
            </w:pPr>
            <w:r>
              <w:rPr>
                <w:rFonts w:ascii="方正书宋_GBK" w:eastAsia="方正书宋_GBK"/>
              </w:rPr>
              <w:t>&lt;7%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节能量</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w:t>
            </w:r>
          </w:p>
        </w:tc>
        <w:tc>
          <w:tcPr>
            <w:tcW w:w="737" w:type="dxa"/>
            <w:vAlign w:val="center"/>
          </w:tcPr>
          <w:p>
            <w:pPr>
              <w:spacing w:line="300" w:lineRule="exact"/>
              <w:jc w:val="center"/>
              <w:rPr>
                <w:rFonts w:ascii="方正书宋_GBK" w:eastAsia="方正书宋_GBK"/>
              </w:rPr>
            </w:pPr>
            <w:r>
              <w:rPr>
                <w:rFonts w:ascii="方正书宋_GBK" w:eastAsia="方正书宋_GBK"/>
              </w:rPr>
              <w:t>&lt;7%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节能量</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w:t>
            </w:r>
          </w:p>
        </w:tc>
        <w:tc>
          <w:tcPr>
            <w:tcW w:w="737" w:type="dxa"/>
            <w:vAlign w:val="center"/>
          </w:tcPr>
          <w:p>
            <w:pPr>
              <w:spacing w:line="300" w:lineRule="exact"/>
              <w:jc w:val="center"/>
              <w:rPr>
                <w:rFonts w:ascii="方正书宋_GBK" w:eastAsia="方正书宋_GBK"/>
              </w:rPr>
            </w:pPr>
            <w:r>
              <w:rPr>
                <w:rFonts w:ascii="方正书宋_GBK" w:eastAsia="方正书宋_GBK"/>
              </w:rPr>
              <w:t>&lt;7%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节能量</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7%</w:t>
            </w:r>
          </w:p>
        </w:tc>
        <w:tc>
          <w:tcPr>
            <w:tcW w:w="737" w:type="dxa"/>
            <w:vAlign w:val="center"/>
          </w:tcPr>
          <w:p>
            <w:pPr>
              <w:spacing w:line="300" w:lineRule="exact"/>
              <w:jc w:val="center"/>
              <w:rPr>
                <w:rFonts w:ascii="方正书宋_GBK" w:eastAsia="方正书宋_GBK"/>
              </w:rPr>
            </w:pPr>
            <w:r>
              <w:rPr>
                <w:rFonts w:ascii="方正书宋_GBK" w:eastAsia="方正书宋_GBK"/>
              </w:rPr>
              <w:t>&lt;7%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六、固定资产投资调控与管理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拟订社会固定资产投资规模和投资结构的调控目标、及措施，衔接政府投资和重大建设项目的专项规划；按规定权限审批、核准、审核重大建设项目，提出预算内基建建设项目安排建议；开展重点建设项目管理。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提升公共设施水平，提高公共服务能力，促进经济和社会发展。</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、固定资产投资政策制订与实施和县级预算内基本投资建设</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拟订社会固定资产投资规模和投资结构的调控目标及措施；研究制定全县重点项目建设管理的思路；制定或完善投资项目审批、核准、备案管理办法及相关措施，完善投资体制和机制建设；引导民间资金用于符合我县固定资产投资方向的项目。编制县级预算内基本建设投资计划；统筹提出县级预算内基本建设资金安排基础设施建设项目资金安排建议，落实与中央、省市投资项目配套。</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落实县固定资产投资目标；指导政策性贷款使用，有效引导民间资金用于我县固定资产投资。按时编制并提交年度预算内基建项目安排建议，并落实到具体项目；足额保证县委、县政府确定的重点基建投资项目；落实与中央、省市投资项目配套；及时下达预算内基建项目投资计划，提高县级政务设施服务保障能力</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预算内基本建设投资计划执行率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固定资产投资计划完成率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、组织实施全县重点项目和稽查</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实施县级重点建设项目，编制全县重点建设项目年度工作计划并执行；按规定权限审批、核准、审核重大建设项目；组织开展对工作活动范围内的项目单位在前期手续、投资计划和资金下达、建设实施、建设管理、进度控制、资金和财务管理、竣工验收等方面实施情况的监督检查；建立投资项目信息报送制度。化工、煤炭建设项目工程质量监督管理；依法组织开展重点（重大）项目稽查，对市、县投资政策、投资计划执行情况的监督检查。</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加强重点项目谋划、协调，推动重点项目顺利实施。加强项目监管，推动项目顺利实施，处罚项目建设中重大突出违法问题。</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项目开工率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ascii="方正书宋_GBK" w:eastAsia="方正书宋_GBK"/>
              </w:rPr>
              <w:t>&lt;80%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七、发展和改革政务管理</w:t>
            </w:r>
          </w:p>
        </w:tc>
        <w:tc>
          <w:tcPr>
            <w:tcW w:w="1276" w:type="dxa"/>
            <w:vAlign w:val="center"/>
          </w:tcPr>
          <w:p>
            <w:pPr>
              <w:spacing w:line="300" w:lineRule="exact"/>
              <w:jc w:val="left"/>
              <w:rPr>
                <w:rFonts w:ascii="方正书宋_GBK" w:eastAsia="方正书宋_GBK"/>
              </w:rPr>
            </w:pPr>
            <w:r>
              <w:rPr>
                <w:rFonts w:ascii="方正书宋_GBK" w:eastAsia="方正书宋_GBK"/>
              </w:rPr>
              <w:t>87.25</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保障发展改革一般性日常业务开展和机关事务的基本运转。</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保障发展改革一般性日常业务开展和机关事务的基本运转。</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1</w:t>
            </w:r>
            <w:r>
              <w:rPr>
                <w:rFonts w:hint="eastAsia" w:ascii="方正书宋_GBK" w:eastAsia="方正书宋_GBK"/>
                <w:b/>
              </w:rPr>
              <w:t>、综合业务管理</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负责全县依法必须招标项目的招标投标公告发布、方案核准以及评标专家库、招标代理机构等实施监督管理；按照县政府政策要求，加强行业协会管理。</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招投标管理制度完善，操作实施规范，应依法必须招投标项目覆盖全面</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综合业务管理工作完成率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年内督导企业个数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10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w:t>
            </w:r>
          </w:p>
        </w:tc>
        <w:tc>
          <w:tcPr>
            <w:tcW w:w="737" w:type="dxa"/>
            <w:vAlign w:val="center"/>
          </w:tcPr>
          <w:p>
            <w:pPr>
              <w:spacing w:line="300" w:lineRule="exact"/>
              <w:jc w:val="center"/>
              <w:rPr>
                <w:rFonts w:ascii="方正书宋_GBK" w:eastAsia="方正书宋_GBK"/>
              </w:rPr>
            </w:pPr>
            <w:r>
              <w:rPr>
                <w:rFonts w:ascii="方正书宋_GBK" w:eastAsia="方正书宋_GBK"/>
              </w:rPr>
              <w:t>&lt;8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w:t>
            </w:r>
            <w:r>
              <w:rPr>
                <w:rFonts w:ascii="方正书宋_GBK" w:eastAsia="方正书宋_GBK"/>
                <w:b/>
              </w:rPr>
              <w:t>2</w:t>
            </w:r>
            <w:r>
              <w:rPr>
                <w:rFonts w:hint="eastAsia" w:ascii="方正书宋_GBK" w:eastAsia="方正书宋_GBK"/>
                <w:b/>
              </w:rPr>
              <w:t>、综合事务管理</w:t>
            </w:r>
          </w:p>
        </w:tc>
        <w:tc>
          <w:tcPr>
            <w:tcW w:w="1276" w:type="dxa"/>
            <w:vAlign w:val="center"/>
          </w:tcPr>
          <w:p>
            <w:pPr>
              <w:spacing w:line="300" w:lineRule="exact"/>
              <w:jc w:val="left"/>
              <w:rPr>
                <w:rFonts w:ascii="方正书宋_GBK" w:eastAsia="方正书宋_GBK"/>
              </w:rPr>
            </w:pPr>
            <w:r>
              <w:rPr>
                <w:rFonts w:ascii="方正书宋_GBK" w:eastAsia="方正书宋_GBK"/>
              </w:rPr>
              <w:t>87.25</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发展改革工作运转保障，包括会议组织、政务督办、档案管理、信访接待、政务信息、行政复议、对外宣传、干部培训、课题研究、调研活动等行政事务；开展党风廉政建设、政府信息公开、行政许可事项受理，信息化建设等管理。</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保障发展改革工作正常开展</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综合事务管理工作完成率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ascii="方正书宋_GBK" w:eastAsia="方正书宋_GBK"/>
              </w:rPr>
              <w:t>&lt;90%</w:t>
            </w:r>
          </w:p>
        </w:tc>
      </w:tr>
    </w:tbl>
    <w:p>
      <w:pPr>
        <w:ind w:firstLine="645"/>
        <w:rPr>
          <w:rFonts w:hint="eastAsia" w:ascii="仿宋" w:hAnsi="仿宋" w:eastAsia="仿宋"/>
          <w:sz w:val="32"/>
          <w:szCs w:val="32"/>
        </w:rPr>
      </w:pPr>
    </w:p>
    <w:p>
      <w:pPr>
        <w:ind w:firstLine="645"/>
        <w:rPr>
          <w:rFonts w:hint="eastAsia" w:ascii="仿宋" w:hAnsi="仿宋" w:eastAsia="仿宋"/>
          <w:sz w:val="32"/>
          <w:szCs w:val="32"/>
        </w:rPr>
      </w:pPr>
    </w:p>
    <w:p>
      <w:pPr>
        <w:ind w:firstLine="645"/>
        <w:rPr>
          <w:rFonts w:hint="eastAsia" w:ascii="仿宋" w:hAnsi="仿宋" w:eastAsia="仿宋"/>
          <w:sz w:val="32"/>
          <w:szCs w:val="32"/>
        </w:rPr>
      </w:pPr>
    </w:p>
    <w:p>
      <w:pPr>
        <w:ind w:firstLine="645"/>
        <w:rPr>
          <w:rFonts w:ascii="仿宋" w:hAnsi="仿宋" w:eastAsia="仿宋"/>
          <w:sz w:val="32"/>
          <w:szCs w:val="32"/>
        </w:r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ind w:firstLine="640" w:firstLineChars="200"/>
        <w:outlineLvl w:val="0"/>
        <w:rPr>
          <w:rFonts w:eastAsia="仿宋"/>
          <w:sz w:val="32"/>
        </w:rPr>
      </w:pPr>
      <w:bookmarkStart w:id="1" w:name="_Toc471398468"/>
      <w:r>
        <w:rPr>
          <w:rFonts w:eastAsia="仿宋"/>
          <w:sz w:val="32"/>
        </w:rPr>
        <w:t>2020</w:t>
      </w:r>
      <w:r>
        <w:rPr>
          <w:rFonts w:hint="eastAsia" w:eastAsia="仿宋"/>
          <w:sz w:val="32"/>
        </w:rPr>
        <w:t>年，我部门无政府采购。空表列示。</w:t>
      </w:r>
      <w:bookmarkEnd w:id="1"/>
    </w:p>
    <w:p>
      <w:pPr>
        <w:ind w:firstLine="640" w:firstLineChars="200"/>
        <w:jc w:val="center"/>
        <w:outlineLvl w:val="0"/>
        <w:rPr>
          <w:rFonts w:hAnsi="宋体"/>
          <w:sz w:val="32"/>
        </w:rPr>
      </w:pPr>
      <w:r>
        <w:rPr>
          <w:rFonts w:hint="eastAsia" w:ascii="方正小标宋_GBK" w:eastAsia="方正小标宋_GBK"/>
          <w:sz w:val="32"/>
        </w:rPr>
        <w:t>部门政府采购预算</w:t>
      </w:r>
      <w:r>
        <w:rPr>
          <w:rFonts w:ascii="方正小标宋_GBK" w:eastAsia="方正小标宋_GBK"/>
          <w:sz w:val="32"/>
        </w:rPr>
        <w:fldChar w:fldCharType="begin"/>
      </w:r>
      <w:r>
        <w:rPr>
          <w:rFonts w:ascii="方正小标宋_GBK" w:eastAsia="方正小标宋_GBK"/>
          <w:sz w:val="32"/>
        </w:rPr>
        <w:instrText xml:space="preserve">tc "</w:instrText>
      </w:r>
      <w:bookmarkStart w:id="2" w:name="_Toc28848395"/>
      <w:r>
        <w:rPr>
          <w:rFonts w:hint="eastAsia" w:ascii="方正小标宋_GBK" w:eastAsia="方正小标宋_GBK"/>
          <w:sz w:val="32"/>
        </w:rPr>
        <w:instrText xml:space="preserve">部门政府采购预算</w:instrText>
      </w:r>
      <w:bookmarkEnd w:id="2"/>
      <w:r>
        <w:rPr>
          <w:rFonts w:ascii="方正小标宋_GBK" w:eastAsia="方正小标宋_GBK"/>
          <w:sz w:val="32"/>
        </w:rPr>
        <w:instrText xml:space="preserve">" \f A \l 01</w:instrText>
      </w:r>
      <w:r>
        <w:rPr>
          <w:rFonts w:ascii="方正小标宋_GBK" w:eastAsia="方正小标宋_GBK"/>
          <w:sz w:val="32"/>
        </w:rPr>
        <w:fldChar w:fldCharType="end"/>
      </w:r>
    </w:p>
    <w:tbl>
      <w:tblPr>
        <w:tblStyle w:val="5"/>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319</w:t>
            </w:r>
            <w:r>
              <w:rPr>
                <w:rFonts w:hint="eastAsia" w:ascii="方正小标宋_GBK" w:eastAsia="方正小标宋_GBK"/>
                <w:sz w:val="24"/>
              </w:rPr>
              <w:t>新乐市审计局</w:t>
            </w:r>
          </w:p>
        </w:tc>
        <w:tc>
          <w:tcPr>
            <w:tcW w:w="5854"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计量单位</w:t>
            </w:r>
          </w:p>
        </w:tc>
        <w:tc>
          <w:tcPr>
            <w:tcW w:w="85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pPr>
              <w:spacing w:line="300" w:lineRule="exact"/>
              <w:jc w:val="left"/>
              <w:outlineLvl w:val="0"/>
              <w:rPr>
                <w:rFonts w:eastAsia="方正仿宋_GBK"/>
                <w:sz w:val="28"/>
              </w:rPr>
            </w:pPr>
          </w:p>
        </w:tc>
        <w:tc>
          <w:tcPr>
            <w:tcW w:w="1417" w:type="dxa"/>
            <w:vMerge w:val="continue"/>
            <w:vAlign w:val="center"/>
          </w:tcPr>
          <w:p>
            <w:pPr>
              <w:spacing w:line="300" w:lineRule="exact"/>
              <w:jc w:val="left"/>
              <w:outlineLvl w:val="0"/>
              <w:rPr>
                <w:rFonts w:eastAsia="方正仿宋_GBK"/>
                <w:sz w:val="28"/>
              </w:rPr>
            </w:pPr>
          </w:p>
        </w:tc>
        <w:tc>
          <w:tcPr>
            <w:tcW w:w="709" w:type="dxa"/>
            <w:vMerge w:val="continue"/>
            <w:vAlign w:val="center"/>
          </w:tcPr>
          <w:p>
            <w:pPr>
              <w:spacing w:line="300" w:lineRule="exact"/>
              <w:jc w:val="left"/>
              <w:outlineLvl w:val="0"/>
              <w:rPr>
                <w:rFonts w:eastAsia="方正仿宋_GBK"/>
                <w:sz w:val="28"/>
              </w:rPr>
            </w:pPr>
          </w:p>
        </w:tc>
        <w:tc>
          <w:tcPr>
            <w:tcW w:w="851" w:type="dxa"/>
            <w:vMerge w:val="continue"/>
            <w:vAlign w:val="center"/>
          </w:tcPr>
          <w:p>
            <w:pPr>
              <w:spacing w:line="300" w:lineRule="exact"/>
              <w:jc w:val="left"/>
              <w:outlineLvl w:val="0"/>
              <w:rPr>
                <w:rFonts w:eastAsia="方正仿宋_GBK"/>
                <w:sz w:val="28"/>
              </w:rPr>
            </w:pPr>
          </w:p>
        </w:tc>
        <w:tc>
          <w:tcPr>
            <w:tcW w:w="992" w:type="dxa"/>
            <w:vMerge w:val="continue"/>
            <w:vAlign w:val="center"/>
          </w:tcPr>
          <w:p>
            <w:pPr>
              <w:spacing w:line="300" w:lineRule="exact"/>
              <w:jc w:val="left"/>
              <w:outlineLvl w:val="0"/>
              <w:rPr>
                <w:rFonts w:eastAsia="方正仿宋_GBK"/>
                <w:sz w:val="28"/>
              </w:rPr>
            </w:pP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1559" w:type="dxa"/>
            <w:vAlign w:val="center"/>
          </w:tcPr>
          <w:p>
            <w:pPr>
              <w:spacing w:line="300" w:lineRule="exact"/>
              <w:jc w:val="left"/>
              <w:rPr>
                <w:rFonts w:ascii="方正书宋_GBK" w:eastAsia="方正书宋_GBK"/>
                <w:b/>
              </w:rPr>
            </w:pPr>
          </w:p>
        </w:tc>
        <w:tc>
          <w:tcPr>
            <w:tcW w:w="1417" w:type="dxa"/>
            <w:vAlign w:val="center"/>
          </w:tcPr>
          <w:p>
            <w:pPr>
              <w:spacing w:line="300" w:lineRule="exact"/>
              <w:jc w:val="left"/>
              <w:rPr>
                <w:rFonts w:ascii="方正书宋_GBK" w:eastAsia="方正书宋_GBK"/>
                <w:b/>
              </w:rPr>
            </w:pPr>
          </w:p>
        </w:tc>
        <w:tc>
          <w:tcPr>
            <w:tcW w:w="709" w:type="dxa"/>
            <w:vAlign w:val="center"/>
          </w:tcPr>
          <w:p>
            <w:pPr>
              <w:spacing w:line="300" w:lineRule="exact"/>
              <w:jc w:val="left"/>
              <w:rPr>
                <w:rFonts w:ascii="方正书宋_GBK" w:eastAsia="方正书宋_GBK"/>
                <w:b/>
              </w:rPr>
            </w:pPr>
          </w:p>
        </w:tc>
        <w:tc>
          <w:tcPr>
            <w:tcW w:w="851" w:type="dxa"/>
            <w:vAlign w:val="center"/>
          </w:tcPr>
          <w:p>
            <w:pPr>
              <w:spacing w:line="300" w:lineRule="exact"/>
              <w:jc w:val="right"/>
              <w:rPr>
                <w:rFonts w:ascii="方正书宋_GBK" w:eastAsia="方正书宋_GBK"/>
                <w:b/>
              </w:rPr>
            </w:pPr>
          </w:p>
        </w:tc>
        <w:tc>
          <w:tcPr>
            <w:tcW w:w="992" w:type="dxa"/>
            <w:vAlign w:val="center"/>
          </w:tcPr>
          <w:p>
            <w:pPr>
              <w:spacing w:line="300" w:lineRule="exact"/>
              <w:jc w:val="right"/>
              <w:rPr>
                <w:rFonts w:ascii="方正书宋_GBK" w:eastAsia="方正书宋_GBK"/>
                <w:b/>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2" w:type="dxa"/>
            <w:vAlign w:val="center"/>
          </w:tcPr>
          <w:p>
            <w:pPr>
              <w:adjustRightInd w:val="0"/>
              <w:snapToGrid w:val="0"/>
              <w:jc w:val="right"/>
              <w:rPr>
                <w:rFonts w:ascii="方正书宋_GBK" w:hAnsi="宋体" w:eastAsia="方正书宋_GBK" w:cs="宋体"/>
                <w:b/>
                <w:bCs/>
                <w:color w:val="000000"/>
                <w:szCs w:val="21"/>
              </w:rPr>
            </w:pPr>
          </w:p>
        </w:tc>
        <w:tc>
          <w:tcPr>
            <w:tcW w:w="993" w:type="dxa"/>
            <w:vAlign w:val="center"/>
          </w:tcPr>
          <w:p>
            <w:pPr>
              <w:spacing w:line="300" w:lineRule="exact"/>
              <w:jc w:val="right"/>
              <w:rPr>
                <w:rFonts w:ascii="方正书宋_GBK" w:eastAsia="方正书宋_GBK"/>
                <w:b/>
              </w:rPr>
            </w:pPr>
          </w:p>
        </w:tc>
        <w:tc>
          <w:tcPr>
            <w:tcW w:w="1134" w:type="dxa"/>
            <w:vAlign w:val="center"/>
          </w:tcPr>
          <w:p>
            <w:pPr>
              <w:spacing w:line="300" w:lineRule="exact"/>
              <w:jc w:val="right"/>
              <w:rPr>
                <w:rFonts w:ascii="方正书宋_GBK" w:eastAsia="方正书宋_GBK"/>
                <w:b/>
              </w:rPr>
            </w:pPr>
          </w:p>
        </w:tc>
        <w:tc>
          <w:tcPr>
            <w:tcW w:w="850"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1559" w:type="dxa"/>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p>
        </w:tc>
        <w:tc>
          <w:tcPr>
            <w:tcW w:w="709" w:type="dxa"/>
            <w:vAlign w:val="center"/>
          </w:tcPr>
          <w:p>
            <w:pPr>
              <w:spacing w:line="300" w:lineRule="exact"/>
              <w:jc w:val="left"/>
              <w:rPr>
                <w:rFonts w:ascii="方正书宋_GBK" w:eastAsia="方正书宋_GBK"/>
              </w:rPr>
            </w:pPr>
          </w:p>
        </w:tc>
        <w:tc>
          <w:tcPr>
            <w:tcW w:w="851" w:type="dxa"/>
            <w:vAlign w:val="center"/>
          </w:tcPr>
          <w:p>
            <w:pPr>
              <w:spacing w:line="300" w:lineRule="exact"/>
              <w:rPr>
                <w:rFonts w:ascii="方正书宋_GBK" w:eastAsia="方正书宋_GBK"/>
              </w:rPr>
            </w:pPr>
          </w:p>
        </w:tc>
        <w:tc>
          <w:tcPr>
            <w:tcW w:w="992" w:type="dxa"/>
            <w:vAlign w:val="center"/>
          </w:tcPr>
          <w:p>
            <w:pPr>
              <w:spacing w:line="300" w:lineRule="exact"/>
              <w:rPr>
                <w:rFonts w:ascii="方正书宋_GBK" w:eastAsia="方正书宋_GBK"/>
              </w:rPr>
            </w:pPr>
          </w:p>
        </w:tc>
        <w:tc>
          <w:tcPr>
            <w:tcW w:w="992" w:type="dxa"/>
            <w:vAlign w:val="center"/>
          </w:tcPr>
          <w:p>
            <w:pPr>
              <w:spacing w:line="300" w:lineRule="exact"/>
              <w:rPr>
                <w:rFonts w:ascii="方正书宋_GBK" w:eastAsia="方正书宋_GBK"/>
              </w:rPr>
            </w:pPr>
          </w:p>
        </w:tc>
        <w:tc>
          <w:tcPr>
            <w:tcW w:w="992" w:type="dxa"/>
            <w:vAlign w:val="center"/>
          </w:tcPr>
          <w:p>
            <w:pPr>
              <w:spacing w:line="300" w:lineRule="exact"/>
              <w:rPr>
                <w:rFonts w:ascii="方正书宋_GBK" w:eastAsia="方正书宋_GBK"/>
              </w:rPr>
            </w:pPr>
          </w:p>
        </w:tc>
        <w:tc>
          <w:tcPr>
            <w:tcW w:w="993" w:type="dxa"/>
            <w:vAlign w:val="center"/>
          </w:tcPr>
          <w:p>
            <w:pPr>
              <w:spacing w:line="300" w:lineRule="exact"/>
              <w:jc w:val="right"/>
              <w:rPr>
                <w:rFonts w:ascii="方正书宋_GBK" w:eastAsia="方正书宋_GBK"/>
              </w:rPr>
            </w:pPr>
          </w:p>
        </w:tc>
        <w:tc>
          <w:tcPr>
            <w:tcW w:w="1134" w:type="dxa"/>
            <w:vAlign w:val="center"/>
          </w:tcPr>
          <w:p>
            <w:pPr>
              <w:spacing w:line="300" w:lineRule="exact"/>
              <w:jc w:val="right"/>
              <w:rPr>
                <w:rFonts w:ascii="方正书宋_GBK" w:eastAsia="方正书宋_GBK"/>
              </w:rPr>
            </w:pPr>
          </w:p>
        </w:tc>
        <w:tc>
          <w:tcPr>
            <w:tcW w:w="850"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widowControl/>
        <w:rPr>
          <w:rFonts w:ascii="仿宋_GB2312" w:hAnsi="宋体" w:eastAsia="仿宋_GB2312" w:cs="Arial"/>
          <w:color w:val="000000"/>
          <w:kern w:val="0"/>
          <w:sz w:val="22"/>
          <w:szCs w:val="22"/>
        </w:rPr>
      </w:pPr>
      <w:r>
        <w:rPr>
          <w:rFonts w:hint="eastAsia" w:ascii="仿宋_GB2312" w:hAnsi="仿宋" w:eastAsia="仿宋_GB2312" w:cs="仿宋"/>
          <w:sz w:val="32"/>
          <w:szCs w:val="32"/>
        </w:rPr>
        <w:t>无极县发展改革局上年末固定资产金额为138.76万元（详见下表）。</w:t>
      </w: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无极县发展改革局固定资产占用情况表</w:t>
      </w:r>
    </w:p>
    <w:tbl>
      <w:tblPr>
        <w:tblStyle w:val="5"/>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ind w:firstLine="640" w:firstLineChars="200"/>
              <w:jc w:val="left"/>
              <w:rPr>
                <w:rFonts w:ascii="仿宋_GB2312" w:eastAsia="仿宋_GB2312" w:cs="仿宋_GB2312"/>
                <w:bCs/>
                <w:sz w:val="32"/>
                <w:szCs w:val="32"/>
              </w:rPr>
            </w:pPr>
            <w:r>
              <w:rPr>
                <w:rFonts w:hint="eastAsia" w:ascii="仿宋_GB2312" w:hAnsi="宋体" w:eastAsia="仿宋_GB2312" w:cs="宋体"/>
                <w:kern w:val="0"/>
                <w:sz w:val="32"/>
                <w:szCs w:val="32"/>
              </w:rPr>
              <w:t>编制部门：</w:t>
            </w:r>
            <w:r>
              <w:rPr>
                <w:rFonts w:hint="eastAsia" w:ascii="仿宋_GB2312" w:eastAsia="仿宋_GB2312" w:cs="仿宋_GB2312"/>
                <w:bCs/>
                <w:sz w:val="32"/>
                <w:szCs w:val="32"/>
              </w:rPr>
              <w:t>无极县发展改革局</w:t>
            </w:r>
          </w:p>
        </w:tc>
        <w:tc>
          <w:tcPr>
            <w:tcW w:w="5103" w:type="dxa"/>
            <w:tcBorders>
              <w:top w:val="nil"/>
              <w:left w:val="nil"/>
              <w:bottom w:val="nil"/>
              <w:right w:val="nil"/>
            </w:tcBorders>
            <w:vAlign w:val="center"/>
          </w:tcPr>
          <w:p>
            <w:pPr>
              <w:widowControl/>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截止时间：201</w:t>
            </w:r>
            <w:r>
              <w:rPr>
                <w:rFonts w:ascii="仿宋_GB2312" w:hAnsi="宋体" w:eastAsia="仿宋_GB2312" w:cs="宋体"/>
                <w:kern w:val="0"/>
                <w:sz w:val="32"/>
                <w:szCs w:val="32"/>
              </w:rPr>
              <w:t>8</w:t>
            </w:r>
            <w:r>
              <w:rPr>
                <w:rFonts w:hint="eastAsia" w:ascii="仿宋_GB2312" w:hAnsi="宋体" w:eastAsia="仿宋_GB2312" w:cs="宋体"/>
                <w:kern w:val="0"/>
                <w:sz w:val="32"/>
                <w:szCs w:val="32"/>
              </w:rPr>
              <w:t>年12月31日</w:t>
            </w:r>
          </w:p>
        </w:tc>
      </w:tr>
      <w:tr>
        <w:tblPrEx>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vAlign w:val="center"/>
          </w:tcPr>
          <w:p>
            <w:pPr>
              <w:widowControl/>
              <w:ind w:firstLine="643" w:firstLineChars="200"/>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项目</w:t>
            </w:r>
          </w:p>
        </w:tc>
        <w:tc>
          <w:tcPr>
            <w:tcW w:w="3155" w:type="dxa"/>
            <w:tcBorders>
              <w:top w:val="single" w:color="000000" w:sz="4" w:space="0"/>
              <w:left w:val="nil"/>
              <w:bottom w:val="single" w:color="000000" w:sz="4" w:space="0"/>
              <w:right w:val="single" w:color="000000" w:sz="4" w:space="0"/>
            </w:tcBorders>
            <w:vAlign w:val="center"/>
          </w:tcPr>
          <w:p>
            <w:pPr>
              <w:widowControl/>
              <w:ind w:firstLine="643" w:firstLineChars="200"/>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数量</w:t>
            </w:r>
          </w:p>
        </w:tc>
        <w:tc>
          <w:tcPr>
            <w:tcW w:w="5103" w:type="dxa"/>
            <w:tcBorders>
              <w:top w:val="single" w:color="000000" w:sz="4" w:space="0"/>
              <w:left w:val="nil"/>
              <w:bottom w:val="single" w:color="000000" w:sz="4" w:space="0"/>
              <w:right w:val="single" w:color="000000" w:sz="4" w:space="0"/>
            </w:tcBorders>
            <w:vAlign w:val="center"/>
          </w:tcPr>
          <w:p>
            <w:pPr>
              <w:widowControl/>
              <w:ind w:firstLine="643" w:firstLineChars="200"/>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资产总额</w:t>
            </w:r>
          </w:p>
        </w:tc>
        <w:tc>
          <w:tcPr>
            <w:tcW w:w="3155"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r>
              <w:rPr>
                <w:rFonts w:ascii="仿宋_GB2312" w:hAnsi="宋体" w:eastAsia="仿宋_GB2312" w:cs="宋体"/>
                <w:kern w:val="0"/>
                <w:sz w:val="32"/>
                <w:szCs w:val="32"/>
              </w:rPr>
              <w:t>138.76</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1、房屋（平方米）</w:t>
            </w:r>
          </w:p>
        </w:tc>
        <w:tc>
          <w:tcPr>
            <w:tcW w:w="3155"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p>
        </w:tc>
        <w:tc>
          <w:tcPr>
            <w:tcW w:w="5103"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其中：办公用房（平方米）</w:t>
            </w:r>
          </w:p>
        </w:tc>
        <w:tc>
          <w:tcPr>
            <w:tcW w:w="3155"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p>
        </w:tc>
        <w:tc>
          <w:tcPr>
            <w:tcW w:w="5103"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2、车辆（台、辆）</w:t>
            </w:r>
          </w:p>
        </w:tc>
        <w:tc>
          <w:tcPr>
            <w:tcW w:w="3155"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2</w:t>
            </w:r>
          </w:p>
        </w:tc>
        <w:tc>
          <w:tcPr>
            <w:tcW w:w="5103"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28.4</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3、单价在20万元以上设备</w:t>
            </w:r>
          </w:p>
        </w:tc>
        <w:tc>
          <w:tcPr>
            <w:tcW w:w="3155"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vAlign w:val="center"/>
          </w:tcPr>
          <w:p>
            <w:pPr>
              <w:widowControl/>
              <w:ind w:firstLine="640" w:firstLineChars="200"/>
              <w:jc w:val="left"/>
              <w:rPr>
                <w:rFonts w:ascii="仿宋_GB2312" w:hAnsi="宋体" w:eastAsia="仿宋_GB2312" w:cs="宋体"/>
                <w:kern w:val="0"/>
                <w:sz w:val="32"/>
                <w:szCs w:val="32"/>
              </w:rPr>
            </w:pPr>
            <w:r>
              <w:rPr>
                <w:rFonts w:hint="eastAsia" w:ascii="仿宋_GB2312" w:hAnsi="宋体" w:eastAsia="仿宋_GB2312" w:cs="宋体"/>
                <w:kern w:val="0"/>
                <w:sz w:val="32"/>
                <w:szCs w:val="32"/>
              </w:rPr>
              <w:t>4、其他固定资产</w:t>
            </w:r>
          </w:p>
        </w:tc>
        <w:tc>
          <w:tcPr>
            <w:tcW w:w="3155"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103" w:type="dxa"/>
            <w:tcBorders>
              <w:top w:val="nil"/>
              <w:left w:val="nil"/>
              <w:bottom w:val="single" w:color="000000" w:sz="4" w:space="0"/>
              <w:right w:val="single" w:color="000000" w:sz="4" w:space="0"/>
            </w:tcBorders>
            <w:vAlign w:val="center"/>
          </w:tcPr>
          <w:p>
            <w:pPr>
              <w:widowControl/>
              <w:ind w:firstLine="640" w:firstLineChars="200"/>
              <w:jc w:val="center"/>
              <w:rPr>
                <w:rFonts w:ascii="仿宋_GB2312" w:hAnsi="宋体" w:eastAsia="仿宋_GB2312" w:cs="宋体"/>
                <w:kern w:val="0"/>
                <w:sz w:val="32"/>
                <w:szCs w:val="32"/>
              </w:rPr>
            </w:pPr>
            <w:r>
              <w:rPr>
                <w:rFonts w:ascii="仿宋_GB2312" w:hAnsi="宋体" w:eastAsia="仿宋_GB2312" w:cs="宋体"/>
                <w:kern w:val="0"/>
                <w:sz w:val="32"/>
                <w:szCs w:val="32"/>
              </w:rPr>
              <w:t>110.36</w:t>
            </w:r>
          </w:p>
        </w:tc>
      </w:tr>
    </w:tbl>
    <w:p>
      <w:pPr>
        <w:autoSpaceDE w:val="0"/>
        <w:autoSpaceDN w:val="0"/>
        <w:adjustRightInd w:val="0"/>
        <w:ind w:firstLine="640" w:firstLineChars="200"/>
        <w:jc w:val="left"/>
        <w:rPr>
          <w:rFonts w:ascii="黑体" w:hAnsi="黑体" w:eastAsia="黑体"/>
          <w:sz w:val="32"/>
          <w:szCs w:val="32"/>
        </w:rPr>
      </w:pPr>
      <w:r>
        <w:rPr>
          <w:rFonts w:hint="eastAsia" w:ascii="黑体" w:hAnsi="黑体" w:eastAsia="黑体"/>
          <w:sz w:val="32"/>
          <w:szCs w:val="32"/>
        </w:rPr>
        <w:t>八、名词解释</w:t>
      </w:r>
    </w:p>
    <w:p>
      <w:pPr>
        <w:ind w:firstLine="640" w:firstLineChars="200"/>
        <w:rPr>
          <w:rFonts w:eastAsia="仿宋"/>
          <w:sz w:val="32"/>
          <w:szCs w:val="32"/>
        </w:rPr>
      </w:pPr>
      <w:r>
        <w:rPr>
          <w:rFonts w:eastAsia="仿宋"/>
          <w:sz w:val="32"/>
          <w:szCs w:val="32"/>
        </w:rPr>
        <w:t>1</w:t>
      </w:r>
      <w:r>
        <w:rPr>
          <w:rFonts w:hint="eastAsia" w:eastAsia="仿宋"/>
          <w:sz w:val="32"/>
          <w:szCs w:val="32"/>
        </w:rPr>
        <w:t>、一般公共预算拨款收入：指县级财政当年拨付的资金。</w:t>
      </w:r>
    </w:p>
    <w:p>
      <w:pPr>
        <w:ind w:firstLine="640" w:firstLineChars="200"/>
        <w:rPr>
          <w:rFonts w:eastAsia="仿宋"/>
          <w:sz w:val="32"/>
          <w:szCs w:val="32"/>
        </w:rPr>
      </w:pPr>
      <w:r>
        <w:rPr>
          <w:rFonts w:eastAsia="仿宋"/>
          <w:sz w:val="32"/>
          <w:szCs w:val="32"/>
        </w:rPr>
        <w:t>2</w:t>
      </w:r>
      <w:r>
        <w:rPr>
          <w:rFonts w:hint="eastAsia" w:eastAsia="仿宋"/>
          <w:sz w:val="32"/>
          <w:szCs w:val="32"/>
        </w:rPr>
        <w:t>、事业收入：指事业单位开展专业业务活动及辅助活动所取得的收入。</w:t>
      </w:r>
    </w:p>
    <w:p>
      <w:pPr>
        <w:ind w:firstLine="640" w:firstLineChars="200"/>
        <w:rPr>
          <w:rFonts w:eastAsia="仿宋"/>
          <w:sz w:val="32"/>
          <w:szCs w:val="32"/>
        </w:rPr>
      </w:pPr>
      <w:r>
        <w:rPr>
          <w:rFonts w:eastAsia="仿宋"/>
          <w:sz w:val="32"/>
          <w:szCs w:val="32"/>
        </w:rPr>
        <w:t>3</w:t>
      </w:r>
      <w:r>
        <w:rPr>
          <w:rFonts w:hint="eastAsia" w:eastAsia="仿宋"/>
          <w:sz w:val="32"/>
          <w:szCs w:val="32"/>
        </w:rPr>
        <w:t>、其他收入：指除“一般公共预算拨款收入”、“事业收入”等以外的收入。主要是按规定动用的租房收入、存款利息收入等。</w:t>
      </w:r>
    </w:p>
    <w:p>
      <w:pPr>
        <w:ind w:firstLine="640" w:firstLineChars="200"/>
        <w:rPr>
          <w:rFonts w:eastAsia="仿宋"/>
          <w:sz w:val="32"/>
          <w:szCs w:val="32"/>
        </w:rPr>
      </w:pPr>
      <w:r>
        <w:rPr>
          <w:rFonts w:eastAsia="仿宋"/>
          <w:sz w:val="32"/>
          <w:szCs w:val="32"/>
        </w:rPr>
        <w:t>4</w:t>
      </w:r>
      <w:r>
        <w:rPr>
          <w:rFonts w:hint="eastAsia" w:eastAsia="仿宋"/>
          <w:sz w:val="32"/>
          <w:szCs w:val="32"/>
        </w:rPr>
        <w:t>、基本支出：指为保障机构正常运转、完成日常工作任务而发生的人员支出和公用支出。</w:t>
      </w:r>
    </w:p>
    <w:p>
      <w:pPr>
        <w:ind w:firstLine="640" w:firstLineChars="200"/>
        <w:rPr>
          <w:rFonts w:eastAsia="仿宋"/>
          <w:sz w:val="32"/>
          <w:szCs w:val="32"/>
        </w:rPr>
      </w:pPr>
      <w:r>
        <w:rPr>
          <w:rFonts w:eastAsia="仿宋"/>
          <w:sz w:val="32"/>
          <w:szCs w:val="32"/>
        </w:rPr>
        <w:t>5</w:t>
      </w:r>
      <w:r>
        <w:rPr>
          <w:rFonts w:hint="eastAsia" w:eastAsia="仿宋"/>
          <w:sz w:val="32"/>
          <w:szCs w:val="32"/>
        </w:rPr>
        <w:t>、项目支出：指在基本支出之外为完成特定行政任务和事业发展目标所发生的支出。</w:t>
      </w:r>
    </w:p>
    <w:p>
      <w:pPr>
        <w:ind w:firstLine="640" w:firstLineChars="200"/>
        <w:rPr>
          <w:rFonts w:eastAsia="仿宋"/>
          <w:sz w:val="32"/>
          <w:szCs w:val="32"/>
        </w:rPr>
      </w:pPr>
      <w:r>
        <w:rPr>
          <w:rFonts w:eastAsia="仿宋"/>
          <w:sz w:val="32"/>
          <w:szCs w:val="32"/>
        </w:rPr>
        <w:t>6</w:t>
      </w:r>
      <w:r>
        <w:rPr>
          <w:rFonts w:hint="eastAsia" w:eastAsia="仿宋"/>
          <w:sz w:val="32"/>
          <w:szCs w:val="32"/>
        </w:rPr>
        <w:t>、上缴上级支出：指下级单位上缴上级的支出。</w:t>
      </w:r>
    </w:p>
    <w:p>
      <w:pPr>
        <w:ind w:firstLine="640" w:firstLineChars="200"/>
        <w:rPr>
          <w:rFonts w:eastAsia="仿宋"/>
          <w:sz w:val="32"/>
          <w:szCs w:val="32"/>
        </w:rPr>
      </w:pPr>
      <w:r>
        <w:rPr>
          <w:rFonts w:eastAsia="仿宋"/>
          <w:sz w:val="32"/>
          <w:szCs w:val="32"/>
        </w:rPr>
        <w:t>7</w:t>
      </w:r>
      <w:r>
        <w:rPr>
          <w:rFonts w:hint="eastAsia" w:eastAsia="仿宋"/>
          <w:sz w:val="32"/>
          <w:szCs w:val="32"/>
        </w:rPr>
        <w:t>、“三公”经费：纳入县级财政预算管理的“三公”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eastAsia="仿宋"/>
          <w:sz w:val="32"/>
          <w:szCs w:val="32"/>
        </w:rPr>
      </w:pPr>
      <w:r>
        <w:rPr>
          <w:rFonts w:eastAsia="仿宋"/>
          <w:sz w:val="32"/>
          <w:szCs w:val="32"/>
        </w:rPr>
        <w:t>8</w:t>
      </w:r>
      <w:r>
        <w:rPr>
          <w:rFonts w:hint="eastAsia" w:eastAsia="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eastAsia="仿宋"/>
          <w:sz w:val="32"/>
          <w:szCs w:val="32"/>
        </w:rPr>
      </w:pPr>
      <w:r>
        <w:rPr>
          <w:rFonts w:eastAsia="仿宋"/>
          <w:sz w:val="32"/>
          <w:szCs w:val="32"/>
        </w:rPr>
        <w:t>9</w:t>
      </w:r>
      <w:r>
        <w:rPr>
          <w:rFonts w:hint="eastAsia" w:eastAsia="仿宋"/>
          <w:sz w:val="32"/>
          <w:szCs w:val="32"/>
        </w:rPr>
        <w:t>、上年结转：指以前年度尚未完成、结转到本年仍按原规定用途继续使用的资金。</w:t>
      </w:r>
    </w:p>
    <w:p>
      <w:pPr>
        <w:ind w:firstLine="640" w:firstLineChars="200"/>
        <w:rPr>
          <w:rFonts w:eastAsia="仿宋"/>
          <w:sz w:val="32"/>
          <w:szCs w:val="32"/>
        </w:rPr>
      </w:pPr>
      <w:r>
        <w:rPr>
          <w:rFonts w:eastAsia="仿宋"/>
          <w:sz w:val="32"/>
          <w:szCs w:val="32"/>
        </w:rPr>
        <w:t>10</w:t>
      </w:r>
      <w:r>
        <w:rPr>
          <w:rFonts w:hint="eastAsia" w:eastAsia="仿宋"/>
          <w:sz w:val="32"/>
          <w:szCs w:val="32"/>
        </w:rPr>
        <w:t>、事业单位经营支出：指事业单位在专业业务活动及其辅助活动之外开展非独立核算经营活动发生的支出。</w:t>
      </w:r>
    </w:p>
    <w:p>
      <w:pPr>
        <w:ind w:firstLine="640"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仿宋_GB2312" w:hAnsi="仿宋" w:eastAsia="仿宋_GB2312"/>
          <w:sz w:val="32"/>
          <w:szCs w:val="32"/>
        </w:rPr>
      </w:pPr>
      <w:r>
        <w:rPr>
          <w:rFonts w:hint="eastAsia" w:eastAsia="仿宋"/>
          <w:sz w:val="32"/>
          <w:szCs w:val="32"/>
        </w:rPr>
        <w:t>我部门无其他需要说明的事项。</w:t>
      </w:r>
    </w:p>
    <w:sectPr>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方正小标宋_GBK">
    <w:altName w:val="宋体"/>
    <w:panose1 w:val="00000000000000000000"/>
    <w:charset w:val="86"/>
    <w:family w:val="roman"/>
    <w:pitch w:val="default"/>
    <w:sig w:usb0="00000000" w:usb1="00000000" w:usb2="00000000" w:usb3="00000000" w:csb0="00040001" w:csb1="00000000"/>
  </w:font>
  <w:font w:name="方正楷体_GBK">
    <w:altName w:val="微软雅黑"/>
    <w:panose1 w:val="00000000000000000000"/>
    <w:charset w:val="86"/>
    <w:family w:val="script"/>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00" w:usb3="00000000" w:csb0="00040001" w:csb1="00000000"/>
  </w:font>
  <w:font w:name="方正仿宋_GBK">
    <w:altName w:val="微软雅黑"/>
    <w:panose1 w:val="00000000000000000000"/>
    <w:charset w:val="86"/>
    <w:family w:val="script"/>
    <w:pitch w:val="default"/>
    <w:sig w:usb0="00000000" w:usb1="00000000" w:usb2="00000000" w:usb3="00000000" w:csb0="00040000" w:csb1="00000000"/>
  </w:font>
  <w:font w:name="Arial">
    <w:panose1 w:val="020B0604020202020204"/>
    <w:charset w:val="00"/>
    <w:family w:val="swiss"/>
    <w:pitch w:val="default"/>
    <w:sig w:usb0="E0002AFF" w:usb1="C0007843" w:usb2="00000009" w:usb3="00000000" w:csb0="400001FF" w:csb1="FFFF0000"/>
  </w:font>
  <w:font w:name="宋体-方正超大字符集">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id="0">
    <w:p>
      <w:pPr>
        <w:pStyle w:val="4"/>
      </w:pPr>
      <w:r>
        <w:rPr>
          <w:rStyle w:val="7"/>
        </w:rPr>
        <w:sym w:font="Symbol" w:char="F020"/>
      </w:r>
      <w:r>
        <w:rPr>
          <w:rFonts w:hint="eastAsia" w:ascii="方正楷体_GBK" w:eastAsia="方正楷体_GBK"/>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multilevel"/>
    <w:tmpl w:val="00000002"/>
    <w:lvl w:ilvl="0" w:tentative="0">
      <w:start w:val="1"/>
      <w:numFmt w:val="japaneseCounting"/>
      <w:lvlText w:val="（%1）"/>
      <w:lvlJc w:val="left"/>
      <w:pPr>
        <w:ind w:left="1680" w:hanging="1080"/>
      </w:pPr>
      <w:rPr>
        <w:rFonts w:hint="default"/>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abstractNum w:abstractNumId="1">
    <w:nsid w:val="63BF58ED"/>
    <w:multiLevelType w:val="singleLevel"/>
    <w:tmpl w:val="63BF58ED"/>
    <w:lvl w:ilvl="0" w:tentative="0">
      <w:start w:val="3"/>
      <w:numFmt w:val="chineseCounting"/>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B44E97"/>
    <w:rsid w:val="0005056E"/>
    <w:rsid w:val="001125FA"/>
    <w:rsid w:val="00391281"/>
    <w:rsid w:val="00534136"/>
    <w:rsid w:val="00536D9D"/>
    <w:rsid w:val="00576627"/>
    <w:rsid w:val="007A7FDA"/>
    <w:rsid w:val="00B44E97"/>
    <w:rsid w:val="0896736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semiHidden="0"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iPriority w:val="0"/>
    <w:pPr>
      <w:tabs>
        <w:tab w:val="center" w:pos="4153"/>
        <w:tab w:val="right" w:pos="8306"/>
      </w:tabs>
      <w:snapToGrid w:val="0"/>
      <w:jc w:val="left"/>
    </w:pPr>
    <w:rPr>
      <w:sz w:val="18"/>
      <w:szCs w:val="18"/>
    </w:rPr>
  </w:style>
  <w:style w:type="paragraph" w:styleId="3">
    <w:name w:val="header"/>
    <w:basedOn w:val="1"/>
    <w:link w:val="9"/>
    <w:uiPriority w:val="0"/>
    <w:pPr>
      <w:pBdr>
        <w:bottom w:val="single" w:color="auto" w:sz="6" w:space="1"/>
      </w:pBdr>
      <w:tabs>
        <w:tab w:val="center" w:pos="4153"/>
        <w:tab w:val="right" w:pos="8306"/>
      </w:tabs>
      <w:snapToGrid w:val="0"/>
      <w:jc w:val="center"/>
    </w:pPr>
    <w:rPr>
      <w:sz w:val="18"/>
      <w:szCs w:val="18"/>
    </w:rPr>
  </w:style>
  <w:style w:type="paragraph" w:styleId="4">
    <w:name w:val="footnote text"/>
    <w:basedOn w:val="1"/>
    <w:link w:val="10"/>
    <w:uiPriority w:val="0"/>
    <w:pPr>
      <w:snapToGrid w:val="0"/>
      <w:jc w:val="left"/>
    </w:pPr>
    <w:rPr>
      <w:sz w:val="18"/>
      <w:szCs w:val="18"/>
    </w:rPr>
  </w:style>
  <w:style w:type="character" w:styleId="7">
    <w:name w:val="footnote reference"/>
    <w:uiPriority w:val="0"/>
    <w:rPr>
      <w:vertAlign w:val="superscript"/>
    </w:rPr>
  </w:style>
  <w:style w:type="character" w:customStyle="1" w:styleId="8">
    <w:name w:val="页脚 Char"/>
    <w:link w:val="2"/>
    <w:semiHidden/>
    <w:uiPriority w:val="0"/>
    <w:rPr>
      <w:rFonts w:ascii="Times New Roman" w:hAnsi="Times New Roman" w:eastAsia="宋体" w:cs="Times New Roman"/>
      <w:sz w:val="18"/>
      <w:szCs w:val="18"/>
    </w:rPr>
  </w:style>
  <w:style w:type="character" w:customStyle="1" w:styleId="9">
    <w:name w:val="页眉 Char"/>
    <w:link w:val="3"/>
    <w:semiHidden/>
    <w:uiPriority w:val="0"/>
    <w:rPr>
      <w:rFonts w:ascii="Times New Roman" w:hAnsi="Times New Roman" w:eastAsia="宋体" w:cs="Times New Roman"/>
      <w:sz w:val="18"/>
      <w:szCs w:val="18"/>
    </w:rPr>
  </w:style>
  <w:style w:type="character" w:customStyle="1" w:styleId="10">
    <w:name w:val="脚注文本 Char"/>
    <w:link w:val="4"/>
    <w:semiHidden/>
    <w:uiPriority w:val="0"/>
    <w:rPr>
      <w:rFonts w:ascii="Times New Roman" w:hAnsi="Times New Roman" w:eastAsia="宋体" w:cs="Times New Roman"/>
      <w:kern w:val="2"/>
      <w:sz w:val="18"/>
      <w:szCs w:val="18"/>
    </w:rPr>
  </w:style>
  <w:style w:type="paragraph" w:customStyle="1" w:styleId="11">
    <w:name w:val="列出段落1"/>
    <w:basedOn w:val="1"/>
    <w:uiPriority w:val="0"/>
    <w:pPr>
      <w:ind w:firstLine="420" w:firstLineChars="200"/>
    </w:pPr>
  </w:style>
  <w:style w:type="paragraph" w:customStyle="1" w:styleId="12">
    <w:name w:val="p0"/>
    <w:basedOn w:val="1"/>
    <w:uiPriority w:val="0"/>
    <w:pPr>
      <w:widowControl/>
    </w:pPr>
    <w:rPr>
      <w:rFonts w:ascii="Calibri" w:hAnsi="Calibri" w:cs="宋体"/>
      <w:kern w:val="0"/>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22</Pages>
  <Words>1526</Words>
  <Characters>8704</Characters>
  <Lines>72</Lines>
  <Paragraphs>20</Paragraphs>
  <TotalTime>4</TotalTime>
  <ScaleCrop>false</ScaleCrop>
  <LinksUpToDate>false</LinksUpToDate>
  <CharactersWithSpaces>10210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2021-05-22T01:14:00Z</dcterms:created>
  <dc:creator>微软用户</dc:creator>
  <cp:lastModifiedBy>Administrator</cp:lastModifiedBy>
  <dcterms:modified xsi:type="dcterms:W3CDTF">2024-01-31T02:50:47Z</dcterms:modified>
  <dc:title>微软用户</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