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t>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2</w:t>
      </w:r>
      <w:r>
        <w:t>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w:t>
      </w:r>
      <w:r>
        <w:t>8</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2</w:t>
      </w:r>
      <w: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322无极县商务局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1307.11</w:t>
            </w:r>
          </w:p>
        </w:tc>
        <w:tc>
          <w:tcPr>
            <w:tcW w:w="4535" w:type="dxa"/>
            <w:vAlign w:val="center"/>
          </w:tcPr>
          <w:p>
            <w:pPr>
              <w:pStyle w:val="16"/>
            </w:pPr>
            <w:r>
              <w:t>一、一般公共服务支出</w:t>
            </w:r>
          </w:p>
        </w:tc>
        <w:tc>
          <w:tcPr>
            <w:tcW w:w="2126"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1198.77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1307.11</w:t>
            </w:r>
          </w:p>
        </w:tc>
        <w:tc>
          <w:tcPr>
            <w:tcW w:w="4535" w:type="dxa"/>
            <w:vAlign w:val="center"/>
          </w:tcPr>
          <w:p>
            <w:pPr>
              <w:pStyle w:val="18"/>
            </w:pPr>
            <w:r>
              <w:t>本年支出合计</w:t>
            </w:r>
          </w:p>
        </w:tc>
        <w:tc>
          <w:tcPr>
            <w:tcW w:w="2126" w:type="dxa"/>
            <w:vAlign w:val="center"/>
          </w:tcPr>
          <w:p>
            <w:pPr>
              <w:pStyle w:val="19"/>
            </w:pPr>
            <w:r>
              <w:t>1307.11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1307.11</w:t>
            </w:r>
          </w:p>
        </w:tc>
        <w:tc>
          <w:tcPr>
            <w:tcW w:w="4535" w:type="dxa"/>
            <w:vAlign w:val="center"/>
          </w:tcPr>
          <w:p>
            <w:pPr>
              <w:pStyle w:val="18"/>
            </w:pPr>
            <w:r>
              <w:t>支出总计</w:t>
            </w:r>
          </w:p>
        </w:tc>
        <w:tc>
          <w:tcPr>
            <w:tcW w:w="2126" w:type="dxa"/>
            <w:vAlign w:val="center"/>
          </w:tcPr>
          <w:p>
            <w:pPr>
              <w:pStyle w:val="19"/>
            </w:pPr>
            <w:r>
              <w:t>1307.11</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322无极县商务局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1307.11</w:t>
            </w:r>
          </w:p>
        </w:tc>
        <w:tc>
          <w:tcPr>
            <w:tcW w:w="1134" w:type="dxa"/>
            <w:vAlign w:val="center"/>
          </w:tcPr>
          <w:p>
            <w:pPr>
              <w:pStyle w:val="19"/>
            </w:pPr>
            <w:r>
              <w:t>1307.11</w:t>
            </w:r>
          </w:p>
        </w:tc>
        <w:tc>
          <w:tcPr>
            <w:tcW w:w="1134" w:type="dxa"/>
            <w:vAlign w:val="center"/>
          </w:tcPr>
          <w:p>
            <w:pPr>
              <w:pStyle w:val="19"/>
            </w:pPr>
            <w:r>
              <w:t>1307.11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r>
              <w:t>70.04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55.50</w:t>
            </w:r>
          </w:p>
        </w:tc>
        <w:tc>
          <w:tcPr>
            <w:tcW w:w="1134" w:type="dxa"/>
            <w:vAlign w:val="center"/>
          </w:tcPr>
          <w:p>
            <w:pPr>
              <w:pStyle w:val="15"/>
            </w:pPr>
            <w:r>
              <w:t>55.50</w:t>
            </w:r>
          </w:p>
        </w:tc>
        <w:tc>
          <w:tcPr>
            <w:tcW w:w="1134" w:type="dxa"/>
            <w:vAlign w:val="center"/>
          </w:tcPr>
          <w:p>
            <w:pPr>
              <w:pStyle w:val="15"/>
            </w:pPr>
            <w:r>
              <w:t>55.50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14.54</w:t>
            </w:r>
          </w:p>
        </w:tc>
        <w:tc>
          <w:tcPr>
            <w:tcW w:w="1134" w:type="dxa"/>
            <w:vAlign w:val="center"/>
          </w:tcPr>
          <w:p>
            <w:pPr>
              <w:pStyle w:val="15"/>
            </w:pPr>
            <w:r>
              <w:t>14.54</w:t>
            </w:r>
          </w:p>
        </w:tc>
        <w:tc>
          <w:tcPr>
            <w:tcW w:w="1134" w:type="dxa"/>
            <w:vAlign w:val="center"/>
          </w:tcPr>
          <w:p>
            <w:pPr>
              <w:pStyle w:val="15"/>
            </w:pPr>
            <w:r>
              <w:t>14.54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r>
              <w:t>30.30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r>
              <w:t>1198.77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2160201</w:t>
            </w:r>
          </w:p>
        </w:tc>
        <w:tc>
          <w:tcPr>
            <w:tcW w:w="1559" w:type="dxa"/>
            <w:vAlign w:val="center"/>
          </w:tcPr>
          <w:p>
            <w:pPr>
              <w:pStyle w:val="16"/>
            </w:pPr>
            <w:r>
              <w:t>行政运行</w:t>
            </w:r>
          </w:p>
        </w:tc>
        <w:tc>
          <w:tcPr>
            <w:tcW w:w="1134" w:type="dxa"/>
            <w:vAlign w:val="center"/>
          </w:tcPr>
          <w:p>
            <w:pPr>
              <w:pStyle w:val="15"/>
            </w:pPr>
            <w:r>
              <w:t>648.77</w:t>
            </w:r>
          </w:p>
        </w:tc>
        <w:tc>
          <w:tcPr>
            <w:tcW w:w="1134" w:type="dxa"/>
            <w:vAlign w:val="center"/>
          </w:tcPr>
          <w:p>
            <w:pPr>
              <w:pStyle w:val="15"/>
            </w:pPr>
            <w:r>
              <w:t>648.77</w:t>
            </w:r>
          </w:p>
        </w:tc>
        <w:tc>
          <w:tcPr>
            <w:tcW w:w="1134" w:type="dxa"/>
            <w:vAlign w:val="center"/>
          </w:tcPr>
          <w:p>
            <w:pPr>
              <w:pStyle w:val="15"/>
            </w:pPr>
            <w:r>
              <w:t>648.77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550.00</w:t>
            </w:r>
          </w:p>
        </w:tc>
        <w:tc>
          <w:tcPr>
            <w:tcW w:w="1134" w:type="dxa"/>
            <w:vAlign w:val="center"/>
          </w:tcPr>
          <w:p>
            <w:pPr>
              <w:pStyle w:val="15"/>
            </w:pPr>
            <w:r>
              <w:t>550.00</w:t>
            </w:r>
          </w:p>
        </w:tc>
        <w:tc>
          <w:tcPr>
            <w:tcW w:w="1134" w:type="dxa"/>
            <w:vAlign w:val="center"/>
          </w:tcPr>
          <w:p>
            <w:pPr>
              <w:pStyle w:val="15"/>
            </w:pPr>
            <w:r>
              <w:t>550.00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1307.11</w:t>
            </w:r>
          </w:p>
        </w:tc>
        <w:tc>
          <w:tcPr>
            <w:tcW w:w="1361" w:type="dxa"/>
            <w:vAlign w:val="center"/>
          </w:tcPr>
          <w:p>
            <w:pPr>
              <w:pStyle w:val="19"/>
            </w:pPr>
            <w:r>
              <w:t>757.11</w:t>
            </w:r>
          </w:p>
        </w:tc>
        <w:tc>
          <w:tcPr>
            <w:tcW w:w="1361" w:type="dxa"/>
            <w:vAlign w:val="center"/>
          </w:tcPr>
          <w:p>
            <w:pPr>
              <w:pStyle w:val="19"/>
            </w:pPr>
            <w:r>
              <w:t>550.00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70.04</w:t>
            </w:r>
          </w:p>
        </w:tc>
        <w:tc>
          <w:tcPr>
            <w:tcW w:w="1361" w:type="dxa"/>
            <w:vAlign w:val="center"/>
          </w:tcPr>
          <w:p>
            <w:pPr>
              <w:pStyle w:val="15"/>
            </w:pPr>
            <w:r>
              <w:t>70.04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70.04</w:t>
            </w:r>
          </w:p>
        </w:tc>
        <w:tc>
          <w:tcPr>
            <w:tcW w:w="1361" w:type="dxa"/>
            <w:vAlign w:val="center"/>
          </w:tcPr>
          <w:p>
            <w:pPr>
              <w:pStyle w:val="15"/>
            </w:pPr>
            <w:r>
              <w:t>70.04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55.50</w:t>
            </w:r>
          </w:p>
        </w:tc>
        <w:tc>
          <w:tcPr>
            <w:tcW w:w="1361" w:type="dxa"/>
            <w:vAlign w:val="center"/>
          </w:tcPr>
          <w:p>
            <w:pPr>
              <w:pStyle w:val="15"/>
            </w:pPr>
            <w:r>
              <w:t>55.50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14.54</w:t>
            </w:r>
          </w:p>
        </w:tc>
        <w:tc>
          <w:tcPr>
            <w:tcW w:w="1361" w:type="dxa"/>
            <w:vAlign w:val="center"/>
          </w:tcPr>
          <w:p>
            <w:pPr>
              <w:pStyle w:val="15"/>
            </w:pPr>
            <w:r>
              <w:t>14.54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30.30</w:t>
            </w:r>
          </w:p>
        </w:tc>
        <w:tc>
          <w:tcPr>
            <w:tcW w:w="1361" w:type="dxa"/>
            <w:vAlign w:val="center"/>
          </w:tcPr>
          <w:p>
            <w:pPr>
              <w:pStyle w:val="15"/>
            </w:pPr>
            <w:r>
              <w:t>30.30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30.30</w:t>
            </w:r>
          </w:p>
        </w:tc>
        <w:tc>
          <w:tcPr>
            <w:tcW w:w="1361" w:type="dxa"/>
            <w:vAlign w:val="center"/>
          </w:tcPr>
          <w:p>
            <w:pPr>
              <w:pStyle w:val="15"/>
            </w:pPr>
            <w:r>
              <w:t>30.30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30.30</w:t>
            </w:r>
          </w:p>
        </w:tc>
        <w:tc>
          <w:tcPr>
            <w:tcW w:w="1361" w:type="dxa"/>
            <w:vAlign w:val="center"/>
          </w:tcPr>
          <w:p>
            <w:pPr>
              <w:pStyle w:val="15"/>
            </w:pPr>
            <w:r>
              <w:t>30.30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1198.77</w:t>
            </w:r>
          </w:p>
        </w:tc>
        <w:tc>
          <w:tcPr>
            <w:tcW w:w="1361" w:type="dxa"/>
            <w:vAlign w:val="center"/>
          </w:tcPr>
          <w:p>
            <w:pPr>
              <w:pStyle w:val="15"/>
            </w:pPr>
            <w:r>
              <w:t>648.77</w:t>
            </w: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1198.77</w:t>
            </w:r>
          </w:p>
        </w:tc>
        <w:tc>
          <w:tcPr>
            <w:tcW w:w="1361" w:type="dxa"/>
            <w:vAlign w:val="center"/>
          </w:tcPr>
          <w:p>
            <w:pPr>
              <w:pStyle w:val="15"/>
            </w:pPr>
            <w:r>
              <w:t>648.77</w:t>
            </w: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2160201</w:t>
            </w:r>
          </w:p>
        </w:tc>
        <w:tc>
          <w:tcPr>
            <w:tcW w:w="4535" w:type="dxa"/>
            <w:vAlign w:val="center"/>
          </w:tcPr>
          <w:p>
            <w:pPr>
              <w:pStyle w:val="16"/>
            </w:pPr>
            <w:r>
              <w:t>行政运行</w:t>
            </w:r>
          </w:p>
        </w:tc>
        <w:tc>
          <w:tcPr>
            <w:tcW w:w="1361" w:type="dxa"/>
            <w:vAlign w:val="center"/>
          </w:tcPr>
          <w:p>
            <w:pPr>
              <w:pStyle w:val="15"/>
            </w:pPr>
            <w:r>
              <w:t>648.77</w:t>
            </w:r>
          </w:p>
        </w:tc>
        <w:tc>
          <w:tcPr>
            <w:tcW w:w="1361" w:type="dxa"/>
            <w:vAlign w:val="center"/>
          </w:tcPr>
          <w:p>
            <w:pPr>
              <w:pStyle w:val="15"/>
            </w:pPr>
            <w:r>
              <w:t>648.77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r>
              <w:t>550.00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1307.11</w:t>
            </w:r>
          </w:p>
        </w:tc>
        <w:tc>
          <w:tcPr>
            <w:tcW w:w="3402" w:type="dxa"/>
            <w:vAlign w:val="center"/>
          </w:tcPr>
          <w:p>
            <w:pPr>
              <w:pStyle w:val="16"/>
            </w:pPr>
            <w:r>
              <w:t>一、一般公共服务支出</w:t>
            </w:r>
          </w:p>
        </w:tc>
        <w:tc>
          <w:tcPr>
            <w:tcW w:w="1474" w:type="dxa"/>
            <w:vAlign w:val="center"/>
          </w:tcPr>
          <w:p>
            <w:pPr>
              <w:pStyle w:val="15"/>
            </w:pPr>
            <w:r>
              <w:t>8.00</w:t>
            </w:r>
          </w:p>
        </w:tc>
        <w:tc>
          <w:tcPr>
            <w:tcW w:w="1474" w:type="dxa"/>
            <w:vAlign w:val="center"/>
          </w:tcPr>
          <w:p>
            <w:pPr>
              <w:pStyle w:val="15"/>
            </w:pPr>
            <w:r>
              <w:t>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70.04</w:t>
            </w:r>
          </w:p>
        </w:tc>
        <w:tc>
          <w:tcPr>
            <w:tcW w:w="1474" w:type="dxa"/>
            <w:vAlign w:val="center"/>
          </w:tcPr>
          <w:p>
            <w:pPr>
              <w:pStyle w:val="15"/>
            </w:pPr>
            <w:r>
              <w:t>70.04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30.30</w:t>
            </w:r>
          </w:p>
        </w:tc>
        <w:tc>
          <w:tcPr>
            <w:tcW w:w="1474" w:type="dxa"/>
            <w:vAlign w:val="center"/>
          </w:tcPr>
          <w:p>
            <w:pPr>
              <w:pStyle w:val="15"/>
            </w:pPr>
            <w:r>
              <w:t>30.30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1198.77</w:t>
            </w:r>
          </w:p>
        </w:tc>
        <w:tc>
          <w:tcPr>
            <w:tcW w:w="1474" w:type="dxa"/>
            <w:vAlign w:val="center"/>
          </w:tcPr>
          <w:p>
            <w:pPr>
              <w:pStyle w:val="15"/>
            </w:pPr>
            <w:r>
              <w:t>1198.77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1307.11</w:t>
            </w:r>
          </w:p>
        </w:tc>
        <w:tc>
          <w:tcPr>
            <w:tcW w:w="3402" w:type="dxa"/>
            <w:vAlign w:val="center"/>
          </w:tcPr>
          <w:p>
            <w:pPr>
              <w:pStyle w:val="18"/>
            </w:pPr>
            <w:r>
              <w:t>本年支出合计</w:t>
            </w:r>
          </w:p>
        </w:tc>
        <w:tc>
          <w:tcPr>
            <w:tcW w:w="1474" w:type="dxa"/>
            <w:vAlign w:val="center"/>
          </w:tcPr>
          <w:p>
            <w:pPr>
              <w:pStyle w:val="19"/>
            </w:pPr>
            <w:r>
              <w:t>1307.11</w:t>
            </w:r>
          </w:p>
        </w:tc>
        <w:tc>
          <w:tcPr>
            <w:tcW w:w="1474" w:type="dxa"/>
            <w:vAlign w:val="center"/>
          </w:tcPr>
          <w:p>
            <w:pPr>
              <w:pStyle w:val="19"/>
            </w:pPr>
            <w:r>
              <w:t>1307.11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1307.11</w:t>
            </w:r>
          </w:p>
        </w:tc>
        <w:tc>
          <w:tcPr>
            <w:tcW w:w="3402" w:type="dxa"/>
            <w:vAlign w:val="center"/>
          </w:tcPr>
          <w:p>
            <w:pPr>
              <w:pStyle w:val="18"/>
            </w:pPr>
            <w:r>
              <w:t>支出总计</w:t>
            </w:r>
          </w:p>
        </w:tc>
        <w:tc>
          <w:tcPr>
            <w:tcW w:w="1474" w:type="dxa"/>
            <w:vAlign w:val="center"/>
          </w:tcPr>
          <w:p>
            <w:pPr>
              <w:pStyle w:val="19"/>
            </w:pPr>
            <w:r>
              <w:t>1307.11</w:t>
            </w:r>
          </w:p>
        </w:tc>
        <w:tc>
          <w:tcPr>
            <w:tcW w:w="1474" w:type="dxa"/>
            <w:vAlign w:val="center"/>
          </w:tcPr>
          <w:p>
            <w:pPr>
              <w:pStyle w:val="19"/>
            </w:pPr>
            <w:r>
              <w:t>1307.11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1307.11</w:t>
            </w:r>
          </w:p>
        </w:tc>
        <w:tc>
          <w:tcPr>
            <w:tcW w:w="2551" w:type="dxa"/>
            <w:vAlign w:val="center"/>
          </w:tcPr>
          <w:p>
            <w:pPr>
              <w:pStyle w:val="19"/>
            </w:pPr>
            <w:r>
              <w:t>757.11</w:t>
            </w:r>
          </w:p>
        </w:tc>
        <w:tc>
          <w:tcPr>
            <w:tcW w:w="2551" w:type="dxa"/>
            <w:vAlign w:val="center"/>
          </w:tcPr>
          <w:p>
            <w:pPr>
              <w:pStyle w:val="19"/>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70.04</w:t>
            </w:r>
          </w:p>
        </w:tc>
        <w:tc>
          <w:tcPr>
            <w:tcW w:w="2551" w:type="dxa"/>
            <w:vAlign w:val="center"/>
          </w:tcPr>
          <w:p>
            <w:pPr>
              <w:pStyle w:val="15"/>
            </w:pPr>
            <w:r>
              <w:t>70.04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70.04</w:t>
            </w:r>
          </w:p>
        </w:tc>
        <w:tc>
          <w:tcPr>
            <w:tcW w:w="2551" w:type="dxa"/>
            <w:vAlign w:val="center"/>
          </w:tcPr>
          <w:p>
            <w:pPr>
              <w:pStyle w:val="15"/>
            </w:pPr>
            <w:r>
              <w:t>70.04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55.50</w:t>
            </w:r>
          </w:p>
        </w:tc>
        <w:tc>
          <w:tcPr>
            <w:tcW w:w="2551" w:type="dxa"/>
            <w:vAlign w:val="center"/>
          </w:tcPr>
          <w:p>
            <w:pPr>
              <w:pStyle w:val="15"/>
            </w:pPr>
            <w:r>
              <w:t>55.50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14.54</w:t>
            </w:r>
          </w:p>
        </w:tc>
        <w:tc>
          <w:tcPr>
            <w:tcW w:w="2551" w:type="dxa"/>
            <w:vAlign w:val="center"/>
          </w:tcPr>
          <w:p>
            <w:pPr>
              <w:pStyle w:val="15"/>
            </w:pPr>
            <w:r>
              <w:t>14.54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1198.77</w:t>
            </w:r>
          </w:p>
        </w:tc>
        <w:tc>
          <w:tcPr>
            <w:tcW w:w="2551" w:type="dxa"/>
            <w:vAlign w:val="center"/>
          </w:tcPr>
          <w:p>
            <w:pPr>
              <w:pStyle w:val="15"/>
            </w:pPr>
            <w:r>
              <w:t>648.77</w:t>
            </w:r>
          </w:p>
        </w:tc>
        <w:tc>
          <w:tcPr>
            <w:tcW w:w="2551" w:type="dxa"/>
            <w:vAlign w:val="center"/>
          </w:tcPr>
          <w:p>
            <w:pPr>
              <w:pStyle w:val="15"/>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1198.77</w:t>
            </w:r>
          </w:p>
        </w:tc>
        <w:tc>
          <w:tcPr>
            <w:tcW w:w="2551" w:type="dxa"/>
            <w:vAlign w:val="center"/>
          </w:tcPr>
          <w:p>
            <w:pPr>
              <w:pStyle w:val="15"/>
            </w:pPr>
            <w:r>
              <w:t>648.77</w:t>
            </w:r>
          </w:p>
        </w:tc>
        <w:tc>
          <w:tcPr>
            <w:tcW w:w="2551" w:type="dxa"/>
            <w:vAlign w:val="center"/>
          </w:tcPr>
          <w:p>
            <w:pPr>
              <w:pStyle w:val="15"/>
            </w:pPr>
            <w: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2160201</w:t>
            </w:r>
          </w:p>
        </w:tc>
        <w:tc>
          <w:tcPr>
            <w:tcW w:w="4535" w:type="dxa"/>
            <w:vAlign w:val="center"/>
          </w:tcPr>
          <w:p>
            <w:pPr>
              <w:pStyle w:val="16"/>
            </w:pPr>
            <w:r>
              <w:t>行政运行</w:t>
            </w:r>
          </w:p>
        </w:tc>
        <w:tc>
          <w:tcPr>
            <w:tcW w:w="2551" w:type="dxa"/>
            <w:vAlign w:val="center"/>
          </w:tcPr>
          <w:p>
            <w:pPr>
              <w:pStyle w:val="15"/>
            </w:pPr>
            <w:r>
              <w:t>648.77</w:t>
            </w:r>
          </w:p>
        </w:tc>
        <w:tc>
          <w:tcPr>
            <w:tcW w:w="2551" w:type="dxa"/>
            <w:vAlign w:val="center"/>
          </w:tcPr>
          <w:p>
            <w:pPr>
              <w:pStyle w:val="15"/>
            </w:pPr>
            <w:r>
              <w:t>648.77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550.00</w:t>
            </w:r>
          </w:p>
        </w:tc>
        <w:tc>
          <w:tcPr>
            <w:tcW w:w="2551" w:type="dxa"/>
            <w:vAlign w:val="center"/>
          </w:tcPr>
          <w:p>
            <w:pPr>
              <w:pStyle w:val="15"/>
            </w:pPr>
          </w:p>
        </w:tc>
        <w:tc>
          <w:tcPr>
            <w:tcW w:w="2551" w:type="dxa"/>
            <w:vAlign w:val="center"/>
          </w:tcPr>
          <w:p>
            <w:pPr>
              <w:pStyle w:val="15"/>
            </w:pPr>
            <w:r>
              <w:t>550.00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757.11</w:t>
            </w:r>
          </w:p>
        </w:tc>
        <w:tc>
          <w:tcPr>
            <w:tcW w:w="2551" w:type="dxa"/>
            <w:vAlign w:val="center"/>
          </w:tcPr>
          <w:p>
            <w:pPr>
              <w:pStyle w:val="19"/>
            </w:pPr>
            <w:r>
              <w:t>705.11</w:t>
            </w:r>
          </w:p>
        </w:tc>
        <w:tc>
          <w:tcPr>
            <w:tcW w:w="2551" w:type="dxa"/>
            <w:vAlign w:val="center"/>
          </w:tcPr>
          <w:p>
            <w:pPr>
              <w:pStyle w:val="19"/>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524.42</w:t>
            </w:r>
          </w:p>
        </w:tc>
        <w:tc>
          <w:tcPr>
            <w:tcW w:w="2551" w:type="dxa"/>
            <w:vAlign w:val="center"/>
          </w:tcPr>
          <w:p>
            <w:pPr>
              <w:pStyle w:val="15"/>
            </w:pPr>
            <w:r>
              <w:t>524.42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250.34</w:t>
            </w:r>
          </w:p>
        </w:tc>
        <w:tc>
          <w:tcPr>
            <w:tcW w:w="2551" w:type="dxa"/>
            <w:vAlign w:val="center"/>
          </w:tcPr>
          <w:p>
            <w:pPr>
              <w:pStyle w:val="15"/>
            </w:pPr>
            <w:r>
              <w:t>250.34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122.63</w:t>
            </w:r>
          </w:p>
        </w:tc>
        <w:tc>
          <w:tcPr>
            <w:tcW w:w="2551" w:type="dxa"/>
            <w:vAlign w:val="center"/>
          </w:tcPr>
          <w:p>
            <w:pPr>
              <w:pStyle w:val="15"/>
            </w:pPr>
            <w:r>
              <w:t>122.63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46.30</w:t>
            </w:r>
          </w:p>
        </w:tc>
        <w:tc>
          <w:tcPr>
            <w:tcW w:w="2551" w:type="dxa"/>
            <w:vAlign w:val="center"/>
          </w:tcPr>
          <w:p>
            <w:pPr>
              <w:pStyle w:val="15"/>
            </w:pPr>
            <w:r>
              <w:t>46.30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2.40</w:t>
            </w:r>
          </w:p>
        </w:tc>
        <w:tc>
          <w:tcPr>
            <w:tcW w:w="2551" w:type="dxa"/>
            <w:vAlign w:val="center"/>
          </w:tcPr>
          <w:p>
            <w:pPr>
              <w:pStyle w:val="15"/>
            </w:pPr>
            <w:r>
              <w:t>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55.50</w:t>
            </w:r>
          </w:p>
        </w:tc>
        <w:tc>
          <w:tcPr>
            <w:tcW w:w="2551" w:type="dxa"/>
            <w:vAlign w:val="center"/>
          </w:tcPr>
          <w:p>
            <w:pPr>
              <w:pStyle w:val="15"/>
            </w:pPr>
            <w:r>
              <w:t>55.50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14.54</w:t>
            </w:r>
          </w:p>
        </w:tc>
        <w:tc>
          <w:tcPr>
            <w:tcW w:w="2551" w:type="dxa"/>
            <w:vAlign w:val="center"/>
          </w:tcPr>
          <w:p>
            <w:pPr>
              <w:pStyle w:val="15"/>
            </w:pPr>
            <w:r>
              <w:t>14.54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30.30</w:t>
            </w:r>
          </w:p>
        </w:tc>
        <w:tc>
          <w:tcPr>
            <w:tcW w:w="2551" w:type="dxa"/>
            <w:vAlign w:val="center"/>
          </w:tcPr>
          <w:p>
            <w:pPr>
              <w:pStyle w:val="15"/>
            </w:pPr>
            <w:r>
              <w:t>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2.41</w:t>
            </w:r>
          </w:p>
        </w:tc>
        <w:tc>
          <w:tcPr>
            <w:tcW w:w="2551" w:type="dxa"/>
            <w:vAlign w:val="center"/>
          </w:tcPr>
          <w:p>
            <w:pPr>
              <w:pStyle w:val="15"/>
            </w:pPr>
            <w:r>
              <w:t>2.41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52.00</w:t>
            </w:r>
          </w:p>
        </w:tc>
        <w:tc>
          <w:tcPr>
            <w:tcW w:w="2551" w:type="dxa"/>
            <w:vAlign w:val="center"/>
          </w:tcPr>
          <w:p>
            <w:pPr>
              <w:pStyle w:val="15"/>
            </w:pPr>
          </w:p>
        </w:tc>
        <w:tc>
          <w:tcPr>
            <w:tcW w:w="2551"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36.00</w:t>
            </w:r>
          </w:p>
        </w:tc>
        <w:tc>
          <w:tcPr>
            <w:tcW w:w="2551" w:type="dxa"/>
            <w:vAlign w:val="center"/>
          </w:tcPr>
          <w:p>
            <w:pPr>
              <w:pStyle w:val="15"/>
            </w:pPr>
          </w:p>
        </w:tc>
        <w:tc>
          <w:tcPr>
            <w:tcW w:w="2551" w:type="dxa"/>
            <w:vAlign w:val="center"/>
          </w:tcPr>
          <w:p>
            <w:pPr>
              <w:pStyle w:val="15"/>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180.69</w:t>
            </w:r>
          </w:p>
        </w:tc>
        <w:tc>
          <w:tcPr>
            <w:tcW w:w="2551" w:type="dxa"/>
            <w:vAlign w:val="center"/>
          </w:tcPr>
          <w:p>
            <w:pPr>
              <w:pStyle w:val="15"/>
            </w:pPr>
            <w:r>
              <w:t>180.69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16.38</w:t>
            </w:r>
          </w:p>
        </w:tc>
        <w:tc>
          <w:tcPr>
            <w:tcW w:w="2551" w:type="dxa"/>
            <w:vAlign w:val="center"/>
          </w:tcPr>
          <w:p>
            <w:pPr>
              <w:pStyle w:val="15"/>
            </w:pPr>
            <w:r>
              <w:t>16.38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164.31</w:t>
            </w:r>
          </w:p>
        </w:tc>
        <w:tc>
          <w:tcPr>
            <w:tcW w:w="2551" w:type="dxa"/>
            <w:vAlign w:val="center"/>
          </w:tcPr>
          <w:p>
            <w:pPr>
              <w:pStyle w:val="15"/>
            </w:pPr>
            <w:r>
              <w:t>164.31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322无极县商务局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无极县商务局2023年部门预算信息公开情况说明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无极县商务局2023年部门预算信息公开情况说明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、《地方预决算公开操作规程》和《关于进一步推进预算公开工作的实施意见》规定，现将无极县商务局2023年部门预算公开如下：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21"/>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21"/>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21"/>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21"/>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21"/>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1"/>
      </w:pPr>
      <w:r>
        <w:t>（七）贯彻执行国家对外技术贸易、进出口管制以及鼓励技术和成套设备进出口的贸易政策。拟订和推进全县科技兴贸战略，依法监督技术引进、设备进口、国家限制出口技术。</w:t>
      </w:r>
    </w:p>
    <w:p>
      <w:pPr>
        <w:pStyle w:val="21"/>
      </w:pPr>
      <w:r>
        <w:t>（八）会同有关部门贯彻执行国家促进服务出口和服务外包发展的规划、政策，牵头拟订全县服务贸易发展规划并组织实施。</w:t>
      </w:r>
    </w:p>
    <w:p>
      <w:pPr>
        <w:pStyle w:val="21"/>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21"/>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21"/>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21"/>
      </w:pPr>
      <w:r>
        <w:t>（十二）负责上级交办的涉及世贸组织相关工作。贯彻执行上级制定的对自由贸易区国家和地区的经贸规划、政策并组织实施。</w:t>
      </w:r>
    </w:p>
    <w:p>
      <w:pPr>
        <w:pStyle w:val="21"/>
      </w:pPr>
      <w:r>
        <w:t>（十三）负责会展业促进和管理工作，拟订会展发展规划、政策措施并组织实施，组织指导境内技术展览会和赴境外非商业性办展活动。</w:t>
      </w:r>
    </w:p>
    <w:p>
      <w:pPr>
        <w:pStyle w:val="21"/>
      </w:pPr>
      <w:r>
        <w:t>（十四）负责经贸交流合作工作。建立联系国内友好关系城市、负责县外单位在我县设立办事机构的备案工作。</w:t>
      </w:r>
    </w:p>
    <w:p>
      <w:pPr>
        <w:pStyle w:val="21"/>
      </w:pPr>
      <w:r>
        <w:t>（十五）监测分析全县商务运行情况，承担全县商务系统对外宣传和信息发布工作。</w:t>
      </w:r>
    </w:p>
    <w:p>
      <w:pPr>
        <w:pStyle w:val="21"/>
      </w:pPr>
      <w:r>
        <w:t>（十六）负责原商务、粮食系统改制企业资产、人员管理，处理原商务、粮食系统遗留问题，确保稳定，确保国有资产保值不流失。</w:t>
      </w:r>
    </w:p>
    <w:p>
      <w:pPr>
        <w:pStyle w:val="21"/>
      </w:pPr>
      <w:r>
        <w:t>（十七）负责拟订招商引资、利用外资、区域协作中长期发展规划、年度计划并组织实施；研究拟订投资促进政策，承担县投资促进工作领导小组日常工作。</w:t>
      </w:r>
    </w:p>
    <w:p>
      <w:pPr>
        <w:pStyle w:val="21"/>
      </w:pPr>
      <w:r>
        <w:t>（十八）负责建立投资促进工作体系、工作机制，对利用国内外资金和经济技术合作进行统计、汇总、分析。</w:t>
      </w:r>
    </w:p>
    <w:p>
      <w:pPr>
        <w:pStyle w:val="21"/>
      </w:pPr>
      <w:r>
        <w:t>（十九）负责促进资金、技术、人才、项目引进和产业对接，争取招商引资相关政策、资金和项目支持。</w:t>
      </w:r>
    </w:p>
    <w:p>
      <w:pPr>
        <w:pStyle w:val="21"/>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21"/>
      </w:pPr>
      <w:r>
        <w:t>（二十一）负责国（境）内外重大投资促进活动的谋划、方案制定和组织实施；牵头组织专业性、行业性投资促进活动；指导协调各乡镇开展招商活动。</w:t>
      </w:r>
    </w:p>
    <w:p>
      <w:pPr>
        <w:pStyle w:val="21"/>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21"/>
      </w:pPr>
      <w:r>
        <w:t>（二十三）负责对国（境）内外重要客户的联络拓展、重要团组和客户来访考察、洽谈的组织。</w:t>
      </w:r>
    </w:p>
    <w:p>
      <w:pPr>
        <w:pStyle w:val="21"/>
      </w:pPr>
      <w:r>
        <w:t>（二十四）组织和促进委托招商、代理招商、中介招商、专业招商、网上招商等多种形式的招商活动，制订并落实奖励政策；加强招商引资专业人才队伍建设。</w:t>
      </w:r>
    </w:p>
    <w:p>
      <w:pPr>
        <w:pStyle w:val="21"/>
      </w:pPr>
      <w:r>
        <w:t>（二十五）负责引进央企资金、项目及各项合作，促进合作项目的建设，负责为央企服务工作；负责外商投资项目建设的跟踪、协调和服务工作，负责引进资金到位统计工作。</w:t>
      </w:r>
    </w:p>
    <w:p>
      <w:pPr>
        <w:pStyle w:val="21"/>
      </w:pPr>
      <w:r>
        <w:t>（二十六）负责指导全县经济技术交流与区域经济技术合作工作；负责区域间资金、项目、人才、科研成果及产业合作工作，开展与重点大专院校、科研院所合作。</w:t>
      </w:r>
    </w:p>
    <w:p>
      <w:pPr>
        <w:pStyle w:val="21"/>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21"/>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无极县商务局本级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无极县投资促进服务中心</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预算中。无极县商务局机关及所属事业单位的收支包含在部门预算中。</w:t>
      </w:r>
    </w:p>
    <w:p>
      <w:pPr>
        <w:pStyle w:val="22"/>
      </w:pPr>
      <w:r>
        <w:t xml:space="preserve">1、收入说明 </w:t>
      </w:r>
    </w:p>
    <w:p>
      <w:pPr>
        <w:pStyle w:val="22"/>
      </w:pPr>
      <w:r>
        <w:t>反映本部门当年全部收入，2023年</w:t>
      </w:r>
      <w:r>
        <w:rPr>
          <w:rFonts w:hint="eastAsia"/>
          <w:lang w:val="en-US" w:eastAsia="zh-CN"/>
        </w:rPr>
        <w:t>部门</w:t>
      </w:r>
      <w:r>
        <w:t>预算收入1307.11万元，其中：一般公共预算拨款1307.11万元，基金预算拨款0万元，财政专户核拨0万元，其他来源收入0万元。</w:t>
      </w:r>
    </w:p>
    <w:p>
      <w:pPr>
        <w:pStyle w:val="22"/>
      </w:pPr>
      <w:r>
        <w:t>2、支出说明</w:t>
      </w:r>
    </w:p>
    <w:p>
      <w:pPr>
        <w:pStyle w:val="22"/>
      </w:pPr>
      <w:r>
        <w:t>收支预算总表支出栏、基本支出表、项目支出表按经济分类和支出功能分类科目编制，反映商务</w:t>
      </w:r>
      <w:r>
        <w:rPr>
          <w:rFonts w:hint="eastAsia"/>
          <w:lang w:val="en-US" w:eastAsia="zh-CN"/>
        </w:rPr>
        <w:t>局</w:t>
      </w:r>
      <w:r>
        <w:t>年度部门预算中支出预算的总体情况。2023年部门预算支出为1307.11万元，其中基本支出757.11元，包括人员经费705.11万元和日常公用经费52万元；项目支出550万元。</w:t>
      </w:r>
    </w:p>
    <w:p>
      <w:pPr>
        <w:pStyle w:val="22"/>
      </w:pPr>
      <w:r>
        <w:t>3、比上年增减情况</w:t>
      </w:r>
    </w:p>
    <w:p>
      <w:pPr>
        <w:pStyle w:val="22"/>
      </w:pPr>
      <w:r>
        <w:t>2023年部门预算支出较2022年增加686.21万元，其中：基本支出增加136.2</w:t>
      </w:r>
      <w:r>
        <w:rPr>
          <w:rFonts w:hint="eastAsia"/>
          <w:lang w:val="en-US" w:eastAsia="zh-CN"/>
        </w:rPr>
        <w:t>1</w:t>
      </w:r>
      <w:r>
        <w:t>万元，主要是下属单位人员预算合并；项目支出增加550万元</w:t>
      </w:r>
      <w:r>
        <w:rPr>
          <w:rFonts w:hint="eastAsia"/>
          <w:lang w:eastAsia="zh-CN"/>
        </w:rPr>
        <w:t>，</w:t>
      </w:r>
      <w:r>
        <w:rPr>
          <w:rFonts w:hint="eastAsia"/>
          <w:lang w:val="en-US" w:eastAsia="zh-CN"/>
        </w:rPr>
        <w:t>主要是项目增加</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52万元，主要用于保证机关正常运行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highlight w:val="none"/>
        </w:rPr>
      </w:pPr>
      <w:r>
        <w:rPr>
          <w:highlight w:val="none"/>
        </w:rPr>
        <w:t>2023年我部门财政拨款“三公”经费预算安排</w:t>
      </w:r>
      <w:r>
        <w:rPr>
          <w:rFonts w:hint="eastAsia"/>
          <w:highlight w:val="none"/>
          <w:lang w:val="en-US" w:eastAsia="zh-CN"/>
        </w:rPr>
        <w:t>2</w:t>
      </w:r>
      <w:r>
        <w:rPr>
          <w:highlight w:val="none"/>
        </w:rPr>
        <w:t>万元，其中：因公出国（境）费0万元；公务用车购置及运维费</w:t>
      </w:r>
      <w:r>
        <w:rPr>
          <w:rFonts w:hint="eastAsia"/>
          <w:highlight w:val="none"/>
          <w:lang w:val="en-US" w:eastAsia="zh-CN"/>
        </w:rPr>
        <w:t>2</w:t>
      </w:r>
      <w:r>
        <w:rPr>
          <w:highlight w:val="none"/>
        </w:rPr>
        <w:t>万元（其中：公务用车购置费0万元，公务用车运行维护费</w:t>
      </w:r>
      <w:r>
        <w:rPr>
          <w:rFonts w:hint="eastAsia"/>
          <w:highlight w:val="none"/>
          <w:lang w:val="en-US" w:eastAsia="zh-CN"/>
        </w:rPr>
        <w:t>2</w:t>
      </w:r>
      <w:r>
        <w:rPr>
          <w:highlight w:val="none"/>
        </w:rPr>
        <w:t>万元）；公务接待费0万元。“三公”经费比上年增加</w:t>
      </w:r>
      <w:r>
        <w:rPr>
          <w:rFonts w:hint="eastAsia"/>
          <w:highlight w:val="none"/>
          <w:lang w:val="en-US" w:eastAsia="zh-CN"/>
        </w:rPr>
        <w:t>2</w:t>
      </w:r>
      <w:r>
        <w:rPr>
          <w:highlight w:val="none"/>
        </w:rPr>
        <w:t>万元，主要是</w:t>
      </w:r>
      <w:r>
        <w:rPr>
          <w:rFonts w:hint="eastAsia"/>
          <w:highlight w:val="none"/>
          <w:lang w:eastAsia="zh-CN"/>
        </w:rPr>
        <w:t>去</w:t>
      </w:r>
      <w:r>
        <w:rPr>
          <w:highlight w:val="none"/>
        </w:rPr>
        <w:t>年未安排公车运行维护费。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2023年，商务局紧紧围绕县委、县政府中心工作，大力推进外贸与电子商务发展，认真督导商贸项目及市场建设，加强成品油市场监督，进一步整顿和规范市场经济秩序，搞好安全生产和信坊稳定，确保全年无事故，努力完成全年各项工作任务，为我县经济社会大发展</w:t>
      </w:r>
      <w:r>
        <w:rPr>
          <w:rFonts w:hint="eastAsia"/>
          <w:lang w:eastAsia="zh-CN"/>
        </w:rPr>
        <w:t>作出更大贡献</w:t>
      </w:r>
      <w:r>
        <w:t>。</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规范活动程序，提高学习质量。</w:t>
      </w:r>
    </w:p>
    <w:p>
      <w:pPr>
        <w:pStyle w:val="26"/>
      </w:pPr>
      <w:r>
        <w:t>1、开拓国内市场</w:t>
      </w:r>
    </w:p>
    <w:p>
      <w:pPr>
        <w:pStyle w:val="26"/>
      </w:pPr>
      <w:r>
        <w:t>绩效目标：扩大我县产品的知名度，增加国内市场份额。</w:t>
      </w:r>
    </w:p>
    <w:p>
      <w:pPr>
        <w:pStyle w:val="26"/>
      </w:pPr>
      <w:r>
        <w:t>绩效指标：参展企业数量（家）〉3。</w:t>
      </w:r>
    </w:p>
    <w:p>
      <w:pPr>
        <w:pStyle w:val="26"/>
      </w:pPr>
      <w:r>
        <w:t>2、促进商贸流通</w:t>
      </w:r>
    </w:p>
    <w:p>
      <w:pPr>
        <w:pStyle w:val="26"/>
      </w:pPr>
      <w:r>
        <w:t>绩效目标：完善农产品流通和农村市场体系。</w:t>
      </w:r>
    </w:p>
    <w:p>
      <w:pPr>
        <w:pStyle w:val="26"/>
      </w:pPr>
      <w:r>
        <w:t>绩效指标：投资的农产品市场或农村市场销售额增长率〉10%。</w:t>
      </w:r>
    </w:p>
    <w:p>
      <w:pPr>
        <w:pStyle w:val="26"/>
      </w:pPr>
      <w:r>
        <w:t>3、农村电子商务建设</w:t>
      </w:r>
    </w:p>
    <w:p>
      <w:pPr>
        <w:pStyle w:val="26"/>
      </w:pPr>
      <w:r>
        <w:t>绩效目标：推动农村电子商务基础设施建设。</w:t>
      </w:r>
    </w:p>
    <w:p>
      <w:pPr>
        <w:pStyle w:val="26"/>
      </w:pPr>
      <w:r>
        <w:t>绩效指标：农村电商企业营业额增长率〉10%。</w:t>
      </w:r>
    </w:p>
    <w:p>
      <w:pPr>
        <w:pStyle w:val="26"/>
      </w:pPr>
      <w:r>
        <w:t>4、消费市场调控</w:t>
      </w:r>
    </w:p>
    <w:p>
      <w:pPr>
        <w:pStyle w:val="26"/>
      </w:pPr>
      <w:r>
        <w:t>绩效目标：准确监测市场运行情况，及时预测预警。</w:t>
      </w:r>
    </w:p>
    <w:p>
      <w:pPr>
        <w:pStyle w:val="26"/>
      </w:pPr>
      <w:r>
        <w:t>绩效指标：监测信息报送率〉80%。</w:t>
      </w:r>
    </w:p>
    <w:p>
      <w:pPr>
        <w:pStyle w:val="26"/>
      </w:pPr>
      <w:r>
        <w:t>5、招商引资</w:t>
      </w:r>
    </w:p>
    <w:p>
      <w:pPr>
        <w:pStyle w:val="26"/>
      </w:pPr>
      <w:r>
        <w:t>绩效目标：在重点产业引进一批战略支撑项目、龙头企业和协力配套企业。</w:t>
      </w:r>
    </w:p>
    <w:p>
      <w:pPr>
        <w:pStyle w:val="26"/>
      </w:pPr>
      <w:r>
        <w:t>绩效指标：招商引资规模增长率〉1%。</w:t>
      </w:r>
    </w:p>
    <w:p>
      <w:pPr>
        <w:pStyle w:val="26"/>
      </w:pPr>
      <w:r>
        <w:t>6、高新产品进出品管理</w:t>
      </w:r>
    </w:p>
    <w:p>
      <w:pPr>
        <w:pStyle w:val="26"/>
      </w:pPr>
      <w:r>
        <w:t>绩效目标：积极开拓国际、国内两个市场，不断优化产品结构和市场结构。</w:t>
      </w:r>
    </w:p>
    <w:p>
      <w:pPr>
        <w:pStyle w:val="26"/>
      </w:pPr>
      <w:r>
        <w:t>绩效指标：高新产品出口额增长率〉1%。</w:t>
      </w:r>
    </w:p>
    <w:p>
      <w:pPr>
        <w:pStyle w:val="26"/>
      </w:pPr>
      <w:r>
        <w:t xml:space="preserve">7、发展服务贸易和服务外包 </w:t>
      </w:r>
    </w:p>
    <w:p>
      <w:pPr>
        <w:pStyle w:val="26"/>
      </w:pPr>
      <w:r>
        <w:t>绩效目标：转变对外贸易发展方式，提升服务贸易对全县外贸增长的拉动作用。</w:t>
      </w:r>
    </w:p>
    <w:p>
      <w:pPr>
        <w:pStyle w:val="26"/>
      </w:pPr>
      <w:r>
        <w:t xml:space="preserve">绩效指标：组织参展个数（个）〉9。 </w:t>
      </w:r>
    </w:p>
    <w:p>
      <w:pPr>
        <w:pStyle w:val="26"/>
      </w:pPr>
      <w:r>
        <w:t>8、促进对外经贸服务</w:t>
      </w:r>
    </w:p>
    <w:p>
      <w:pPr>
        <w:pStyle w:val="26"/>
      </w:pPr>
      <w:r>
        <w:t xml:space="preserve">绩效目标：确保对外经济合作业务稳定增长。 </w:t>
      </w:r>
    </w:p>
    <w:p>
      <w:pPr>
        <w:pStyle w:val="26"/>
      </w:pPr>
      <w:r>
        <w:t>绩效指标：中小企业出口额增长率持平。</w:t>
      </w:r>
    </w:p>
    <w:p>
      <w:pPr>
        <w:pStyle w:val="26"/>
      </w:pPr>
      <w:r>
        <w:t>9、加快培育外贸竞争新优势</w:t>
      </w:r>
    </w:p>
    <w:p>
      <w:pPr>
        <w:pStyle w:val="26"/>
      </w:pPr>
      <w:r>
        <w:t>绩效目标：优化外贸商品结构、市场结构、主体结构、贸易方式结构。</w:t>
      </w:r>
    </w:p>
    <w:p>
      <w:pPr>
        <w:pStyle w:val="26"/>
      </w:pPr>
      <w:r>
        <w:t xml:space="preserve">绩效指标：外贸综合服务企业增长率持平。 </w:t>
      </w:r>
    </w:p>
    <w:p>
      <w:pPr>
        <w:pStyle w:val="26"/>
      </w:pPr>
      <w:r>
        <w:t>10、综合业务管理</w:t>
      </w:r>
    </w:p>
    <w:p>
      <w:pPr>
        <w:pStyle w:val="26"/>
      </w:pPr>
      <w:r>
        <w:t>绩效目标：保障各项业务工作畅通。</w:t>
      </w:r>
    </w:p>
    <w:p>
      <w:pPr>
        <w:pStyle w:val="26"/>
      </w:pPr>
      <w:r>
        <w:t>绩效指标：综合事务管理工作完成率〉90%。</w:t>
      </w:r>
    </w:p>
    <w:p>
      <w:pPr>
        <w:pStyle w:val="26"/>
      </w:pPr>
      <w:r>
        <w:t>11、综合事务管理</w:t>
      </w:r>
    </w:p>
    <w:p>
      <w:pPr>
        <w:pStyle w:val="26"/>
      </w:pPr>
      <w:r>
        <w:t>绩效目标：保障机关正常工作有效运转。</w:t>
      </w:r>
    </w:p>
    <w:p>
      <w:pPr>
        <w:pStyle w:val="26"/>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7"/>
      </w:pPr>
      <w:r>
        <w:t>加强支出管理，优化支出结构。严格按照预算执行。没预算的坚决不予支出。有预算的项目细化、量化。按照预算执行。</w:t>
      </w:r>
    </w:p>
    <w:p>
      <w:pPr>
        <w:pStyle w:val="27"/>
      </w:pPr>
      <w:r>
        <w:t>加强绩效运行监控。根据预算从拨付、使用、社会效果全程监控。发现问题及时采取措施。全部绩效目标如期保值实现。</w:t>
      </w:r>
    </w:p>
    <w:p>
      <w:pPr>
        <w:pStyle w:val="27"/>
      </w:pPr>
      <w:r>
        <w:t>做好绩效自评。根据上年度预算绩效自评和重点评价工作，在今年的预算执行中及时调整，，优化今年的支出结构，提高2023年度资金使用效益率。</w:t>
      </w:r>
    </w:p>
    <w:p>
      <w:pPr>
        <w:pStyle w:val="27"/>
      </w:pPr>
      <w:r>
        <w:t>规范财务资产管理。通过完善财务管理制度，推行内控制度，严格资金支出审批程序，加强固定资产各项管理工作，确保固定资产登记、使用和报废处置管理。</w:t>
      </w:r>
    </w:p>
    <w:p>
      <w:pPr>
        <w:pStyle w:val="27"/>
      </w:pPr>
      <w:r>
        <w:t>加强内部监督。加强财务管理内部监督制度建设，监控绩效目标的运行情况。对会计资料内部监督和审计。</w:t>
      </w:r>
    </w:p>
    <w:p>
      <w:pPr>
        <w:pStyle w:val="27"/>
      </w:pPr>
      <w:r>
        <w:t xml:space="preserve">加强培训宣传调研。加强会计人员培训和自我学习，提高财务人员素质。加强优化资金配置，提高资金使用效益。        </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1、关于提前下达2023年中央服务业发展资金预算的通知绩效目标表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w:t>
            </w:r>
            <w:r>
              <w:rPr>
                <w:rFonts w:hint="eastAsia"/>
                <w:lang w:eastAsia="zh-CN"/>
              </w:rPr>
              <w:t>.</w:t>
            </w:r>
            <w:r>
              <w:rPr>
                <w:rFonts w:hint="eastAsia"/>
                <w:lang w:val="en-US" w:eastAsia="zh-CN"/>
              </w:rPr>
              <w:t>改善现代服务业公共服务体系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对大型物流配送中心、重点承办企</w:t>
            </w:r>
          </w:p>
        </w:tc>
        <w:tc>
          <w:tcPr>
            <w:tcW w:w="2835" w:type="dxa"/>
            <w:vAlign w:val="center"/>
          </w:tcPr>
          <w:p>
            <w:pPr>
              <w:pStyle w:val="16"/>
            </w:pPr>
            <w:r>
              <w:t>对大型物流配送中心、重点承办企业设备购置和更新</w:t>
            </w:r>
          </w:p>
        </w:tc>
        <w:tc>
          <w:tcPr>
            <w:tcW w:w="2551" w:type="dxa"/>
            <w:vAlign w:val="center"/>
          </w:tcPr>
          <w:p>
            <w:pPr>
              <w:pStyle w:val="16"/>
            </w:pPr>
            <w:r>
              <w:t>2增加设备</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改造完成率</w:t>
            </w:r>
          </w:p>
        </w:tc>
        <w:tc>
          <w:tcPr>
            <w:tcW w:w="2835" w:type="dxa"/>
            <w:vAlign w:val="center"/>
          </w:tcPr>
          <w:p>
            <w:pPr>
              <w:pStyle w:val="16"/>
            </w:pPr>
            <w:r>
              <w:t>提高物流和商贸中心覆盖率</w:t>
            </w:r>
          </w:p>
        </w:tc>
        <w:tc>
          <w:tcPr>
            <w:tcW w:w="2551" w:type="dxa"/>
            <w:vAlign w:val="center"/>
          </w:tcPr>
          <w:p>
            <w:pPr>
              <w:pStyle w:val="16"/>
            </w:pPr>
            <w:r>
              <w:t>≥1提高1个百分点</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逐月推进</w:t>
            </w:r>
          </w:p>
        </w:tc>
        <w:tc>
          <w:tcPr>
            <w:tcW w:w="2835" w:type="dxa"/>
            <w:vAlign w:val="center"/>
          </w:tcPr>
          <w:p>
            <w:pPr>
              <w:pStyle w:val="16"/>
            </w:pPr>
            <w:r>
              <w:t>逐月推进</w:t>
            </w:r>
          </w:p>
        </w:tc>
        <w:tc>
          <w:tcPr>
            <w:tcW w:w="2551" w:type="dxa"/>
            <w:vAlign w:val="center"/>
          </w:tcPr>
          <w:p>
            <w:pPr>
              <w:pStyle w:val="16"/>
            </w:pPr>
            <w:r>
              <w:t>11年内完成</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550完成资金拨付</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经济效益指标</w:t>
            </w:r>
          </w:p>
        </w:tc>
        <w:tc>
          <w:tcPr>
            <w:tcW w:w="2835" w:type="dxa"/>
            <w:vAlign w:val="center"/>
          </w:tcPr>
          <w:p>
            <w:pPr>
              <w:pStyle w:val="16"/>
            </w:pPr>
            <w:r>
              <w:t>促进城乡消费品零售额增长</w:t>
            </w:r>
          </w:p>
        </w:tc>
        <w:tc>
          <w:tcPr>
            <w:tcW w:w="2551" w:type="dxa"/>
            <w:vAlign w:val="center"/>
          </w:tcPr>
          <w:p>
            <w:pPr>
              <w:pStyle w:val="16"/>
            </w:pPr>
            <w:r>
              <w:t>1基本持平</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社会效益指标</w:t>
            </w:r>
          </w:p>
        </w:tc>
        <w:tc>
          <w:tcPr>
            <w:tcW w:w="2835" w:type="dxa"/>
            <w:vAlign w:val="center"/>
          </w:tcPr>
          <w:p>
            <w:pPr>
              <w:pStyle w:val="16"/>
            </w:pPr>
            <w:r>
              <w:t>促进流通，扩大消费潜能</w:t>
            </w:r>
          </w:p>
        </w:tc>
        <w:tc>
          <w:tcPr>
            <w:tcW w:w="2551" w:type="dxa"/>
            <w:vAlign w:val="center"/>
          </w:tcPr>
          <w:p>
            <w:pPr>
              <w:pStyle w:val="16"/>
            </w:pPr>
            <w:r>
              <w:t>1基本持平</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有利于当地生态环境的改善</w:t>
            </w:r>
          </w:p>
        </w:tc>
        <w:tc>
          <w:tcPr>
            <w:tcW w:w="2835" w:type="dxa"/>
            <w:vAlign w:val="center"/>
          </w:tcPr>
          <w:p>
            <w:pPr>
              <w:pStyle w:val="16"/>
            </w:pPr>
            <w:r>
              <w:t>有利于当地生态环境的改善</w:t>
            </w:r>
          </w:p>
        </w:tc>
        <w:tc>
          <w:tcPr>
            <w:tcW w:w="2551" w:type="dxa"/>
            <w:vAlign w:val="center"/>
          </w:tcPr>
          <w:p>
            <w:pPr>
              <w:pStyle w:val="16"/>
            </w:pPr>
            <w:r>
              <w:t>1</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项目持续影响效果</w:t>
            </w:r>
          </w:p>
        </w:tc>
        <w:tc>
          <w:tcPr>
            <w:tcW w:w="2835" w:type="dxa"/>
            <w:vAlign w:val="center"/>
          </w:tcPr>
          <w:p>
            <w:pPr>
              <w:pStyle w:val="16"/>
            </w:pPr>
            <w:r>
              <w:t>群众交通安全意识、文明意识进一步提高</w:t>
            </w:r>
          </w:p>
        </w:tc>
        <w:tc>
          <w:tcPr>
            <w:tcW w:w="2551" w:type="dxa"/>
            <w:vAlign w:val="center"/>
          </w:tcPr>
          <w:p>
            <w:pPr>
              <w:pStyle w:val="16"/>
            </w:pPr>
            <w:r>
              <w:t>≥1</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服务满意度</w:t>
            </w:r>
          </w:p>
        </w:tc>
        <w:tc>
          <w:tcPr>
            <w:tcW w:w="2835" w:type="dxa"/>
            <w:vAlign w:val="center"/>
          </w:tcPr>
          <w:p>
            <w:pPr>
              <w:pStyle w:val="16"/>
            </w:pPr>
            <w:r>
              <w:t>服务满意度</w:t>
            </w:r>
          </w:p>
        </w:tc>
        <w:tc>
          <w:tcPr>
            <w:tcW w:w="2551" w:type="dxa"/>
            <w:vAlign w:val="center"/>
          </w:tcPr>
          <w:p>
            <w:pPr>
              <w:pStyle w:val="16"/>
            </w:pPr>
            <w:r>
              <w:t>≥100</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用户满意度</w:t>
            </w:r>
          </w:p>
        </w:tc>
        <w:tc>
          <w:tcPr>
            <w:tcW w:w="2835" w:type="dxa"/>
            <w:vAlign w:val="center"/>
          </w:tcPr>
          <w:p>
            <w:pPr>
              <w:pStyle w:val="16"/>
            </w:pPr>
            <w:r>
              <w:t>用户满意度</w:t>
            </w:r>
          </w:p>
        </w:tc>
        <w:tc>
          <w:tcPr>
            <w:tcW w:w="2551" w:type="dxa"/>
            <w:vAlign w:val="center"/>
          </w:tcPr>
          <w:p>
            <w:pPr>
              <w:pStyle w:val="16"/>
            </w:pPr>
            <w:r>
              <w:t>≥100</w:t>
            </w:r>
          </w:p>
        </w:tc>
        <w:tc>
          <w:tcPr>
            <w:tcW w:w="2268" w:type="dxa"/>
            <w:vAlign w:val="center"/>
          </w:tcPr>
          <w:p>
            <w:pPr>
              <w:pStyle w:val="16"/>
            </w:pPr>
            <w:r>
              <w:t>冀财建【2022】275号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冀财建【2022】275号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2023年，无极县商务局安排政府采购预算0.00万元。具体内容见下表。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322无极县商务局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无极县商务局（含所属单位）上年末固定资产金额为208.12万元（详见下表）。本年度拟购置固定资产总额为0.00万元，已按要求列入政府采购预算，详见政府采购预算表。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322无极县商务局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53.31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rPr>
          <w:rFonts w:hint="eastAsia"/>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948922"/>
    <w:multiLevelType w:val="singleLevel"/>
    <w:tmpl w:val="9A948922"/>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2CD635A"/>
    <w:rsid w:val="0400181C"/>
    <w:rsid w:val="04F546B3"/>
    <w:rsid w:val="05C9219A"/>
    <w:rsid w:val="069B6FAD"/>
    <w:rsid w:val="08053FA4"/>
    <w:rsid w:val="083C4FD0"/>
    <w:rsid w:val="089F5CF0"/>
    <w:rsid w:val="0B225F08"/>
    <w:rsid w:val="0C9927BA"/>
    <w:rsid w:val="0D0704BE"/>
    <w:rsid w:val="0EE77A81"/>
    <w:rsid w:val="0EF945E0"/>
    <w:rsid w:val="109045FD"/>
    <w:rsid w:val="10FF162B"/>
    <w:rsid w:val="111B4D7F"/>
    <w:rsid w:val="122E65E4"/>
    <w:rsid w:val="13030919"/>
    <w:rsid w:val="14A9241D"/>
    <w:rsid w:val="15AD52A1"/>
    <w:rsid w:val="1A665BE6"/>
    <w:rsid w:val="1B810E6B"/>
    <w:rsid w:val="1C5F2CE0"/>
    <w:rsid w:val="1CE63197"/>
    <w:rsid w:val="1E63457E"/>
    <w:rsid w:val="20570EE5"/>
    <w:rsid w:val="22C45233"/>
    <w:rsid w:val="22FE4842"/>
    <w:rsid w:val="233E5662"/>
    <w:rsid w:val="23A622CB"/>
    <w:rsid w:val="25D1132C"/>
    <w:rsid w:val="296E60FD"/>
    <w:rsid w:val="29AB1DDA"/>
    <w:rsid w:val="2A8D3EA8"/>
    <w:rsid w:val="2AF02FF8"/>
    <w:rsid w:val="2B372E74"/>
    <w:rsid w:val="2BEB2895"/>
    <w:rsid w:val="332901CC"/>
    <w:rsid w:val="34C949CB"/>
    <w:rsid w:val="351333BE"/>
    <w:rsid w:val="35486A4A"/>
    <w:rsid w:val="36625046"/>
    <w:rsid w:val="36A401BC"/>
    <w:rsid w:val="385039D1"/>
    <w:rsid w:val="38896F1D"/>
    <w:rsid w:val="3942025E"/>
    <w:rsid w:val="3BCA3823"/>
    <w:rsid w:val="3BE525AB"/>
    <w:rsid w:val="3CDB255C"/>
    <w:rsid w:val="3CE4076D"/>
    <w:rsid w:val="3E3B45DE"/>
    <w:rsid w:val="3F7755AE"/>
    <w:rsid w:val="3FE85334"/>
    <w:rsid w:val="42107655"/>
    <w:rsid w:val="45570BED"/>
    <w:rsid w:val="4875046F"/>
    <w:rsid w:val="4D0933F1"/>
    <w:rsid w:val="4D6C1936"/>
    <w:rsid w:val="4DB71A19"/>
    <w:rsid w:val="4E363C91"/>
    <w:rsid w:val="4FC24FED"/>
    <w:rsid w:val="4FFC4DDA"/>
    <w:rsid w:val="503E1024"/>
    <w:rsid w:val="509D67D0"/>
    <w:rsid w:val="547801E2"/>
    <w:rsid w:val="556A282A"/>
    <w:rsid w:val="58DD1940"/>
    <w:rsid w:val="599B1691"/>
    <w:rsid w:val="5A91793B"/>
    <w:rsid w:val="5BD76A3D"/>
    <w:rsid w:val="5DB31446"/>
    <w:rsid w:val="5EA70A35"/>
    <w:rsid w:val="620E5A63"/>
    <w:rsid w:val="62C63D9D"/>
    <w:rsid w:val="62D0652C"/>
    <w:rsid w:val="66235C56"/>
    <w:rsid w:val="66A113FF"/>
    <w:rsid w:val="6D5B7A09"/>
    <w:rsid w:val="6DC960AE"/>
    <w:rsid w:val="6F532332"/>
    <w:rsid w:val="6F7900F5"/>
    <w:rsid w:val="708300CC"/>
    <w:rsid w:val="73EB753D"/>
    <w:rsid w:val="781225CE"/>
    <w:rsid w:val="7A564644"/>
    <w:rsid w:val="7B1B7885"/>
    <w:rsid w:val="7C8D3BF7"/>
    <w:rsid w:val="7C971EBE"/>
    <w:rsid w:val="7D7D4E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2023-05-15T13:59:19Z</dcterms:created>
  <dcterms:modified xsi:type="dcterms:W3CDTF">2023-05-15T05:59:19Z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2023-05-15T13:59:23Z</dcterms:created>
  <dcterms:modified xsi:type="dcterms:W3CDTF">2023-05-15T05:59:22Z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2023-05-15T13:59:23Z</dcterms:created>
  <dcterms:modified xsi:type="dcterms:W3CDTF">2023-05-15T05:59:23Z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2023-05-15T13:59:10Z</dcterms:created>
  <dcterms:modified xsi:type="dcterms:W3CDTF">2023-05-15T05:59:10Z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2023-05-15T13:59:11Z</dcterms:created>
  <dcterms:modified xsi:type="dcterms:W3CDTF">2023-05-15T05:59:11Z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2023-05-15T13:59:10Z</dcterms:created>
  <dcterms:modified xsi:type="dcterms:W3CDTF">2023-05-15T05:59:10Z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2023-05-15T13:59:11Z</dcterms:created>
  <dcterms:modified xsi:type="dcterms:W3CDTF">2023-05-15T05:59:11Z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2023-05-15T13:59:14Z</dcterms:created>
  <dcterms:modified xsi:type="dcterms:W3CDTF">2023-05-15T05:59:14Z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2023-05-15T13:59:15Z</dcterms:created>
  <dcterms:modified xsi:type="dcterms:W3CDTF">2023-05-15T05:59:15Z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2023-05-15T13:59:15Z</dcterms:created>
  <dcterms:modified xsi:type="dcterms:W3CDTF">2023-05-15T05:59:15Z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2023-05-15T13:59:19Z</dcterms:created>
  <dcterms:modified xsi:type="dcterms:W3CDTF">2023-05-15T05:59:18Z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71acb45-9bff-4cca-be86-aefb7cf5b555}">
  <ds:schemaRefs/>
</ds:datastoreItem>
</file>

<file path=customXml/itemProps11.xml><?xml version="1.0" encoding="utf-8"?>
<ds:datastoreItem xmlns:ds="http://schemas.openxmlformats.org/officeDocument/2006/customXml" ds:itemID="{b40a7c2c-4992-4398-9474-7feb56d518ac}">
  <ds:schemaRefs/>
</ds:datastoreItem>
</file>

<file path=customXml/itemProps12.xml><?xml version="1.0" encoding="utf-8"?>
<ds:datastoreItem xmlns:ds="http://schemas.openxmlformats.org/officeDocument/2006/customXml" ds:itemID="{ee129eda-d5f6-40ac-af0d-ba3ee74d59a9}">
  <ds:schemaRefs/>
</ds:datastoreItem>
</file>

<file path=customXml/itemProps13.xml><?xml version="1.0" encoding="utf-8"?>
<ds:datastoreItem xmlns:ds="http://schemas.openxmlformats.org/officeDocument/2006/customXml" ds:itemID="{f8fb9d1a-0730-497f-b9aa-d2bfc10c0f2e}">
  <ds:schemaRefs/>
</ds:datastoreItem>
</file>

<file path=customXml/itemProps14.xml><?xml version="1.0" encoding="utf-8"?>
<ds:datastoreItem xmlns:ds="http://schemas.openxmlformats.org/officeDocument/2006/customXml" ds:itemID="{4b9890f9-1371-446d-bbe4-ab37e475d987}">
  <ds:schemaRefs/>
</ds:datastoreItem>
</file>

<file path=customXml/itemProps15.xml><?xml version="1.0" encoding="utf-8"?>
<ds:datastoreItem xmlns:ds="http://schemas.openxmlformats.org/officeDocument/2006/customXml" ds:itemID="{7a85636c-1e07-4817-b1b1-1e40047e7a35}">
  <ds:schemaRefs/>
</ds:datastoreItem>
</file>

<file path=customXml/itemProps16.xml><?xml version="1.0" encoding="utf-8"?>
<ds:datastoreItem xmlns:ds="http://schemas.openxmlformats.org/officeDocument/2006/customXml" ds:itemID="{2ba6fcb5-944b-437e-a996-97643aacadac}">
  <ds:schemaRefs/>
</ds:datastoreItem>
</file>

<file path=customXml/itemProps17.xml><?xml version="1.0" encoding="utf-8"?>
<ds:datastoreItem xmlns:ds="http://schemas.openxmlformats.org/officeDocument/2006/customXml" ds:itemID="{6431c309-8f6b-487c-bce8-76c4f78146e0}">
  <ds:schemaRefs/>
</ds:datastoreItem>
</file>

<file path=customXml/itemProps18.xml><?xml version="1.0" encoding="utf-8"?>
<ds:datastoreItem xmlns:ds="http://schemas.openxmlformats.org/officeDocument/2006/customXml" ds:itemID="{26f53cc8-e85d-415e-b4aa-b06a9ef4f293}">
  <ds:schemaRefs/>
</ds:datastoreItem>
</file>

<file path=customXml/itemProps19.xml><?xml version="1.0" encoding="utf-8"?>
<ds:datastoreItem xmlns:ds="http://schemas.openxmlformats.org/officeDocument/2006/customXml" ds:itemID="{4da4629c-c178-49d7-a372-6b0328c2a73b}">
  <ds:schemaRefs/>
</ds:datastoreItem>
</file>

<file path=customXml/itemProps2.xml><?xml version="1.0" encoding="utf-8"?>
<ds:datastoreItem xmlns:ds="http://schemas.openxmlformats.org/officeDocument/2006/customXml" ds:itemID="{e4768d59-b4f5-486a-8e15-098e1cd9416d}">
  <ds:schemaRefs/>
</ds:datastoreItem>
</file>

<file path=customXml/itemProps20.xml><?xml version="1.0" encoding="utf-8"?>
<ds:datastoreItem xmlns:ds="http://schemas.openxmlformats.org/officeDocument/2006/customXml" ds:itemID="{1c213aa9-bd19-493d-9892-d04349293b2d}">
  <ds:schemaRefs/>
</ds:datastoreItem>
</file>

<file path=customXml/itemProps21.xml><?xml version="1.0" encoding="utf-8"?>
<ds:datastoreItem xmlns:ds="http://schemas.openxmlformats.org/officeDocument/2006/customXml" ds:itemID="{1077b454-f5cc-459e-95c6-c9c97d0fc8c1}">
  <ds:schemaRefs/>
</ds:datastoreItem>
</file>

<file path=customXml/itemProps22.xml><?xml version="1.0" encoding="utf-8"?>
<ds:datastoreItem xmlns:ds="http://schemas.openxmlformats.org/officeDocument/2006/customXml" ds:itemID="{4c2fad83-ce3c-4054-8943-1651dc00a001}">
  <ds:schemaRefs/>
</ds:datastoreItem>
</file>

<file path=customXml/itemProps23.xml><?xml version="1.0" encoding="utf-8"?>
<ds:datastoreItem xmlns:ds="http://schemas.openxmlformats.org/officeDocument/2006/customXml" ds:itemID="{74c26d77-1883-4e48-a9fb-988a35baac74}">
  <ds:schemaRefs/>
</ds:datastoreItem>
</file>

<file path=customXml/itemProps3.xml><?xml version="1.0" encoding="utf-8"?>
<ds:datastoreItem xmlns:ds="http://schemas.openxmlformats.org/officeDocument/2006/customXml" ds:itemID="{8c95a91a-14b3-4e4d-a8c9-edbaaed38d3a}">
  <ds:schemaRefs/>
</ds:datastoreItem>
</file>

<file path=customXml/itemProps4.xml><?xml version="1.0" encoding="utf-8"?>
<ds:datastoreItem xmlns:ds="http://schemas.openxmlformats.org/officeDocument/2006/customXml" ds:itemID="{cb6cd829-4979-4d1b-9ebf-268588e02f33}">
  <ds:schemaRefs/>
</ds:datastoreItem>
</file>

<file path=customXml/itemProps5.xml><?xml version="1.0" encoding="utf-8"?>
<ds:datastoreItem xmlns:ds="http://schemas.openxmlformats.org/officeDocument/2006/customXml" ds:itemID="{b19a2d3b-d439-42c6-8e85-80c94d992cbc}">
  <ds:schemaRefs/>
</ds:datastoreItem>
</file>

<file path=customXml/itemProps6.xml><?xml version="1.0" encoding="utf-8"?>
<ds:datastoreItem xmlns:ds="http://schemas.openxmlformats.org/officeDocument/2006/customXml" ds:itemID="{9340f9e5-b655-4f3f-bd99-24010e8abdc3}">
  <ds:schemaRefs/>
</ds:datastoreItem>
</file>

<file path=customXml/itemProps7.xml><?xml version="1.0" encoding="utf-8"?>
<ds:datastoreItem xmlns:ds="http://schemas.openxmlformats.org/officeDocument/2006/customXml" ds:itemID="{212d9962-991b-4709-a4fc-992da1e58a91}">
  <ds:schemaRefs/>
</ds:datastoreItem>
</file>

<file path=customXml/itemProps8.xml><?xml version="1.0" encoding="utf-8"?>
<ds:datastoreItem xmlns:ds="http://schemas.openxmlformats.org/officeDocument/2006/customXml" ds:itemID="{ae5f397e-e992-47be-a390-2c95a4a8705c}">
  <ds:schemaRefs/>
</ds:datastoreItem>
</file>

<file path=customXml/itemProps9.xml><?xml version="1.0" encoding="utf-8"?>
<ds:datastoreItem xmlns:ds="http://schemas.openxmlformats.org/officeDocument/2006/customXml" ds:itemID="{3599b2c2-df43-4656-9685-e54b2af20f02}">
  <ds:schemaRefs/>
</ds:datastoreItem>
</file>

<file path=docProps/app.xml><?xml version="1.0" encoding="utf-8"?>
<Properties xmlns="http://schemas.openxmlformats.org/officeDocument/2006/extended-properties" xmlns:vt="http://schemas.openxmlformats.org/officeDocument/2006/docPropsVTypes">
  <Pages>95</Pages>
  <Words>19511</Words>
  <Characters>22483</Characters>
  <TotalTime>1</TotalTime>
  <ScaleCrop>false</ScaleCrop>
  <LinksUpToDate>false</LinksUpToDate>
  <CharactersWithSpaces>22927</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2023-05-15T13:59:00Z</dcterms:created>
  <dc:creator>Administrator</dc:creator>
  <cp:lastModifiedBy>Administrator</cp:lastModifiedBy>
  <dcterms:modified xsi:type="dcterms:W3CDTF">2024-06-20T14:08:38Z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112C10053FDA442ABAB5350D7CD15F4F</vt:lpwstr>
  </property>
</Properties>
</file>