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4996" w:firstLineChars="1131"/>
        <w:rPr>
          <w:rFonts w:ascii="宋体" w:cs="宋体"/>
          <w:b/>
          <w:bCs/>
          <w:sz w:val="44"/>
          <w:szCs w:val="44"/>
        </w:rPr>
      </w:pPr>
      <w:bookmarkStart w:id="0" w:name="_GoBack"/>
      <w:bookmarkEnd w:id="0"/>
      <w:r>
        <w:rPr>
          <w:rFonts w:hint="eastAsia" w:ascii="宋体" w:hAnsi="宋体" w:cs="宋体"/>
          <w:b/>
          <w:bCs/>
          <w:sz w:val="44"/>
          <w:szCs w:val="44"/>
        </w:rPr>
        <w:t>无极县交警大队</w:t>
      </w:r>
      <w:r>
        <w:rPr>
          <w:rFonts w:ascii="宋体" w:hAnsi="宋体" w:cs="宋体"/>
          <w:b/>
          <w:bCs/>
          <w:sz w:val="44"/>
          <w:szCs w:val="44"/>
        </w:rPr>
        <w:t xml:space="preserve">    </w:t>
      </w:r>
    </w:p>
    <w:p>
      <w:pPr>
        <w:jc w:val="center"/>
        <w:rPr>
          <w:rFonts w:ascii="宋体" w:cs="宋体"/>
          <w:b/>
          <w:bCs/>
          <w:sz w:val="44"/>
          <w:szCs w:val="44"/>
        </w:rPr>
      </w:pPr>
      <w:r>
        <w:rPr>
          <w:rFonts w:ascii="宋体" w:hAnsi="宋体" w:cs="宋体"/>
          <w:b/>
          <w:bCs/>
          <w:sz w:val="44"/>
          <w:szCs w:val="44"/>
        </w:rPr>
        <w:t>201</w:t>
      </w:r>
      <w:r>
        <w:rPr>
          <w:rFonts w:hint="eastAsia" w:ascii="宋体" w:hAnsi="宋体" w:cs="宋体"/>
          <w:b/>
          <w:bCs/>
          <w:sz w:val="44"/>
          <w:szCs w:val="44"/>
        </w:rPr>
        <w:t>8年部门预算信息公开说明目录</w:t>
      </w:r>
    </w:p>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p>
    <w:p>
      <w:pPr>
        <w:ind w:firstLine="640" w:firstLineChars="200"/>
        <w:rPr>
          <w:rFonts w:ascii="仿宋_GB2312" w:hAnsi="仿宋" w:eastAsia="仿宋_GB2312" w:cs="仿宋"/>
          <w:sz w:val="32"/>
          <w:szCs w:val="32"/>
        </w:rPr>
      </w:pP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、《地方预决算公开操作规程》和《河北省省级预算公开办法》规定，现将无极县交警大队</w:t>
      </w:r>
      <w:r>
        <w:rPr>
          <w:rFonts w:ascii="仿宋_GB2312" w:hAnsi="仿宋" w:eastAsia="仿宋_GB2312" w:cs="仿宋"/>
          <w:sz w:val="32"/>
          <w:szCs w:val="32"/>
        </w:rPr>
        <w:t>201</w:t>
      </w:r>
      <w:r>
        <w:rPr>
          <w:rFonts w:hint="eastAsia" w:ascii="仿宋_GB2312" w:hAnsi="仿宋" w:eastAsia="仿宋_GB2312" w:cs="仿宋"/>
          <w:sz w:val="32"/>
          <w:szCs w:val="32"/>
        </w:rPr>
        <w:t>8年部门预算公开如下：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仿宋_GB2312" w:hAnsi="仿宋_GB2312" w:eastAsia="仿宋_GB2312" w:cs="仿宋_GB2312"/>
          <w:sz w:val="32"/>
          <w:szCs w:val="32"/>
        </w:rPr>
      </w:pPr>
      <w:r>
        <w:rPr>
          <w:rFonts w:hint="eastAsia" w:ascii="仿宋" w:hAnsi="仿宋" w:eastAsia="仿宋" w:cs="仿宋"/>
          <w:sz w:val="32"/>
          <w:szCs w:val="32"/>
        </w:rPr>
        <w:t xml:space="preserve"> </w:t>
      </w:r>
      <w:r>
        <w:rPr>
          <w:rFonts w:hint="eastAsia" w:ascii="仿宋_GB2312" w:hAnsi="仿宋_GB2312" w:eastAsia="仿宋_GB2312" w:cs="仿宋_GB2312"/>
          <w:sz w:val="32"/>
          <w:szCs w:val="32"/>
        </w:rPr>
        <w:t>交警大队是主管全县道路交通安全和交通秩序以及机动车、驾驶人管理工作的职能部门。是负责本地区道路交通的组织、指挥、控制，运用现代管理科学，增强道路交通协调与控制能力。</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维护全县的道路交通秩序，保障道路交通安全畅通。预防和处理交通事故，制止妨碍道路交通安全的行为。预防和打击公路上发生的违法犯罪活动，查缉逃犯及其他犯罪嫌疑人。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巡逻道路：先期处置道路治安、刑事案件和突发性、群体性事件。</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负责对本县公共停车场点的管理，对本县车辆单位和汽车维修、驾驶员培训等行业进行技术监督、检查、指导，负责本县驾驶员安全组织的管理。对县城地区道路交通安全设施的建设、管理，参预公路交通安全设施建设的决策。</w:t>
      </w:r>
    </w:p>
    <w:p>
      <w:pPr>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根据中华人民共和国道路</w:t>
      </w:r>
      <w:r>
        <w:rPr>
          <w:rFonts w:hint="eastAsia" w:ascii="仿宋_GB2312" w:hAnsi="仿宋_GB2312" w:eastAsia="仿宋_GB2312" w:cs="仿宋_GB2312"/>
          <w:sz w:val="32"/>
          <w:szCs w:val="32"/>
          <w:lang w:val="en-US" w:eastAsia="zh-CN"/>
        </w:rPr>
        <w:t>交通</w:t>
      </w:r>
      <w:r>
        <w:rPr>
          <w:rFonts w:hint="eastAsia" w:ascii="仿宋_GB2312" w:hAnsi="仿宋_GB2312" w:eastAsia="仿宋_GB2312" w:cs="仿宋_GB2312"/>
          <w:sz w:val="32"/>
          <w:szCs w:val="32"/>
        </w:rPr>
        <w:t>安全法，对违反交通安全法律、法规、规章的驾驶员和车辆进行纠正、</w:t>
      </w:r>
    </w:p>
    <w:p>
      <w:pPr>
        <w:numPr>
          <w:ilvl w:val="0"/>
          <w:numId w:val="1"/>
        </w:numPr>
        <w:ind w:firstLine="645"/>
        <w:rPr>
          <w:rFonts w:ascii="楷体" w:hAnsi="楷体" w:eastAsia="楷体" w:cs="仿宋_GB2312"/>
          <w:sz w:val="32"/>
          <w:szCs w:val="32"/>
        </w:rPr>
      </w:pPr>
      <w:r>
        <w:rPr>
          <w:rFonts w:hint="eastAsia" w:ascii="楷体" w:hAnsi="楷体" w:eastAsia="楷体" w:cs="仿宋_GB2312"/>
          <w:sz w:val="32"/>
          <w:szCs w:val="32"/>
        </w:rPr>
        <w:t>机构设置</w:t>
      </w:r>
    </w:p>
    <w:p>
      <w:pPr>
        <w:jc w:val="center"/>
        <w:outlineLvl w:val="0"/>
        <w:rPr>
          <w:rFonts w:ascii="仿宋" w:hAnsi="仿宋" w:eastAsia="仿宋" w:cs="仿宋"/>
          <w:b/>
          <w:bCs/>
          <w:sz w:val="32"/>
          <w:szCs w:val="32"/>
        </w:rPr>
      </w:pPr>
    </w:p>
    <w:p>
      <w:pPr>
        <w:jc w:val="center"/>
        <w:outlineLvl w:val="0"/>
        <w:rPr>
          <w:rFonts w:ascii="仿宋" w:hAnsi="仿宋" w:eastAsia="仿宋" w:cs="仿宋"/>
          <w:b/>
          <w:bCs/>
          <w:sz w:val="32"/>
          <w:szCs w:val="32"/>
        </w:rPr>
      </w:pPr>
    </w:p>
    <w:p>
      <w:pPr>
        <w:jc w:val="center"/>
        <w:outlineLvl w:val="0"/>
        <w:rPr>
          <w:rFonts w:ascii="仿宋" w:hAnsi="仿宋" w:eastAsia="仿宋" w:cs="仿宋"/>
          <w:b/>
          <w:bCs/>
          <w:sz w:val="32"/>
          <w:szCs w:val="32"/>
        </w:rPr>
      </w:pPr>
    </w:p>
    <w:p>
      <w:pPr>
        <w:jc w:val="center"/>
        <w:outlineLvl w:val="0"/>
        <w:rPr>
          <w:rFonts w:ascii="仿宋" w:hAnsi="仿宋" w:eastAsia="仿宋" w:cs="仿宋"/>
          <w:b/>
          <w:bCs/>
          <w:sz w:val="32"/>
          <w:szCs w:val="32"/>
        </w:rPr>
      </w:pPr>
      <w:r>
        <w:rPr>
          <w:rFonts w:hint="eastAsia" w:ascii="仿宋" w:hAnsi="仿宋" w:eastAsia="仿宋" w:cs="仿宋"/>
          <w:b/>
          <w:bCs/>
          <w:sz w:val="32"/>
          <w:szCs w:val="32"/>
        </w:rPr>
        <w:t>部门机构设置情况</w:t>
      </w:r>
    </w:p>
    <w:p>
      <w:pPr>
        <w:rPr>
          <w:rFonts w:ascii="楷体" w:hAnsi="楷体" w:eastAsia="楷体" w:cs="仿宋_GB2312"/>
          <w:sz w:val="32"/>
          <w:szCs w:val="32"/>
        </w:rPr>
      </w:pPr>
    </w:p>
    <w:tbl>
      <w:tblPr>
        <w:tblStyle w:val="4"/>
        <w:tblW w:w="113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832"/>
        <w:gridCol w:w="1875"/>
        <w:gridCol w:w="38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7"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单位名称</w:t>
            </w:r>
          </w:p>
        </w:tc>
        <w:tc>
          <w:tcPr>
            <w:tcW w:w="1832"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单位性质</w:t>
            </w:r>
          </w:p>
        </w:tc>
        <w:tc>
          <w:tcPr>
            <w:tcW w:w="1875"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单位规格</w:t>
            </w:r>
          </w:p>
        </w:tc>
        <w:tc>
          <w:tcPr>
            <w:tcW w:w="3862"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7" w:type="dxa"/>
            <w:vMerge w:val="continue"/>
            <w:vAlign w:val="center"/>
          </w:tcPr>
          <w:p>
            <w:pPr>
              <w:spacing w:line="300" w:lineRule="exact"/>
              <w:jc w:val="left"/>
              <w:outlineLvl w:val="0"/>
              <w:rPr>
                <w:sz w:val="28"/>
                <w:szCs w:val="28"/>
              </w:rPr>
            </w:pPr>
          </w:p>
        </w:tc>
        <w:tc>
          <w:tcPr>
            <w:tcW w:w="1832" w:type="dxa"/>
            <w:vMerge w:val="continue"/>
            <w:vAlign w:val="center"/>
          </w:tcPr>
          <w:p>
            <w:pPr>
              <w:spacing w:line="300" w:lineRule="exact"/>
              <w:jc w:val="left"/>
              <w:outlineLvl w:val="0"/>
              <w:rPr>
                <w:sz w:val="28"/>
                <w:szCs w:val="28"/>
              </w:rPr>
            </w:pPr>
          </w:p>
        </w:tc>
        <w:tc>
          <w:tcPr>
            <w:tcW w:w="1875" w:type="dxa"/>
            <w:vMerge w:val="continue"/>
            <w:vAlign w:val="center"/>
          </w:tcPr>
          <w:p>
            <w:pPr>
              <w:spacing w:line="300" w:lineRule="exact"/>
              <w:jc w:val="left"/>
              <w:outlineLvl w:val="0"/>
              <w:rPr>
                <w:sz w:val="28"/>
                <w:szCs w:val="28"/>
              </w:rPr>
            </w:pPr>
          </w:p>
        </w:tc>
        <w:tc>
          <w:tcPr>
            <w:tcW w:w="3862" w:type="dxa"/>
            <w:vMerge w:val="continue"/>
            <w:vAlign w:val="center"/>
          </w:tcPr>
          <w:p>
            <w:pPr>
              <w:spacing w:line="300" w:lineRule="exact"/>
              <w:jc w:val="left"/>
              <w:outlineLvl w:val="0"/>
              <w:rPr>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3827" w:type="dxa"/>
            <w:vAlign w:val="center"/>
          </w:tcPr>
          <w:p>
            <w:pPr>
              <w:spacing w:line="300" w:lineRule="exact"/>
              <w:jc w:val="left"/>
              <w:rPr>
                <w:rFonts w:ascii="方正书宋_GBK" w:eastAsia="方正书宋_GBK"/>
                <w:sz w:val="28"/>
                <w:szCs w:val="28"/>
              </w:rPr>
            </w:pPr>
            <w:r>
              <w:rPr>
                <w:rFonts w:hint="eastAsia" w:ascii="方正书宋_GBK" w:eastAsia="方正书宋_GBK"/>
                <w:sz w:val="28"/>
                <w:szCs w:val="28"/>
              </w:rPr>
              <w:t>无极县公安交通警察大队</w:t>
            </w:r>
          </w:p>
        </w:tc>
        <w:tc>
          <w:tcPr>
            <w:tcW w:w="1832"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行政</w:t>
            </w:r>
          </w:p>
        </w:tc>
        <w:tc>
          <w:tcPr>
            <w:tcW w:w="1875"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正科级</w:t>
            </w:r>
          </w:p>
        </w:tc>
        <w:tc>
          <w:tcPr>
            <w:tcW w:w="3862"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财政拨款</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numPr>
          <w:ilvl w:val="0"/>
          <w:numId w:val="2"/>
        </w:numPr>
        <w:ind w:firstLine="600" w:firstLineChars="20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无极县交警大队2018年预算收入总计1348万元，其中，一般公共预算收入1348万元、政府性基金收入0万元、财政专户核拨收入0万元，其他来源收入0万元。</w:t>
      </w:r>
    </w:p>
    <w:p>
      <w:pPr>
        <w:numPr>
          <w:ilvl w:val="0"/>
          <w:numId w:val="3"/>
        </w:numPr>
        <w:ind w:firstLine="645"/>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2018年预算支出1348万元。其中，人员经费支出249万元，正常公用经费344万元，项目支出755万元。</w:t>
      </w:r>
    </w:p>
    <w:p>
      <w:pPr>
        <w:numPr>
          <w:ilvl w:val="0"/>
          <w:numId w:val="4"/>
        </w:numPr>
        <w:ind w:firstLine="645"/>
        <w:rPr>
          <w:rFonts w:ascii="楷体" w:hAnsi="楷体" w:eastAsia="楷体"/>
          <w:sz w:val="32"/>
          <w:szCs w:val="32"/>
        </w:rPr>
      </w:pPr>
      <w:r>
        <w:rPr>
          <w:rFonts w:hint="eastAsia" w:ascii="楷体" w:hAnsi="楷体" w:eastAsia="楷体"/>
          <w:sz w:val="32"/>
          <w:szCs w:val="32"/>
        </w:rPr>
        <w:t>比上年增减情况</w:t>
      </w:r>
    </w:p>
    <w:p>
      <w:pPr>
        <w:rPr>
          <w:rFonts w:ascii="楷体" w:hAnsi="楷体" w:eastAsia="楷体"/>
          <w:sz w:val="32"/>
          <w:szCs w:val="32"/>
        </w:rPr>
      </w:pPr>
      <w:r>
        <w:rPr>
          <w:rFonts w:hint="eastAsia" w:ascii="仿宋_GB2312" w:eastAsia="仿宋_GB2312" w:cs="仿宋_GB2312"/>
          <w:bCs/>
          <w:sz w:val="32"/>
          <w:szCs w:val="32"/>
        </w:rPr>
        <w:t xml:space="preserve">    无极县交警大队2018年预算收入总计1348万元，与2017年相比增加235.16万元，增加原因为项目支出经费增加。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8年机关运行经费共计安排344</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万元，主要用于我部门日常办公，办公区水电费、日常维修，办公用房取暖费，办公用房物业管理费等日常运行支出。</w:t>
      </w:r>
    </w:p>
    <w:p>
      <w:pPr>
        <w:numPr>
          <w:ilvl w:val="0"/>
          <w:numId w:val="5"/>
        </w:num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财政拨款“三公”经费预算情况及增减变化原因</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2018年本部门安排“三公”经费0万元，比2017年减少50万元。其中：</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1、因公出国（境）费0万元，与上年持平，无增减变化。</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2、公务用车购置0万元，与上年持平,无增减变化；运行维护费 50万元，比2017年减少50万元，原因是取消公务用车。</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3、公务接待费0万元，与上年持平，无增减变化。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对交通参与者（机动车及其驾驶员、行人）实行管理，并努力创造良好的道路交通环境。保障国家和人民生命财产在参与交通活动中的安全，维护政治稳定和社会安定，更好地为经济建设服务。</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维护交通秩序，确保道路交通安全畅通</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2018年，交警大队制定了各项交通管理职能绩效目标，在推动科学发展、维护社会稳定中发挥重要作用。县交警大队对照下达了：</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1、维护全县良好的道路交通秩序，缓解城市交通拥堵，提高道路通行能力；加强公路巡警建设，提升道路交通秩序管理水平。</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2、提高全县交通事故处理工作规范化、科学化水平，让群众在每起案件中都感受到公平正义，努力实现“事故少、秩序好、道路畅通、群众满意”的总体工作目标。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3、通过对客货运输企业和职业驾驶人的源头监管，有效预防和杜绝重特大交通事故的发生。</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4、完善地方与高速联动机制，缓解城市拥堵，县镇交通混乱，减少主要路段交通事故。</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5、掌握全县各类机动车辆的保有量及车辆技术参数和机动车安全技术检验，加大对二手车和报废车的管控力度，确保无故障车上路行驶。</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6、规范驾驶人考试工作，加大资金投入建设交警自有的考试场；规范考官监考工作，预防驾驶考试中各类违法违纪的现象发生。</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7、掌握全县各类机动车驾驶人底数，杜绝无证驾驶或不按准驾车型驾驶机动车上路等违规现象的发生。</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等目标任务，逐项跟踪督促落实，采取年终考评与平时督查相结合、现场考评与考评组测评相结合方式，对各项绩效目标任务完成情况进行了全面考评。考评中更加注重过程控制和整体效果体现。进行等级设置，按照目标制定的评价体系，在各项事务管理达标中设置出“优、良、中、差”四个档次，力争达优。</w:t>
      </w:r>
    </w:p>
    <w:p>
      <w:pPr>
        <w:ind w:firstLine="645"/>
        <w:rPr>
          <w:rFonts w:ascii="楷体" w:hAnsi="楷体" w:eastAsia="楷体"/>
          <w:sz w:val="32"/>
          <w:szCs w:val="32"/>
        </w:rPr>
      </w:pPr>
      <w:r>
        <w:rPr>
          <w:rFonts w:hint="eastAsia" w:ascii="楷体" w:hAnsi="楷体" w:eastAsia="楷体"/>
          <w:sz w:val="32"/>
          <w:szCs w:val="32"/>
        </w:rPr>
        <w:t>（三）部门职责</w:t>
      </w:r>
      <w:r>
        <w:rPr>
          <w:rFonts w:ascii="楷体" w:hAnsi="楷体" w:eastAsia="楷体"/>
          <w:sz w:val="32"/>
          <w:szCs w:val="32"/>
        </w:rPr>
        <w:t>-</w:t>
      </w:r>
      <w:r>
        <w:rPr>
          <w:rFonts w:hint="eastAsia" w:ascii="楷体" w:hAnsi="楷体" w:eastAsia="楷体"/>
          <w:sz w:val="32"/>
          <w:szCs w:val="32"/>
        </w:rPr>
        <w:t>工作活动绩效目标</w:t>
      </w:r>
    </w:p>
    <w:p>
      <w:pPr>
        <w:ind w:firstLine="645"/>
        <w:jc w:val="center"/>
        <w:rPr>
          <w:rFonts w:ascii="仿宋" w:hAnsi="仿宋" w:eastAsia="仿宋"/>
          <w:sz w:val="32"/>
          <w:szCs w:val="32"/>
        </w:rPr>
      </w:pPr>
      <w:r>
        <w:rPr>
          <w:rFonts w:hint="eastAsia" w:ascii="仿宋" w:hAnsi="仿宋" w:eastAsia="仿宋"/>
          <w:sz w:val="32"/>
          <w:szCs w:val="32"/>
        </w:rPr>
        <w:t>部门职责</w:t>
      </w:r>
      <w:r>
        <w:rPr>
          <w:rFonts w:ascii="仿宋" w:hAnsi="仿宋" w:eastAsia="仿宋"/>
          <w:sz w:val="32"/>
          <w:szCs w:val="32"/>
        </w:rPr>
        <w:t>-</w:t>
      </w:r>
      <w:r>
        <w:rPr>
          <w:rFonts w:hint="eastAsia" w:ascii="仿宋" w:hAnsi="仿宋" w:eastAsia="仿宋"/>
          <w:sz w:val="32"/>
          <w:szCs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451</w:t>
            </w:r>
            <w:r>
              <w:rPr>
                <w:rFonts w:hint="eastAsia" w:ascii="方正小标宋_GBK" w:eastAsia="方正小标宋_GBK"/>
                <w:sz w:val="24"/>
              </w:rPr>
              <w:t>交警大队</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道路交通管理</w:t>
            </w:r>
          </w:p>
        </w:tc>
        <w:tc>
          <w:tcPr>
            <w:tcW w:w="1276" w:type="dxa"/>
            <w:vAlign w:val="center"/>
          </w:tcPr>
          <w:p>
            <w:pPr>
              <w:spacing w:line="300" w:lineRule="exact"/>
              <w:jc w:val="left"/>
              <w:rPr>
                <w:rFonts w:ascii="方正书宋_GBK" w:eastAsia="方正书宋_GBK"/>
              </w:rPr>
            </w:pPr>
            <w:r>
              <w:rPr>
                <w:rFonts w:ascii="方正书宋_GBK" w:eastAsia="方正书宋_GBK"/>
              </w:rPr>
              <w:t>28.00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对国县道、县乡道路实行统一科学管理，确保道路交通安全畅通、高效便捷。</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保障道路交通安全、畅通、有序，为全县经济社会发展提供良好的道路交通环境。</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道路交通秩序管理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28.00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实施新型城镇化建设畅通工程，制定城市道路中长期发展规划，加大城市道路监控系统和道路安全设施建设，推进公路巡警中队建设，执行暑期及两会安保任务。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维护全省良好的道路交通秩序，缓解城市交通拥堵，提高道路通行能力；加强公路巡警中队建设，提升道路交通秩序管理水平。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常发拥堵路段数降低率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交通拥堵路段里程缓解率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巡警警力覆盖率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交通拥堵持续时间减低率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道路交通事故处理与预防</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组织处理道路交通事故和重大交通事故肇事逃逸案件的查缉侦破；对疑难交通事故责任认定进行审核；组织开展事故分析研判和预防对策的研究及隐患排查等预防工作；妥善处理由交通事故引发的信访工作。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提高全省交通事故处理工作规范化、科学化水平，让群众在每起案件中都感受到公平正义，努力实现</w:t>
            </w:r>
            <w:r>
              <w:rPr>
                <w:rFonts w:hint="cs" w:ascii="方正书宋_GBK" w:eastAsia="方正书宋_GBK"/>
              </w:rPr>
              <w:t>“</w:t>
            </w:r>
            <w:r>
              <w:rPr>
                <w:rFonts w:hint="eastAsia" w:ascii="方正书宋_GBK" w:eastAsia="方正书宋_GBK"/>
              </w:rPr>
              <w:t>事故少、秩序好、道路畅通、群众满意</w:t>
            </w:r>
            <w:r>
              <w:rPr>
                <w:rFonts w:hint="cs" w:ascii="方正书宋_GBK" w:eastAsia="方正书宋_GBK"/>
              </w:rPr>
              <w:t>”</w:t>
            </w:r>
            <w:r>
              <w:rPr>
                <w:rFonts w:hint="eastAsia" w:ascii="方正书宋_GBK" w:eastAsia="方正书宋_GBK"/>
              </w:rPr>
              <w:t>的总体工作目标。</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交通肇事逃逸案件侦破率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交通事故下降率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交通事故处理办结率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信访案件办结率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运输主体源头监管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开展源头监管的信息研判工作，对道路交通安全责任单位进行监管，通过监管平台，加大对重点车辆和驾驶人的监管力度。</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通过对客货运输企业和职业驾驶人的源头监管，有效预防和杜绝重特大交通事故的发生。</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重特大交通事故减低率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两客一危</w:t>
            </w:r>
            <w:r>
              <w:rPr>
                <w:rFonts w:hint="cs" w:ascii="方正书宋_GBK" w:eastAsia="方正书宋_GBK"/>
              </w:rPr>
              <w:t>”</w:t>
            </w:r>
            <w:r>
              <w:rPr>
                <w:rFonts w:hint="eastAsia" w:ascii="方正书宋_GBK" w:eastAsia="方正书宋_GBK"/>
              </w:rPr>
              <w:t>运输企业监管覆盖率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道路交通指挥调度管理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完善总队、市、县三级指挥中心建设，制定协调联动及各种应急预案，加强路面监控和值班备勤管理。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缓解城镇拥堵，城镇交通混乱，减少主要路段交通事故。</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交通事故、应急事项指挥处置及时率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路口、主要路段视频监控率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车辆和驾驶人管理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根据《中华人民共和国道路交通安全法》有关规定，依法对交通参与的主体机动车和驾驶人实施有效监管，确保人民群众安全出行和社会生活安定。</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规范机动车登记行为，保护公民、法人和其他组织的合法权益，促进经济、社会发展，保障道路交通安全；促进提高机动车驾驶人安全文明驾驶素质，全力预防和减少重特大道路交通事故。</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机动车管理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按照公安部号部令，开展对全省机动车辆的登记管理、档案管理和牌证管理和固封装置安装工作，完善各项便民利民措施。</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掌握全县各类机动车辆的保有量及车辆技术参数和机动车安全技术检验，加大对二手车和报废车的管控力度，确保无故障车上路行驶。</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机动车注册、年检遗漏率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互联网平台应用率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考试中心建设及管理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按照公安部要求，完成对驾驶考试各科目考场的新建或规范完善工作。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规范驾驶人考试工作，加大资金投入建设交警自有的考试场；规范考官监考工作，预防驾驶考试中各类违法违纪的现象发生。</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参考学员满意度</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驾驶考试中各类违法违纪现象降低率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考试中心设施设备故障率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驾驶人管理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按照公安部号部令，开展对全省机动车驾驶人的证件和档案管理，组织对初学和违章记满分的驾驶人考试及驾照发放工作，完善便民利民措施。</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掌握全县各类机动车驾驶人底数，杜绝无证驾驶或不按准驾车型驾驶机动车上路等违规现象的发生</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驾驶人员注册、年检遗漏率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交通事故造成的财产损失下降率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驾驶人互联网平台注册率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业务网络监管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通过机动车和驾驶证管理系统、驾驶人考试监管系统、机动车查验监管系统、号牌管理监管系统对车驾管业务进行监管。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利用监控系统对机动车、驾驶人业务进行监管，防止异常业务、违规业务的发生。</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系统录入信息准确率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提高智能卡口设备应用率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纠正异常业务、违规业务率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交管政务管理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交通法制建设与安全宣传、交警系统行政性收费和经费保障工作、队伍建设工作指导和调研工作，组织、规划交通管理信息化建设与应用、通讯网建设和交通管理信息系统建设推广，开展新技术推广应用工作；做好道路交通事故社会救助基金的统筹、使用、管理、发放和垫付追偿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加强交通法制建设与安全宣传力度；强化交警的宗旨意识，提高执法水平和管理服务社会能力，为交管事业健康发展提供各项有力保障；合理、正确发放道路交通事故社会救助基金。</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道路交通安全宣传</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道路交通安全宣传</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道路交通安全宣传</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机动车及驾驶人违章下降率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受教育人数（人）</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宣传次数（次）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队伍建设与管理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队伍建设与管理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队伍建设与管理</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民警执法规范程度</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业务受训人数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业务培训次数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交通法制建设与安全宣传、交警系统行政性收费和经费保障工作、队伍建设工作，组织、规划交通管理信息化建设与应用、通讯网建设和交通管理信息系统建设推广，开展新技术推广应用工作；做好道路交通事故社会救助基金合理使用和发放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加强交通法制建设与安全宣传力度；强化交警的宗旨意识，提高执法水平和管理服务社会能力，为交管事业健康发展提供各项有力保障；合理、正确发放道路交通事故社会救助基金。</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各项交管综合业务管理工作和保障工作完成率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bl>
    <w:p>
      <w:pPr>
        <w:ind w:firstLine="645"/>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黑体" w:hAnsi="黑体" w:eastAsia="黑体" w:cs="仿宋_GB2312"/>
          <w:sz w:val="32"/>
          <w:szCs w:val="32"/>
        </w:rPr>
      </w:pPr>
      <w:r>
        <w:rPr>
          <w:rFonts w:ascii="仿宋_GB2312" w:eastAsia="仿宋_GB2312"/>
          <w:sz w:val="30"/>
          <w:szCs w:val="30"/>
        </w:rPr>
        <w:t>201</w:t>
      </w:r>
      <w:r>
        <w:rPr>
          <w:rFonts w:hint="eastAsia" w:ascii="仿宋_GB2312" w:eastAsia="仿宋_GB2312"/>
          <w:sz w:val="30"/>
          <w:szCs w:val="30"/>
        </w:rPr>
        <w:t>8年我部门安排政府采购预算0万元</w:t>
      </w:r>
      <w:r>
        <w:rPr>
          <w:rFonts w:hint="eastAsia" w:ascii="黑体" w:hAnsi="黑体" w:eastAsia="黑体" w:cs="仿宋_GB2312"/>
          <w:sz w:val="32"/>
          <w:szCs w:val="32"/>
        </w:rPr>
        <w:t>。</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无极县交警大队上年末固定资产金额为 </w:t>
      </w:r>
      <w:r>
        <w:rPr>
          <w:rFonts w:ascii="仿宋_GB2312" w:hAnsi="仿宋_GB2312" w:eastAsia="仿宋_GB2312" w:cs="仿宋_GB2312"/>
          <w:sz w:val="32"/>
          <w:szCs w:val="32"/>
        </w:rPr>
        <w:t>2066</w:t>
      </w:r>
      <w:r>
        <w:rPr>
          <w:rFonts w:hint="eastAsia" w:ascii="仿宋_GB2312" w:hAnsi="仿宋_GB2312" w:eastAsia="仿宋_GB2312" w:cs="仿宋_GB2312"/>
          <w:sz w:val="32"/>
          <w:szCs w:val="32"/>
        </w:rPr>
        <w:t xml:space="preserve"> 万元（详见下表）。本年度拟购置固定资产金额为0万元。</w:t>
      </w:r>
    </w:p>
    <w:p>
      <w:pPr>
        <w:ind w:firstLine="688" w:firstLineChars="215"/>
        <w:rPr>
          <w:rFonts w:ascii="仿宋" w:hAnsi="仿宋" w:eastAsia="仿宋" w:cs="仿宋"/>
          <w:sz w:val="32"/>
          <w:szCs w:val="32"/>
        </w:rPr>
      </w:pPr>
    </w:p>
    <w:p>
      <w:pPr>
        <w:ind w:firstLine="688" w:firstLineChars="215"/>
        <w:rPr>
          <w:rFonts w:ascii="仿宋" w:hAnsi="仿宋" w:eastAsia="仿宋" w:cs="仿宋"/>
          <w:sz w:val="32"/>
          <w:szCs w:val="32"/>
        </w:rPr>
      </w:pPr>
    </w:p>
    <w:p>
      <w:pPr>
        <w:ind w:firstLine="688" w:firstLineChars="215"/>
        <w:rPr>
          <w:rFonts w:ascii="仿宋" w:hAnsi="仿宋" w:eastAsia="仿宋" w:cs="仿宋"/>
          <w:sz w:val="32"/>
          <w:szCs w:val="32"/>
        </w:rPr>
      </w:pPr>
    </w:p>
    <w:p>
      <w:pPr>
        <w:ind w:firstLine="688" w:firstLineChars="215"/>
        <w:rPr>
          <w:rFonts w:ascii="仿宋" w:hAnsi="仿宋" w:eastAsia="仿宋" w:cs="仿宋"/>
          <w:sz w:val="32"/>
          <w:szCs w:val="32"/>
        </w:rPr>
      </w:pPr>
    </w:p>
    <w:p>
      <w:pPr>
        <w:ind w:firstLine="688" w:firstLineChars="215"/>
        <w:rPr>
          <w:rFonts w:ascii="仿宋" w:hAnsi="仿宋" w:eastAsia="仿宋" w:cs="仿宋"/>
          <w:sz w:val="32"/>
          <w:szCs w:val="32"/>
        </w:rPr>
      </w:pPr>
    </w:p>
    <w:p>
      <w:pPr>
        <w:ind w:firstLine="688" w:firstLineChars="215"/>
        <w:rPr>
          <w:rFonts w:ascii="仿宋" w:hAnsi="仿宋" w:eastAsia="仿宋" w:cs="仿宋"/>
          <w:sz w:val="32"/>
          <w:szCs w:val="32"/>
        </w:rPr>
      </w:pPr>
    </w:p>
    <w:tbl>
      <w:tblPr>
        <w:tblStyle w:val="4"/>
        <w:tblW w:w="11808" w:type="dxa"/>
        <w:tblInd w:w="1040" w:type="dxa"/>
        <w:tblLayout w:type="fixed"/>
        <w:tblCellMar>
          <w:top w:w="0" w:type="dxa"/>
          <w:left w:w="108" w:type="dxa"/>
          <w:bottom w:w="0" w:type="dxa"/>
          <w:right w:w="108" w:type="dxa"/>
        </w:tblCellMar>
      </w:tblPr>
      <w:tblGrid>
        <w:gridCol w:w="4158"/>
        <w:gridCol w:w="2681"/>
        <w:gridCol w:w="4969"/>
      </w:tblGrid>
      <w:tr>
        <w:tblPrEx>
          <w:tblCellMar>
            <w:top w:w="0" w:type="dxa"/>
            <w:left w:w="108" w:type="dxa"/>
            <w:bottom w:w="0" w:type="dxa"/>
            <w:right w:w="108" w:type="dxa"/>
          </w:tblCellMar>
        </w:tblPrEx>
        <w:trPr>
          <w:trHeight w:val="705" w:hRule="atLeast"/>
        </w:trPr>
        <w:tc>
          <w:tcPr>
            <w:tcW w:w="11808" w:type="dxa"/>
            <w:gridSpan w:val="3"/>
            <w:tcBorders>
              <w:top w:val="nil"/>
              <w:left w:val="nil"/>
              <w:bottom w:val="nil"/>
              <w:right w:val="nil"/>
            </w:tcBorders>
            <w:vAlign w:val="center"/>
          </w:tcPr>
          <w:p>
            <w:pPr>
              <w:widowControl/>
              <w:jc w:val="center"/>
              <w:rPr>
                <w:rFonts w:ascii="宋体" w:hAnsi="宋体" w:cs="宋体"/>
                <w:b/>
                <w:bCs/>
                <w:kern w:val="0"/>
                <w:sz w:val="32"/>
                <w:szCs w:val="32"/>
              </w:rPr>
            </w:pPr>
          </w:p>
          <w:p>
            <w:pPr>
              <w:widowControl/>
              <w:jc w:val="center"/>
              <w:rPr>
                <w:rFonts w:ascii="宋体"/>
                <w:b/>
                <w:bCs/>
                <w:kern w:val="0"/>
                <w:sz w:val="32"/>
                <w:szCs w:val="32"/>
              </w:rPr>
            </w:pPr>
            <w:r>
              <w:rPr>
                <w:rFonts w:hint="eastAsia" w:ascii="宋体" w:hAnsi="宋体" w:cs="宋体"/>
                <w:b/>
                <w:bCs/>
                <w:kern w:val="0"/>
                <w:sz w:val="32"/>
                <w:szCs w:val="32"/>
              </w:rPr>
              <w:t>无极县交警大队固定资产占用情况表</w:t>
            </w:r>
          </w:p>
        </w:tc>
      </w:tr>
      <w:tr>
        <w:tblPrEx>
          <w:tblCellMar>
            <w:top w:w="0" w:type="dxa"/>
            <w:left w:w="108" w:type="dxa"/>
            <w:bottom w:w="0" w:type="dxa"/>
            <w:right w:w="108" w:type="dxa"/>
          </w:tblCellMar>
        </w:tblPrEx>
        <w:trPr>
          <w:trHeight w:val="510" w:hRule="atLeast"/>
        </w:trPr>
        <w:tc>
          <w:tcPr>
            <w:tcW w:w="6839" w:type="dxa"/>
            <w:gridSpan w:val="2"/>
            <w:tcBorders>
              <w:top w:val="nil"/>
              <w:left w:val="nil"/>
              <w:bottom w:val="nil"/>
              <w:right w:val="nil"/>
            </w:tcBorders>
            <w:vAlign w:val="center"/>
          </w:tcPr>
          <w:p>
            <w:pPr>
              <w:widowControl/>
              <w:jc w:val="left"/>
              <w:rPr>
                <w:rFonts w:ascii="宋体"/>
                <w:kern w:val="0"/>
                <w:sz w:val="22"/>
              </w:rPr>
            </w:pPr>
            <w:r>
              <w:rPr>
                <w:rFonts w:hint="eastAsia" w:ascii="宋体" w:hAnsi="宋体" w:cs="宋体"/>
                <w:kern w:val="0"/>
                <w:sz w:val="22"/>
              </w:rPr>
              <w:t>编制部门：</w:t>
            </w:r>
            <w:r>
              <w:rPr>
                <w:rFonts w:hint="eastAsia" w:cs="宋体"/>
              </w:rPr>
              <w:t>无极县交警大队</w:t>
            </w:r>
          </w:p>
        </w:tc>
        <w:tc>
          <w:tcPr>
            <w:tcW w:w="4969" w:type="dxa"/>
            <w:tcBorders>
              <w:top w:val="nil"/>
              <w:left w:val="nil"/>
              <w:bottom w:val="nil"/>
              <w:right w:val="nil"/>
            </w:tcBorders>
            <w:vAlign w:val="center"/>
          </w:tcPr>
          <w:p>
            <w:pPr>
              <w:widowControl/>
              <w:jc w:val="left"/>
              <w:rPr>
                <w:rFonts w:ascii="宋体"/>
                <w:kern w:val="0"/>
                <w:sz w:val="22"/>
              </w:rPr>
            </w:pPr>
            <w:r>
              <w:rPr>
                <w:rFonts w:hint="eastAsia" w:ascii="宋体" w:hAnsi="宋体" w:cs="宋体"/>
                <w:kern w:val="0"/>
                <w:sz w:val="22"/>
              </w:rPr>
              <w:t>截止时间：</w:t>
            </w:r>
            <w:r>
              <w:rPr>
                <w:rFonts w:ascii="宋体" w:hAnsi="宋体" w:cs="宋体"/>
                <w:kern w:val="0"/>
                <w:sz w:val="22"/>
              </w:rPr>
              <w:t>201</w:t>
            </w:r>
            <w:r>
              <w:rPr>
                <w:rFonts w:hint="eastAsia" w:ascii="宋体" w:hAnsi="宋体" w:cs="宋体"/>
                <w:kern w:val="0"/>
                <w:sz w:val="22"/>
              </w:rPr>
              <w:t>7年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645" w:hRule="atLeast"/>
        </w:trPr>
        <w:tc>
          <w:tcPr>
            <w:tcW w:w="415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2681"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数量</w:t>
            </w:r>
          </w:p>
        </w:tc>
        <w:tc>
          <w:tcPr>
            <w:tcW w:w="4969"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rPr>
            </w:pPr>
            <w:r>
              <w:rPr>
                <w:rFonts w:hint="eastAsia" w:ascii="宋体" w:hAnsi="宋体" w:cs="宋体"/>
                <w:kern w:val="0"/>
                <w:sz w:val="22"/>
              </w:rPr>
              <w:t>资产总额</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kern w:val="0"/>
                <w:sz w:val="22"/>
              </w:rPr>
              <w:t>2066</w:t>
            </w:r>
          </w:p>
        </w:tc>
      </w:tr>
      <w:tr>
        <w:tblPrEx>
          <w:tblCellMar>
            <w:top w:w="0" w:type="dxa"/>
            <w:left w:w="108" w:type="dxa"/>
            <w:bottom w:w="0" w:type="dxa"/>
            <w:right w:w="108" w:type="dxa"/>
          </w:tblCellMar>
        </w:tblPrEx>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1</w:t>
            </w:r>
            <w:r>
              <w:rPr>
                <w:rFonts w:hint="eastAsia" w:ascii="宋体" w:hAnsi="宋体" w:cs="宋体"/>
                <w:kern w:val="0"/>
                <w:sz w:val="22"/>
              </w:rPr>
              <w:t>、房屋（平方米）</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120</w:t>
            </w:r>
          </w:p>
        </w:tc>
      </w:tr>
      <w:tr>
        <w:tblPrEx>
          <w:tblCellMar>
            <w:top w:w="0" w:type="dxa"/>
            <w:left w:w="108" w:type="dxa"/>
            <w:bottom w:w="0" w:type="dxa"/>
            <w:right w:w="108" w:type="dxa"/>
          </w:tblCellMar>
        </w:tblPrEx>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80</w:t>
            </w:r>
          </w:p>
        </w:tc>
      </w:tr>
      <w:tr>
        <w:tblPrEx>
          <w:tblCellMar>
            <w:top w:w="0" w:type="dxa"/>
            <w:left w:w="108" w:type="dxa"/>
            <w:bottom w:w="0" w:type="dxa"/>
            <w:right w:w="108" w:type="dxa"/>
          </w:tblCellMar>
        </w:tblPrEx>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2</w:t>
            </w:r>
            <w:r>
              <w:rPr>
                <w:rFonts w:hint="eastAsia" w:ascii="宋体" w:hAnsi="宋体" w:cs="宋体"/>
                <w:kern w:val="0"/>
                <w:sz w:val="22"/>
              </w:rPr>
              <w:t>、车辆（台、辆）</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15</w:t>
            </w: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190</w:t>
            </w:r>
          </w:p>
        </w:tc>
      </w:tr>
      <w:tr>
        <w:tblPrEx>
          <w:tblCellMar>
            <w:top w:w="0" w:type="dxa"/>
            <w:left w:w="108" w:type="dxa"/>
            <w:bottom w:w="0" w:type="dxa"/>
            <w:right w:w="108" w:type="dxa"/>
          </w:tblCellMar>
        </w:tblPrEx>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4</w:t>
            </w:r>
            <w:r>
              <w:rPr>
                <w:rFonts w:hint="eastAsia" w:ascii="宋体" w:hAnsi="宋体" w:cs="宋体"/>
                <w:kern w:val="0"/>
                <w:sz w:val="22"/>
              </w:rPr>
              <w:t>、其他固定资产</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1756</w:t>
            </w:r>
          </w:p>
          <w:p>
            <w:pPr>
              <w:widowControl/>
              <w:jc w:val="center"/>
              <w:rPr>
                <w:rFonts w:ascii="宋体"/>
                <w:kern w:val="0"/>
                <w:sz w:val="22"/>
              </w:rPr>
            </w:pPr>
          </w:p>
        </w:tc>
      </w:tr>
    </w:tbl>
    <w:p>
      <w:pPr>
        <w:autoSpaceDE w:val="0"/>
        <w:autoSpaceDN w:val="0"/>
        <w:adjustRightInd w:val="0"/>
        <w:ind w:left="420" w:leftChars="200"/>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我部门无其他需要说明的事项。</w:t>
      </w:r>
    </w:p>
    <w:p/>
    <w:sectPr>
      <w:headerReference r:id="rId3" w:type="default"/>
      <w:pgSz w:w="16839" w:h="11907" w:orient="landscape"/>
      <w:pgMar w:top="1020" w:right="1361" w:bottom="1020" w:left="136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B"/>
    <w:multiLevelType w:val="singleLevel"/>
    <w:tmpl w:val="0000000B"/>
    <w:lvl w:ilvl="0" w:tentative="0">
      <w:start w:val="2"/>
      <w:numFmt w:val="chineseCounting"/>
      <w:suff w:val="nothing"/>
      <w:lvlText w:val="（%1）"/>
      <w:lvlJc w:val="left"/>
    </w:lvl>
  </w:abstractNum>
  <w:abstractNum w:abstractNumId="1">
    <w:nsid w:val="0000000C"/>
    <w:multiLevelType w:val="singleLevel"/>
    <w:tmpl w:val="0000000C"/>
    <w:lvl w:ilvl="0" w:tentative="0">
      <w:start w:val="4"/>
      <w:numFmt w:val="chineseCounting"/>
      <w:suff w:val="nothing"/>
      <w:lvlText w:val="%1、"/>
      <w:lvlJc w:val="left"/>
    </w:lvl>
  </w:abstractNum>
  <w:abstractNum w:abstractNumId="2">
    <w:nsid w:val="0000000D"/>
    <w:multiLevelType w:val="singleLevel"/>
    <w:tmpl w:val="0000000D"/>
    <w:lvl w:ilvl="0" w:tentative="0">
      <w:start w:val="1"/>
      <w:numFmt w:val="chineseCounting"/>
      <w:suff w:val="nothing"/>
      <w:lvlText w:val="（%1）"/>
      <w:lvlJc w:val="left"/>
    </w:lvl>
  </w:abstractNum>
  <w:abstractNum w:abstractNumId="3">
    <w:nsid w:val="0000000E"/>
    <w:multiLevelType w:val="singleLevel"/>
    <w:tmpl w:val="0000000E"/>
    <w:lvl w:ilvl="0" w:tentative="0">
      <w:start w:val="2"/>
      <w:numFmt w:val="chineseCounting"/>
      <w:suff w:val="nothing"/>
      <w:lvlText w:val="（%1）"/>
      <w:lvlJc w:val="left"/>
    </w:lvl>
  </w:abstractNum>
  <w:abstractNum w:abstractNumId="4">
    <w:nsid w:val="75FA507C"/>
    <w:multiLevelType w:val="singleLevel"/>
    <w:tmpl w:val="75FA507C"/>
    <w:lvl w:ilvl="0" w:tentative="0">
      <w:start w:val="3"/>
      <w:numFmt w:val="chineseCounting"/>
      <w:suff w:val="nothing"/>
      <w:lvlText w:val="（%1）"/>
      <w:lvlJc w:val="left"/>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1178"/>
    <w:rsid w:val="0018250D"/>
    <w:rsid w:val="00193C72"/>
    <w:rsid w:val="00245504"/>
    <w:rsid w:val="002C34BB"/>
    <w:rsid w:val="003852DB"/>
    <w:rsid w:val="00401E6C"/>
    <w:rsid w:val="005B1178"/>
    <w:rsid w:val="00C354A6"/>
    <w:rsid w:val="00CD5E27"/>
    <w:rsid w:val="1AA92F3F"/>
    <w:rsid w:val="1AB07AAE"/>
    <w:rsid w:val="77E62A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字符"/>
    <w:link w:val="2"/>
    <w:semiHidden/>
    <w:qFormat/>
    <w:uiPriority w:val="0"/>
    <w:rPr>
      <w:sz w:val="18"/>
      <w:szCs w:val="18"/>
    </w:rPr>
  </w:style>
  <w:style w:type="character" w:customStyle="1" w:styleId="7">
    <w:name w:val="页眉 字符"/>
    <w:link w:val="3"/>
    <w:semiHidden/>
    <w:qFormat/>
    <w:uiPriority w:val="0"/>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13</Pages>
  <Words>841</Words>
  <Characters>4794</Characters>
  <Lines>39</Lines>
  <Paragraphs>11</Paragraphs>
  <TotalTime>9</TotalTime>
  <ScaleCrop>false</ScaleCrop>
  <LinksUpToDate>false</LinksUpToDate>
  <CharactersWithSpaces>5624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2018-03-28T17:56:00Z</dcterms:created>
  <dc:creator>微软用户</dc:creator>
  <cp:lastModifiedBy>Administrator</cp:lastModifiedBy>
  <dcterms:modified xsi:type="dcterms:W3CDTF">2024-01-04T05:55:30Z</dcterms:modified>
  <dc:title>微软用户</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CE8DAAE210A74792B8591D9E83F1B041</vt:lpwstr>
  </property>
</Properties>
</file>