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adjustRightInd w:val="0"/>
        <w:snapToGrid w:val="0"/>
        <w:jc w:val="center"/>
        <w:rPr>
          <w:rFonts w:ascii="方正小标宋_GBK" w:hAnsi="Times New Roman" w:eastAsia="方正小标宋_GBK" w:cs="Times New Roman"/>
          <w:sz w:val="44"/>
          <w:szCs w:val="44"/>
        </w:rPr>
      </w:pPr>
      <w:bookmarkStart w:id="7" w:name="_GoBack"/>
      <w:bookmarkEnd w:id="7"/>
      <w:r>
        <w:rPr>
          <w:rFonts w:hint="eastAsia" w:ascii="方正小标宋_GBK" w:hAnsi="Times New Roman" w:eastAsia="方正小标宋_GBK" w:cs="方正小标宋_GBK"/>
          <w:sz w:val="44"/>
          <w:szCs w:val="44"/>
        </w:rPr>
        <w:t>中国共产党无极县委员会信访局</w:t>
      </w:r>
    </w:p>
    <w:p>
      <w:pPr>
        <w:adjustRightInd w:val="0"/>
        <w:snapToGrid w:val="0"/>
        <w:jc w:val="center"/>
        <w:rPr>
          <w:rFonts w:ascii="方正小标宋_GBK" w:hAnsi="Times New Roman" w:eastAsia="方正小标宋_GBK" w:cs="Times New Roman"/>
          <w:sz w:val="44"/>
          <w:szCs w:val="44"/>
        </w:rPr>
      </w:pPr>
      <w:r>
        <w:rPr>
          <w:rFonts w:ascii="方正小标宋_GBK" w:hAnsi="Times New Roman" w:eastAsia="方正小标宋_GBK" w:cs="方正小标宋_GBK"/>
          <w:sz w:val="44"/>
          <w:szCs w:val="44"/>
        </w:rPr>
        <w:t>2020</w:t>
      </w:r>
      <w:r>
        <w:rPr>
          <w:rFonts w:hint="eastAsia" w:ascii="方正小标宋_GBK" w:hAnsi="Times New Roman" w:eastAsia="方正小标宋_GBK" w:cs="方正小标宋_GBK"/>
          <w:sz w:val="44"/>
          <w:szCs w:val="44"/>
        </w:rPr>
        <w:t>年部门预算信息公开情况说明</w:t>
      </w:r>
    </w:p>
    <w:p>
      <w:pPr>
        <w:ind w:firstLine="640"/>
        <w:rPr>
          <w:rFonts w:ascii="Times New Roman" w:hAnsi="Times New Roman" w:eastAsia="仿宋" w:cs="Times New Roman"/>
          <w:sz w:val="32"/>
          <w:szCs w:val="32"/>
        </w:rPr>
      </w:pPr>
    </w:p>
    <w:p>
      <w:pPr>
        <w:ind w:firstLine="640"/>
        <w:rPr>
          <w:rFonts w:ascii="Times New Roman" w:hAnsi="Times New Roman" w:eastAsia="仿宋" w:cs="Times New Roman"/>
          <w:sz w:val="32"/>
          <w:szCs w:val="32"/>
        </w:rPr>
      </w:pPr>
      <w:r>
        <w:rPr>
          <w:rFonts w:hint="eastAsia" w:ascii="Times New Roman" w:hAnsi="Times New Roman" w:eastAsia="仿宋" w:cs="仿宋"/>
          <w:sz w:val="32"/>
          <w:szCs w:val="32"/>
        </w:rPr>
        <w:t>按照</w:t>
      </w:r>
      <w:r>
        <w:rPr>
          <w:rFonts w:hint="eastAsia" w:ascii="Times New Roman" w:hAnsi="Times New Roman" w:eastAsia="仿宋" w:cs="仿宋"/>
          <w:sz w:val="32"/>
          <w:szCs w:val="32"/>
          <w:lang w:eastAsia="zh-CN"/>
        </w:rPr>
        <w:t>《中华人民共和国预算法》</w:t>
      </w:r>
      <w:r>
        <w:rPr>
          <w:rFonts w:hint="eastAsia" w:ascii="Times New Roman" w:hAnsi="Times New Roman" w:eastAsia="仿宋" w:cs="仿宋"/>
          <w:sz w:val="32"/>
          <w:szCs w:val="32"/>
        </w:rPr>
        <w:t>、《地方预决算公开操作规程》和《河北省省级预算公开办法》规定，现将信访局</w:t>
      </w:r>
      <w:r>
        <w:rPr>
          <w:rFonts w:ascii="Times New Roman" w:hAnsi="Times New Roman" w:eastAsia="仿宋" w:cs="Times New Roman"/>
          <w:sz w:val="32"/>
          <w:szCs w:val="32"/>
        </w:rPr>
        <w:t>2020</w:t>
      </w:r>
      <w:r>
        <w:rPr>
          <w:rFonts w:hint="eastAsia" w:ascii="Times New Roman" w:hAnsi="Times New Roman" w:eastAsia="仿宋" w:cs="仿宋"/>
          <w:sz w:val="32"/>
          <w:szCs w:val="32"/>
        </w:rPr>
        <w:t>年部门预算公开如下：</w:t>
      </w:r>
    </w:p>
    <w:p>
      <w:pPr>
        <w:ind w:firstLine="640"/>
        <w:rPr>
          <w:rFonts w:ascii="黑体" w:hAnsi="黑体" w:eastAsia="黑体" w:cs="Times New Roman"/>
          <w:sz w:val="32"/>
          <w:szCs w:val="32"/>
        </w:rPr>
      </w:pPr>
      <w:r>
        <w:rPr>
          <w:rFonts w:hint="eastAsia" w:ascii="黑体" w:hAnsi="黑体" w:eastAsia="黑体" w:cs="黑体"/>
          <w:sz w:val="32"/>
          <w:szCs w:val="32"/>
        </w:rPr>
        <w:t>一、部门职责及机构设置情况</w:t>
      </w:r>
    </w:p>
    <w:p>
      <w:pPr>
        <w:spacing w:line="520" w:lineRule="exact"/>
        <w:ind w:firstLine="643" w:firstLineChars="200"/>
        <w:rPr>
          <w:rFonts w:hint="eastAsia" w:ascii="仿宋" w:hAnsi="仿宋" w:eastAsia="仿宋" w:cs="Times New Roman"/>
          <w:b/>
          <w:sz w:val="32"/>
          <w:szCs w:val="32"/>
        </w:rPr>
      </w:pPr>
      <w:r>
        <w:rPr>
          <w:rFonts w:hint="eastAsia" w:ascii="仿宋" w:hAnsi="仿宋" w:eastAsia="仿宋" w:cs="Times New Roman"/>
          <w:b/>
          <w:sz w:val="32"/>
          <w:szCs w:val="32"/>
        </w:rPr>
        <w:t>部门</w:t>
      </w:r>
      <w:r>
        <w:rPr>
          <w:rFonts w:ascii="仿宋" w:hAnsi="仿宋" w:eastAsia="仿宋" w:cs="Times New Roman"/>
          <w:b/>
          <w:sz w:val="32"/>
          <w:szCs w:val="32"/>
        </w:rPr>
        <w:t>职责：</w:t>
      </w:r>
    </w:p>
    <w:p>
      <w:pPr>
        <w:spacing w:line="520" w:lineRule="exact"/>
        <w:ind w:firstLine="640" w:firstLineChars="200"/>
        <w:rPr>
          <w:rFonts w:ascii="仿宋_GB2312" w:hAnsi="仿宋_GB2312" w:eastAsia="仿宋_GB2312" w:cs="仿宋_GB2312"/>
          <w:color w:val="000000"/>
          <w:sz w:val="32"/>
          <w:szCs w:val="32"/>
        </w:rPr>
      </w:pPr>
      <w:r>
        <w:rPr>
          <w:rFonts w:hint="eastAsia" w:ascii="黑体" w:hAnsi="黑体" w:eastAsia="黑体" w:cs="黑体"/>
          <w:color w:val="000000"/>
          <w:sz w:val="32"/>
          <w:szCs w:val="32"/>
        </w:rPr>
        <w:t xml:space="preserve"> </w:t>
      </w:r>
      <w:r>
        <w:rPr>
          <w:rFonts w:hint="eastAsia" w:ascii="仿宋_GB2312" w:eastAsia="仿宋_GB2312"/>
          <w:color w:val="000000"/>
          <w:sz w:val="32"/>
          <w:szCs w:val="32"/>
        </w:rPr>
        <w:t>根据《中共石家庄市委办公厅、石家庄市人民政府办公厅关于印发</w:t>
      </w:r>
      <w:r>
        <w:rPr>
          <w:rFonts w:hint="eastAsia" w:ascii="仿宋_GB2312" w:hAnsi="仿宋_GB2312" w:eastAsia="仿宋_GB2312"/>
          <w:color w:val="000000"/>
          <w:sz w:val="32"/>
          <w:szCs w:val="32"/>
        </w:rPr>
        <w:t>&lt;</w:t>
      </w:r>
      <w:r>
        <w:rPr>
          <w:rFonts w:hint="eastAsia" w:ascii="仿宋_GB2312" w:eastAsia="仿宋_GB2312"/>
          <w:color w:val="000000"/>
          <w:sz w:val="32"/>
          <w:szCs w:val="32"/>
        </w:rPr>
        <w:t>无极县机构改革方案&gt;的通知》(石办字〔2018〕71号），制定本规定。</w:t>
      </w:r>
    </w:p>
    <w:p>
      <w:pPr>
        <w:spacing w:line="520" w:lineRule="exact"/>
        <w:ind w:firstLine="480" w:firstLineChars="150"/>
        <w:rPr>
          <w:rFonts w:ascii="仿宋_GB2312" w:hAnsi="仿宋_GB2312" w:eastAsia="仿宋_GB2312" w:cs="仿宋_GB2312"/>
          <w:color w:val="000000"/>
          <w:sz w:val="32"/>
          <w:szCs w:val="32"/>
        </w:rPr>
      </w:pPr>
      <w:r>
        <w:rPr>
          <w:rFonts w:hint="eastAsia" w:ascii="黑体" w:hAnsi="黑体" w:eastAsia="黑体" w:cs="黑体"/>
          <w:color w:val="000000"/>
          <w:sz w:val="32"/>
          <w:szCs w:val="32"/>
        </w:rPr>
        <w:t xml:space="preserve">  </w:t>
      </w:r>
      <w:r>
        <w:rPr>
          <w:rFonts w:hint="eastAsia" w:ascii="仿宋_GB2312" w:hAnsi="仿宋_GB2312" w:eastAsia="仿宋_GB2312" w:cs="仿宋_GB2312"/>
          <w:color w:val="000000"/>
          <w:sz w:val="32"/>
          <w:szCs w:val="32"/>
        </w:rPr>
        <w:t>无极县信访局（简称县信访局）为县委工作机关，机构规格正科级。</w:t>
      </w:r>
    </w:p>
    <w:p>
      <w:pPr>
        <w:spacing w:line="520" w:lineRule="exact"/>
        <w:ind w:firstLine="480" w:firstLineChars="150"/>
        <w:rPr>
          <w:rFonts w:ascii="仿宋_GB2312" w:hAnsi="仿宋_GB2312" w:eastAsia="仿宋_GB2312" w:cs="仿宋_GB2312"/>
          <w:color w:val="000000"/>
          <w:sz w:val="32"/>
          <w:szCs w:val="32"/>
        </w:rPr>
      </w:pPr>
      <w:r>
        <w:rPr>
          <w:rFonts w:hint="eastAsia" w:ascii="黑体" w:hAnsi="黑体" w:eastAsia="黑体" w:cs="黑体"/>
          <w:color w:val="000000"/>
          <w:sz w:val="32"/>
          <w:szCs w:val="32"/>
        </w:rPr>
        <w:t xml:space="preserve"> </w:t>
      </w:r>
      <w:r>
        <w:rPr>
          <w:rFonts w:hint="eastAsia" w:ascii="仿宋_GB2312" w:hAnsi="仿宋_GB2312" w:eastAsia="仿宋_GB2312" w:cs="仿宋_GB2312"/>
          <w:color w:val="000000"/>
          <w:sz w:val="32"/>
          <w:szCs w:val="32"/>
        </w:rPr>
        <w:t xml:space="preserve"> 县信访局的主要职责是：</w:t>
      </w:r>
    </w:p>
    <w:p>
      <w:pPr>
        <w:tabs>
          <w:tab w:val="left" w:pos="630"/>
        </w:tabs>
        <w:spacing w:line="520" w:lineRule="exact"/>
        <w:ind w:firstLine="617" w:firstLineChars="193"/>
        <w:rPr>
          <w:rFonts w:ascii="仿宋_GB2312" w:hAnsi="仿宋_GB2312" w:eastAsia="仿宋_GB2312" w:cs="仿宋"/>
          <w:color w:val="000000"/>
          <w:sz w:val="32"/>
          <w:szCs w:val="32"/>
        </w:rPr>
      </w:pPr>
      <w:r>
        <w:rPr>
          <w:rFonts w:hint="eastAsia" w:ascii="仿宋_GB2312" w:hAnsi="仿宋_GB2312" w:eastAsia="仿宋_GB2312" w:cs="仿宋"/>
          <w:color w:val="000000"/>
          <w:sz w:val="32"/>
          <w:szCs w:val="32"/>
        </w:rPr>
        <w:t>（一）研究提出全县信访工作思路，起草信访工作规范性文件和相关制度。</w:t>
      </w:r>
    </w:p>
    <w:p>
      <w:pPr>
        <w:spacing w:line="520" w:lineRule="exact"/>
        <w:ind w:firstLine="640" w:firstLineChars="200"/>
        <w:rPr>
          <w:rFonts w:ascii="仿宋_GB2312" w:hAnsi="仿宋_GB2312" w:eastAsia="仿宋_GB2312"/>
          <w:color w:val="000000"/>
          <w:sz w:val="32"/>
          <w:szCs w:val="32"/>
        </w:rPr>
      </w:pPr>
      <w:r>
        <w:rPr>
          <w:rFonts w:hint="eastAsia" w:ascii="仿宋_GB2312" w:hAnsi="仿宋_GB2312" w:eastAsia="仿宋_GB2312" w:cs="仿宋"/>
          <w:color w:val="000000"/>
          <w:sz w:val="32"/>
          <w:szCs w:val="32"/>
        </w:rPr>
        <w:t>（二）</w:t>
      </w:r>
      <w:r>
        <w:rPr>
          <w:rFonts w:hint="eastAsia" w:ascii="仿宋_GB2312" w:hAnsi="仿宋_GB2312" w:eastAsia="仿宋_GB2312"/>
          <w:color w:val="000000"/>
          <w:sz w:val="32"/>
          <w:szCs w:val="32"/>
        </w:rPr>
        <w:t>办理人民群众来信，接待群众来访，受理群众网上投诉，查办信访案件，负责人民群众建议征集工作。</w:t>
      </w:r>
    </w:p>
    <w:p>
      <w:pPr>
        <w:spacing w:line="520" w:lineRule="exact"/>
        <w:ind w:firstLine="640" w:firstLineChars="200"/>
        <w:rPr>
          <w:rFonts w:ascii="仿宋_GB2312" w:hAnsi="仿宋_GB2312" w:eastAsia="仿宋_GB2312"/>
          <w:color w:val="000000"/>
          <w:sz w:val="32"/>
          <w:szCs w:val="32"/>
        </w:rPr>
      </w:pPr>
      <w:r>
        <w:rPr>
          <w:rFonts w:hint="eastAsia" w:ascii="仿宋_GB2312" w:hAnsi="仿宋_GB2312" w:eastAsia="仿宋_GB2312"/>
          <w:color w:val="000000"/>
          <w:sz w:val="32"/>
          <w:szCs w:val="32"/>
        </w:rPr>
        <w:t>（三）调查研究和综合分析全县信访形势及信访工作状况，总结推广各乡镇、县直各部门信访工作经验，提出改进和加强信访工作的意见和建议</w:t>
      </w:r>
    </w:p>
    <w:p>
      <w:pPr>
        <w:spacing w:line="520" w:lineRule="exact"/>
        <w:ind w:firstLine="640" w:firstLineChars="200"/>
        <w:rPr>
          <w:rFonts w:ascii="仿宋_GB2312" w:hAnsi="仿宋_GB2312" w:eastAsia="仿宋_GB2312"/>
          <w:color w:val="000000"/>
          <w:sz w:val="32"/>
          <w:szCs w:val="32"/>
        </w:rPr>
      </w:pPr>
      <w:r>
        <w:rPr>
          <w:rFonts w:hint="eastAsia" w:ascii="仿宋_GB2312" w:hAnsi="仿宋_GB2312" w:eastAsia="仿宋_GB2312"/>
          <w:color w:val="000000"/>
          <w:sz w:val="32"/>
          <w:szCs w:val="32"/>
        </w:rPr>
        <w:t>（四）参与组织、协调全县社会治安综合治理和维护社会政治稳定工作，协助保障国家、省、市、县重大政治活动顺利进行，参与处理影响社会政治稳定的突发性、群体性事件。</w:t>
      </w:r>
    </w:p>
    <w:p>
      <w:pPr>
        <w:spacing w:line="520" w:lineRule="exact"/>
        <w:ind w:firstLine="640" w:firstLineChars="200"/>
        <w:rPr>
          <w:rFonts w:ascii="仿宋_GB2312" w:hAnsi="仿宋_GB2312" w:eastAsia="仿宋_GB2312"/>
          <w:color w:val="000000"/>
          <w:sz w:val="32"/>
          <w:szCs w:val="32"/>
        </w:rPr>
      </w:pPr>
      <w:r>
        <w:rPr>
          <w:rFonts w:hint="eastAsia" w:ascii="仿宋_GB2312" w:hAnsi="仿宋_GB2312" w:eastAsia="仿宋_GB2312"/>
          <w:color w:val="000000"/>
          <w:sz w:val="32"/>
          <w:szCs w:val="32"/>
        </w:rPr>
        <w:t>（五）督促检查和指导全县各乡镇党委、政府和县直有关部门的信访工作。对乡镇党委、政府和县直有关部门信访工作年度责任目标进行考核，对全县社会治安综合治理和维护社会政治稳定年度责任目标中有关信访工作进行考核。</w:t>
      </w:r>
    </w:p>
    <w:p>
      <w:pPr>
        <w:spacing w:line="520" w:lineRule="exact"/>
        <w:ind w:firstLine="640" w:firstLineChars="200"/>
        <w:rPr>
          <w:rFonts w:ascii="仿宋_GB2312" w:hAnsi="仿宋_GB2312" w:eastAsia="仿宋_GB2312"/>
          <w:color w:val="000000"/>
          <w:sz w:val="32"/>
          <w:szCs w:val="32"/>
        </w:rPr>
      </w:pPr>
      <w:r>
        <w:rPr>
          <w:rFonts w:hint="eastAsia" w:ascii="仿宋_GB2312" w:hAnsi="仿宋_GB2312" w:eastAsia="仿宋_GB2312"/>
          <w:color w:val="000000"/>
          <w:sz w:val="32"/>
          <w:szCs w:val="32"/>
        </w:rPr>
        <w:t>（六）协助上级处理无极县群众进京上访工作，综合协调处理跨地区、跨部门、跨行业的重要信访问题，协助公安机关维护县委、县政府机关正常工作秩序。</w:t>
      </w:r>
    </w:p>
    <w:p>
      <w:pPr>
        <w:spacing w:line="520" w:lineRule="exact"/>
        <w:ind w:firstLine="640" w:firstLineChars="200"/>
        <w:rPr>
          <w:rFonts w:ascii="仿宋_GB2312" w:hAnsi="仿宋_GB2312" w:eastAsia="仿宋_GB2312"/>
          <w:color w:val="000000"/>
          <w:sz w:val="32"/>
          <w:szCs w:val="32"/>
        </w:rPr>
      </w:pPr>
      <w:r>
        <w:rPr>
          <w:rFonts w:hint="eastAsia" w:ascii="仿宋_GB2312" w:hAnsi="仿宋_GB2312" w:eastAsia="仿宋_GB2312"/>
          <w:color w:val="000000"/>
          <w:sz w:val="32"/>
          <w:szCs w:val="32"/>
        </w:rPr>
        <w:t>（七）负责省、市、县级领导及省直、市直部门领导公开接访和包联案件的组织协调工作。</w:t>
      </w:r>
    </w:p>
    <w:p>
      <w:pPr>
        <w:spacing w:line="520" w:lineRule="exact"/>
        <w:ind w:firstLine="640" w:firstLineChars="200"/>
        <w:rPr>
          <w:rFonts w:ascii="仿宋_GB2312" w:hAnsi="仿宋_GB2312" w:eastAsia="仿宋_GB2312"/>
          <w:color w:val="000000"/>
          <w:sz w:val="32"/>
          <w:szCs w:val="32"/>
        </w:rPr>
      </w:pPr>
      <w:r>
        <w:rPr>
          <w:rFonts w:hint="eastAsia" w:ascii="仿宋_GB2312" w:hAnsi="仿宋_GB2312" w:eastAsia="仿宋_GB2312"/>
          <w:color w:val="000000"/>
          <w:sz w:val="32"/>
          <w:szCs w:val="32"/>
        </w:rPr>
        <w:t>（八）承担无极县信访工作联席会议的日常工作，督促落实联席会议决定的事项。</w:t>
      </w:r>
    </w:p>
    <w:p>
      <w:pPr>
        <w:spacing w:line="520" w:lineRule="exact"/>
        <w:ind w:firstLine="640" w:firstLineChars="200"/>
        <w:rPr>
          <w:rFonts w:ascii="仿宋_GB2312" w:hAnsi="仿宋_GB2312" w:eastAsia="仿宋_GB2312" w:cs="仿宋"/>
          <w:color w:val="000000"/>
          <w:sz w:val="32"/>
          <w:szCs w:val="32"/>
        </w:rPr>
      </w:pPr>
      <w:r>
        <w:rPr>
          <w:rFonts w:hint="eastAsia" w:ascii="仿宋_GB2312" w:hAnsi="仿宋_GB2312" w:eastAsia="仿宋_GB2312" w:cs="仿宋"/>
          <w:color w:val="000000"/>
          <w:sz w:val="32"/>
          <w:szCs w:val="32"/>
        </w:rPr>
        <w:t>（九）完成县委、县政府以及上级信访部门交办的其他任务。</w:t>
      </w:r>
    </w:p>
    <w:p>
      <w:pPr>
        <w:ind w:firstLine="643" w:firstLineChars="200"/>
        <w:rPr>
          <w:rFonts w:ascii="仿宋" w:hAnsi="仿宋" w:eastAsia="仿宋" w:cs="Times New Roman"/>
          <w:b/>
          <w:bCs/>
          <w:sz w:val="32"/>
          <w:szCs w:val="32"/>
        </w:rPr>
      </w:pPr>
      <w:r>
        <w:rPr>
          <w:rFonts w:hint="eastAsia" w:ascii="仿宋" w:hAnsi="仿宋" w:eastAsia="仿宋" w:cs="仿宋"/>
          <w:b/>
          <w:bCs/>
          <w:sz w:val="32"/>
          <w:szCs w:val="32"/>
        </w:rPr>
        <w:t>机构设置：</w:t>
      </w:r>
    </w:p>
    <w:p>
      <w:pPr>
        <w:jc w:val="center"/>
        <w:outlineLvl w:val="0"/>
        <w:rPr>
          <w:rFonts w:ascii="Times New Roman" w:hAnsi="Times New Roman" w:eastAsia="方正小标宋_GBK" w:cs="Times New Roman"/>
          <w:sz w:val="32"/>
          <w:szCs w:val="32"/>
        </w:rPr>
      </w:pPr>
      <w:r>
        <w:rPr>
          <w:rFonts w:hint="eastAsia" w:ascii="Times New Roman" w:hAnsi="Times New Roman" w:eastAsia="方正小标宋_GBK" w:cs="方正小标宋_GBK"/>
          <w:sz w:val="32"/>
          <w:szCs w:val="32"/>
        </w:rPr>
        <w:t>部门机构设置情况</w:t>
      </w:r>
    </w:p>
    <w:tbl>
      <w:tblPr>
        <w:tblStyle w:val="7"/>
        <w:tblW w:w="97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417"/>
        <w:gridCol w:w="1134"/>
        <w:gridCol w:w="1276"/>
        <w:gridCol w:w="29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0" w:hRule="atLeast"/>
          <w:tblHeader/>
          <w:jc w:val="center"/>
        </w:trPr>
        <w:tc>
          <w:tcPr>
            <w:tcW w:w="4417" w:type="dxa"/>
            <w:vMerge w:val="restart"/>
            <w:vAlign w:val="center"/>
          </w:tcPr>
          <w:p>
            <w:pPr>
              <w:spacing w:line="300" w:lineRule="exact"/>
              <w:jc w:val="center"/>
              <w:rPr>
                <w:rFonts w:ascii="Times New Roman" w:hAnsi="Times New Roman" w:eastAsia="方正书宋_GBK" w:cs="Times New Roman"/>
                <w:b/>
                <w:bCs/>
              </w:rPr>
            </w:pPr>
            <w:r>
              <w:rPr>
                <w:rFonts w:hint="eastAsia" w:ascii="Times New Roman" w:hAnsi="Times New Roman" w:eastAsia="方正书宋_GBK" w:cs="方正书宋_GBK"/>
                <w:b/>
                <w:bCs/>
              </w:rPr>
              <w:t>单位名称</w:t>
            </w:r>
          </w:p>
        </w:tc>
        <w:tc>
          <w:tcPr>
            <w:tcW w:w="1134" w:type="dxa"/>
            <w:vMerge w:val="restart"/>
            <w:vAlign w:val="center"/>
          </w:tcPr>
          <w:p>
            <w:pPr>
              <w:spacing w:line="300" w:lineRule="exact"/>
              <w:jc w:val="center"/>
              <w:rPr>
                <w:rFonts w:ascii="Times New Roman" w:hAnsi="Times New Roman" w:eastAsia="方正书宋_GBK" w:cs="Times New Roman"/>
                <w:b/>
                <w:bCs/>
              </w:rPr>
            </w:pPr>
            <w:r>
              <w:rPr>
                <w:rFonts w:hint="eastAsia" w:ascii="Times New Roman" w:hAnsi="Times New Roman" w:eastAsia="方正书宋_GBK" w:cs="方正书宋_GBK"/>
                <w:b/>
                <w:bCs/>
              </w:rPr>
              <w:t>单位性质</w:t>
            </w:r>
          </w:p>
        </w:tc>
        <w:tc>
          <w:tcPr>
            <w:tcW w:w="1276" w:type="dxa"/>
            <w:vMerge w:val="restart"/>
            <w:vAlign w:val="center"/>
          </w:tcPr>
          <w:p>
            <w:pPr>
              <w:spacing w:line="300" w:lineRule="exact"/>
              <w:jc w:val="center"/>
              <w:rPr>
                <w:rFonts w:ascii="Times New Roman" w:hAnsi="Times New Roman" w:eastAsia="方正书宋_GBK" w:cs="Times New Roman"/>
                <w:b/>
                <w:bCs/>
              </w:rPr>
            </w:pPr>
            <w:r>
              <w:rPr>
                <w:rFonts w:hint="eastAsia" w:ascii="Times New Roman" w:hAnsi="Times New Roman" w:eastAsia="方正书宋_GBK" w:cs="方正书宋_GBK"/>
                <w:b/>
                <w:bCs/>
              </w:rPr>
              <w:t>单位规格</w:t>
            </w:r>
          </w:p>
        </w:tc>
        <w:tc>
          <w:tcPr>
            <w:tcW w:w="2902" w:type="dxa"/>
            <w:vMerge w:val="restart"/>
            <w:vAlign w:val="center"/>
          </w:tcPr>
          <w:p>
            <w:pPr>
              <w:spacing w:line="300" w:lineRule="exact"/>
              <w:jc w:val="center"/>
              <w:rPr>
                <w:rFonts w:ascii="Times New Roman" w:hAnsi="Times New Roman" w:eastAsia="方正书宋_GBK" w:cs="Times New Roman"/>
                <w:b/>
                <w:bCs/>
              </w:rPr>
            </w:pPr>
            <w:r>
              <w:rPr>
                <w:rFonts w:hint="eastAsia" w:ascii="Times New Roman" w:hAnsi="Times New Roman" w:eastAsia="方正书宋_GBK" w:cs="方正书宋_GBK"/>
                <w:b/>
                <w:bCs/>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0" w:hRule="atLeast"/>
          <w:tblHeader/>
          <w:jc w:val="center"/>
        </w:trPr>
        <w:tc>
          <w:tcPr>
            <w:tcW w:w="4417" w:type="dxa"/>
            <w:vMerge w:val="continue"/>
            <w:vAlign w:val="center"/>
          </w:tcPr>
          <w:p>
            <w:pPr>
              <w:spacing w:line="300" w:lineRule="exact"/>
              <w:jc w:val="left"/>
              <w:outlineLvl w:val="0"/>
              <w:rPr>
                <w:rFonts w:ascii="Times New Roman" w:hAnsi="Times New Roman" w:cs="Times New Roman"/>
              </w:rPr>
            </w:pPr>
          </w:p>
        </w:tc>
        <w:tc>
          <w:tcPr>
            <w:tcW w:w="1134" w:type="dxa"/>
            <w:vMerge w:val="continue"/>
            <w:vAlign w:val="center"/>
          </w:tcPr>
          <w:p>
            <w:pPr>
              <w:spacing w:line="300" w:lineRule="exact"/>
              <w:jc w:val="left"/>
              <w:outlineLvl w:val="0"/>
              <w:rPr>
                <w:rFonts w:ascii="Times New Roman" w:hAnsi="Times New Roman" w:cs="Times New Roman"/>
              </w:rPr>
            </w:pPr>
          </w:p>
        </w:tc>
        <w:tc>
          <w:tcPr>
            <w:tcW w:w="1276" w:type="dxa"/>
            <w:vMerge w:val="continue"/>
            <w:vAlign w:val="center"/>
          </w:tcPr>
          <w:p>
            <w:pPr>
              <w:spacing w:line="300" w:lineRule="exact"/>
              <w:jc w:val="left"/>
              <w:outlineLvl w:val="0"/>
              <w:rPr>
                <w:rFonts w:ascii="Times New Roman" w:hAnsi="Times New Roman" w:cs="Times New Roman"/>
              </w:rPr>
            </w:pPr>
          </w:p>
        </w:tc>
        <w:tc>
          <w:tcPr>
            <w:tcW w:w="2902" w:type="dxa"/>
            <w:vMerge w:val="continue"/>
            <w:vAlign w:val="center"/>
          </w:tcPr>
          <w:p>
            <w:pPr>
              <w:spacing w:line="300" w:lineRule="exact"/>
              <w:jc w:val="left"/>
              <w:outlineLvl w:val="0"/>
              <w:rPr>
                <w:rFonts w:ascii="Times New Roman" w:hAnsi="Times New Roman" w:cs="Times New Roma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15" w:hRule="atLeast"/>
          <w:jc w:val="center"/>
        </w:trPr>
        <w:tc>
          <w:tcPr>
            <w:tcW w:w="4417" w:type="dxa"/>
            <w:vAlign w:val="center"/>
          </w:tcPr>
          <w:p>
            <w:pPr>
              <w:spacing w:line="300" w:lineRule="exact"/>
              <w:jc w:val="left"/>
              <w:rPr>
                <w:rFonts w:ascii="Times New Roman" w:hAnsi="Times New Roman" w:eastAsia="方正书宋_GBK" w:cs="Times New Roman"/>
              </w:rPr>
            </w:pPr>
            <w:r>
              <w:rPr>
                <w:rFonts w:hint="eastAsia" w:ascii="Times New Roman" w:hAnsi="Times New Roman" w:eastAsia="方正书宋_GBK" w:cs="Times New Roman"/>
              </w:rPr>
              <w:t>中国共产党无极县委员会信访局</w:t>
            </w:r>
          </w:p>
        </w:tc>
        <w:tc>
          <w:tcPr>
            <w:tcW w:w="1134" w:type="dxa"/>
            <w:vAlign w:val="center"/>
          </w:tcPr>
          <w:p>
            <w:pPr>
              <w:spacing w:line="300" w:lineRule="exact"/>
              <w:jc w:val="center"/>
              <w:rPr>
                <w:rFonts w:ascii="Times New Roman" w:hAnsi="Times New Roman" w:eastAsia="方正书宋_GBK" w:cs="Times New Roman"/>
              </w:rPr>
            </w:pPr>
            <w:r>
              <w:rPr>
                <w:rFonts w:hint="eastAsia" w:ascii="方正书宋_GBK" w:eastAsia="方正书宋_GBK" w:cs="方正书宋_GBK"/>
              </w:rPr>
              <w:t>行政</w:t>
            </w:r>
          </w:p>
          <w:p>
            <w:pPr>
              <w:spacing w:line="300" w:lineRule="exact"/>
              <w:jc w:val="center"/>
              <w:rPr>
                <w:rFonts w:ascii="Times New Roman" w:hAnsi="Times New Roman" w:eastAsia="方正书宋_GBK" w:cs="Times New Roman"/>
              </w:rPr>
            </w:pPr>
          </w:p>
        </w:tc>
        <w:tc>
          <w:tcPr>
            <w:tcW w:w="1276" w:type="dxa"/>
            <w:vAlign w:val="center"/>
          </w:tcPr>
          <w:p>
            <w:pPr>
              <w:spacing w:line="300" w:lineRule="exact"/>
              <w:jc w:val="center"/>
              <w:rPr>
                <w:rFonts w:ascii="Times New Roman" w:hAnsi="Times New Roman" w:eastAsia="方正书宋_GBK" w:cs="Times New Roman"/>
              </w:rPr>
            </w:pPr>
            <w:r>
              <w:rPr>
                <w:rFonts w:hint="eastAsia" w:ascii="方正书宋_GBK" w:eastAsia="方正书宋_GBK" w:cs="方正书宋_GBK"/>
              </w:rPr>
              <w:t>正科级</w:t>
            </w:r>
          </w:p>
        </w:tc>
        <w:tc>
          <w:tcPr>
            <w:tcW w:w="2902" w:type="dxa"/>
            <w:vAlign w:val="center"/>
          </w:tcPr>
          <w:p>
            <w:pPr>
              <w:spacing w:line="300" w:lineRule="exact"/>
              <w:jc w:val="center"/>
              <w:rPr>
                <w:rFonts w:ascii="Times New Roman" w:hAnsi="Times New Roman" w:eastAsia="方正书宋_GBK" w:cs="Times New Roman"/>
              </w:rPr>
            </w:pPr>
            <w:r>
              <w:rPr>
                <w:rFonts w:hint="eastAsia" w:ascii="方正书宋_GBK" w:eastAsia="方正书宋_GBK" w:cs="方正书宋_GBK"/>
              </w:rPr>
              <w:t>财政拨款</w:t>
            </w:r>
          </w:p>
          <w:p>
            <w:pPr>
              <w:spacing w:line="300" w:lineRule="exact"/>
              <w:jc w:val="center"/>
              <w:rPr>
                <w:rFonts w:ascii="Times New Roman" w:hAnsi="Times New Roman" w:eastAsia="方正书宋_GBK" w:cs="Times New Roman"/>
              </w:rPr>
            </w:pPr>
          </w:p>
        </w:tc>
      </w:tr>
    </w:tbl>
    <w:p>
      <w:pPr>
        <w:rPr>
          <w:rFonts w:cs="Times New Roman"/>
        </w:rPr>
      </w:pPr>
    </w:p>
    <w:p>
      <w:pPr>
        <w:ind w:firstLine="640"/>
        <w:rPr>
          <w:rFonts w:ascii="黑体" w:hAnsi="黑体" w:eastAsia="黑体" w:cs="Times New Roman"/>
          <w:sz w:val="32"/>
          <w:szCs w:val="32"/>
        </w:rPr>
      </w:pPr>
      <w:r>
        <w:rPr>
          <w:rFonts w:hint="eastAsia" w:ascii="黑体" w:hAnsi="黑体" w:eastAsia="黑体" w:cs="黑体"/>
          <w:sz w:val="32"/>
          <w:szCs w:val="32"/>
        </w:rPr>
        <w:t>二、部门预算安排的总体情况</w:t>
      </w:r>
    </w:p>
    <w:p>
      <w:pPr>
        <w:ind w:firstLine="640"/>
        <w:rPr>
          <w:rFonts w:ascii="Times New Roman" w:hAnsi="Times New Roman" w:eastAsia="仿宋" w:cs="Times New Roman"/>
          <w:sz w:val="32"/>
          <w:szCs w:val="32"/>
        </w:rPr>
      </w:pPr>
      <w:r>
        <w:rPr>
          <w:rFonts w:hint="eastAsia" w:ascii="Times New Roman" w:hAnsi="Times New Roman" w:eastAsia="仿宋" w:cs="仿宋"/>
          <w:sz w:val="32"/>
          <w:szCs w:val="32"/>
        </w:rPr>
        <w:t>按照预算管理有关规定，目前我省部门预算的编制实行综合预算管理，即全部收入和支出都反映的预算中。信访局单位的收支包含在部门预算中。</w:t>
      </w:r>
    </w:p>
    <w:p>
      <w:pPr>
        <w:ind w:firstLine="640"/>
        <w:rPr>
          <w:rFonts w:ascii="Times New Roman" w:hAnsi="Times New Roman" w:eastAsia="仿宋" w:cs="Times New Roman"/>
          <w:sz w:val="32"/>
          <w:szCs w:val="32"/>
        </w:rPr>
      </w:pPr>
      <w:r>
        <w:rPr>
          <w:rFonts w:ascii="Times New Roman" w:hAnsi="Times New Roman" w:eastAsia="仿宋" w:cs="Times New Roman"/>
          <w:sz w:val="32"/>
          <w:szCs w:val="32"/>
        </w:rPr>
        <w:t>1</w:t>
      </w:r>
      <w:r>
        <w:rPr>
          <w:rFonts w:hint="eastAsia" w:ascii="Times New Roman" w:hAnsi="Times New Roman" w:eastAsia="仿宋" w:cs="仿宋"/>
          <w:sz w:val="32"/>
          <w:szCs w:val="32"/>
        </w:rPr>
        <w:t>、收入说明</w:t>
      </w:r>
    </w:p>
    <w:p>
      <w:pPr>
        <w:ind w:firstLine="640"/>
        <w:rPr>
          <w:rFonts w:ascii="Times New Roman" w:hAnsi="Times New Roman" w:eastAsia="仿宋" w:cs="Times New Roman"/>
          <w:sz w:val="32"/>
          <w:szCs w:val="32"/>
        </w:rPr>
      </w:pPr>
      <w:r>
        <w:rPr>
          <w:rFonts w:ascii="Times New Roman" w:hAnsi="Times New Roman" w:eastAsia="仿宋" w:cs="Times New Roman"/>
          <w:sz w:val="32"/>
          <w:szCs w:val="32"/>
        </w:rPr>
        <w:t>2020</w:t>
      </w:r>
      <w:r>
        <w:rPr>
          <w:rFonts w:hint="eastAsia" w:ascii="Times New Roman" w:hAnsi="Times New Roman" w:eastAsia="仿宋" w:cs="仿宋"/>
          <w:sz w:val="32"/>
          <w:szCs w:val="32"/>
        </w:rPr>
        <w:t>年预算收入</w:t>
      </w:r>
      <w:r>
        <w:rPr>
          <w:rFonts w:ascii="Times New Roman" w:hAnsi="Times New Roman" w:eastAsia="仿宋" w:cs="Times New Roman"/>
          <w:sz w:val="32"/>
          <w:szCs w:val="32"/>
        </w:rPr>
        <w:t xml:space="preserve"> </w:t>
      </w:r>
      <w:r>
        <w:rPr>
          <w:rFonts w:hint="eastAsia" w:ascii="Times New Roman" w:hAnsi="Times New Roman" w:eastAsia="仿宋" w:cs="Times New Roman"/>
          <w:sz w:val="32"/>
          <w:szCs w:val="32"/>
        </w:rPr>
        <w:t>282.29</w:t>
      </w:r>
      <w:r>
        <w:rPr>
          <w:rFonts w:hint="eastAsia" w:ascii="Times New Roman" w:hAnsi="Times New Roman" w:eastAsia="仿宋" w:cs="仿宋"/>
          <w:sz w:val="32"/>
          <w:szCs w:val="32"/>
        </w:rPr>
        <w:t>万元，其中：一般公共预算收入</w:t>
      </w:r>
      <w:r>
        <w:rPr>
          <w:rFonts w:ascii="Times New Roman" w:hAnsi="Times New Roman" w:eastAsia="仿宋" w:cs="Times New Roman"/>
          <w:sz w:val="32"/>
          <w:szCs w:val="32"/>
        </w:rPr>
        <w:t xml:space="preserve">   </w:t>
      </w:r>
      <w:r>
        <w:rPr>
          <w:rFonts w:hint="eastAsia" w:ascii="Times New Roman" w:hAnsi="Times New Roman" w:eastAsia="仿宋" w:cs="Times New Roman"/>
          <w:sz w:val="32"/>
          <w:szCs w:val="32"/>
        </w:rPr>
        <w:t>282.29</w:t>
      </w:r>
      <w:r>
        <w:rPr>
          <w:rFonts w:hint="eastAsia" w:ascii="Times New Roman" w:hAnsi="Times New Roman" w:eastAsia="仿宋" w:cs="仿宋"/>
          <w:sz w:val="32"/>
          <w:szCs w:val="32"/>
        </w:rPr>
        <w:t>万元，基金预算收入</w:t>
      </w:r>
      <w:r>
        <w:rPr>
          <w:rFonts w:ascii="Times New Roman" w:hAnsi="Times New Roman" w:eastAsia="仿宋" w:cs="Times New Roman"/>
          <w:sz w:val="32"/>
          <w:szCs w:val="32"/>
        </w:rPr>
        <w:t>0</w:t>
      </w:r>
      <w:r>
        <w:rPr>
          <w:rFonts w:hint="eastAsia" w:ascii="Times New Roman" w:hAnsi="Times New Roman" w:eastAsia="仿宋" w:cs="仿宋"/>
          <w:sz w:val="32"/>
          <w:szCs w:val="32"/>
        </w:rPr>
        <w:t>万元，财政专户核拨收入</w:t>
      </w:r>
      <w:r>
        <w:rPr>
          <w:rFonts w:ascii="Times New Roman" w:hAnsi="Times New Roman" w:eastAsia="仿宋" w:cs="Times New Roman"/>
          <w:sz w:val="32"/>
          <w:szCs w:val="32"/>
        </w:rPr>
        <w:t>0</w:t>
      </w:r>
      <w:r>
        <w:rPr>
          <w:rFonts w:hint="eastAsia" w:ascii="Times New Roman" w:hAnsi="Times New Roman" w:eastAsia="仿宋" w:cs="仿宋"/>
          <w:sz w:val="32"/>
          <w:szCs w:val="32"/>
        </w:rPr>
        <w:t>万元，其他来源收入</w:t>
      </w:r>
      <w:r>
        <w:rPr>
          <w:rFonts w:ascii="Times New Roman" w:hAnsi="Times New Roman" w:eastAsia="仿宋" w:cs="Times New Roman"/>
          <w:sz w:val="32"/>
          <w:szCs w:val="32"/>
        </w:rPr>
        <w:t>0</w:t>
      </w:r>
      <w:r>
        <w:rPr>
          <w:rFonts w:hint="eastAsia" w:ascii="Times New Roman" w:hAnsi="Times New Roman" w:eastAsia="仿宋" w:cs="仿宋"/>
          <w:sz w:val="32"/>
          <w:szCs w:val="32"/>
        </w:rPr>
        <w:t>万元。</w:t>
      </w:r>
    </w:p>
    <w:p>
      <w:pPr>
        <w:ind w:firstLine="640"/>
        <w:rPr>
          <w:rFonts w:ascii="Times New Roman" w:hAnsi="Times New Roman" w:eastAsia="仿宋" w:cs="Times New Roman"/>
          <w:sz w:val="32"/>
          <w:szCs w:val="32"/>
        </w:rPr>
      </w:pPr>
      <w:r>
        <w:rPr>
          <w:rFonts w:ascii="Times New Roman" w:hAnsi="Times New Roman" w:eastAsia="仿宋" w:cs="Times New Roman"/>
          <w:sz w:val="32"/>
          <w:szCs w:val="32"/>
        </w:rPr>
        <w:t>2</w:t>
      </w:r>
      <w:r>
        <w:rPr>
          <w:rFonts w:hint="eastAsia" w:ascii="Times New Roman" w:hAnsi="Times New Roman" w:eastAsia="仿宋" w:cs="仿宋"/>
          <w:sz w:val="32"/>
          <w:szCs w:val="32"/>
        </w:rPr>
        <w:t>、支出说明</w:t>
      </w:r>
    </w:p>
    <w:p>
      <w:pPr>
        <w:ind w:firstLine="640"/>
        <w:rPr>
          <w:rFonts w:ascii="Times New Roman" w:hAnsi="Times New Roman" w:eastAsia="仿宋" w:cs="Times New Roman"/>
          <w:sz w:val="32"/>
          <w:szCs w:val="32"/>
        </w:rPr>
      </w:pPr>
      <w:r>
        <w:rPr>
          <w:rFonts w:ascii="Times New Roman" w:hAnsi="Times New Roman" w:eastAsia="仿宋" w:cs="Times New Roman"/>
          <w:sz w:val="32"/>
          <w:szCs w:val="32"/>
        </w:rPr>
        <w:t>2020</w:t>
      </w:r>
      <w:r>
        <w:rPr>
          <w:rFonts w:hint="eastAsia" w:ascii="Times New Roman" w:hAnsi="Times New Roman" w:eastAsia="仿宋" w:cs="仿宋"/>
          <w:sz w:val="32"/>
          <w:szCs w:val="32"/>
        </w:rPr>
        <w:t>年部门支出预算为</w:t>
      </w:r>
      <w:r>
        <w:rPr>
          <w:rFonts w:ascii="Times New Roman" w:hAnsi="Times New Roman" w:eastAsia="仿宋" w:cs="Times New Roman"/>
          <w:sz w:val="32"/>
          <w:szCs w:val="32"/>
        </w:rPr>
        <w:t xml:space="preserve"> </w:t>
      </w:r>
      <w:r>
        <w:rPr>
          <w:rFonts w:hint="eastAsia" w:ascii="Times New Roman" w:hAnsi="Times New Roman" w:eastAsia="仿宋" w:cs="Times New Roman"/>
          <w:sz w:val="32"/>
          <w:szCs w:val="32"/>
        </w:rPr>
        <w:t>282.29</w:t>
      </w:r>
      <w:r>
        <w:rPr>
          <w:rFonts w:ascii="Times New Roman" w:hAnsi="Times New Roman" w:eastAsia="仿宋" w:cs="Times New Roman"/>
          <w:sz w:val="32"/>
          <w:szCs w:val="32"/>
        </w:rPr>
        <w:t xml:space="preserve"> </w:t>
      </w:r>
      <w:r>
        <w:rPr>
          <w:rFonts w:hint="eastAsia" w:ascii="Times New Roman" w:hAnsi="Times New Roman" w:eastAsia="仿宋" w:cs="仿宋"/>
          <w:sz w:val="32"/>
          <w:szCs w:val="32"/>
        </w:rPr>
        <w:t>万元，其中基本支出197.89</w:t>
      </w:r>
      <w:r>
        <w:rPr>
          <w:rFonts w:ascii="Times New Roman" w:hAnsi="Times New Roman" w:eastAsia="仿宋" w:cs="Times New Roman"/>
          <w:sz w:val="32"/>
          <w:szCs w:val="32"/>
        </w:rPr>
        <w:t xml:space="preserve"> </w:t>
      </w:r>
      <w:r>
        <w:rPr>
          <w:rFonts w:hint="eastAsia" w:ascii="Times New Roman" w:hAnsi="Times New Roman" w:eastAsia="仿宋" w:cs="仿宋"/>
          <w:sz w:val="32"/>
          <w:szCs w:val="32"/>
        </w:rPr>
        <w:t>万元，包括人员经费</w:t>
      </w:r>
      <w:r>
        <w:rPr>
          <w:rFonts w:hint="eastAsia" w:ascii="Times New Roman" w:hAnsi="Times New Roman" w:eastAsia="仿宋" w:cs="Times New Roman"/>
          <w:sz w:val="32"/>
          <w:szCs w:val="32"/>
        </w:rPr>
        <w:t>177.21万元，</w:t>
      </w:r>
      <w:r>
        <w:rPr>
          <w:rFonts w:hint="eastAsia" w:ascii="Times New Roman" w:hAnsi="Times New Roman" w:eastAsia="仿宋" w:cs="仿宋"/>
          <w:sz w:val="32"/>
          <w:szCs w:val="32"/>
        </w:rPr>
        <w:t>常公用经费</w:t>
      </w:r>
      <w:r>
        <w:rPr>
          <w:rFonts w:ascii="Times New Roman" w:hAnsi="Times New Roman" w:eastAsia="仿宋" w:cs="Times New Roman"/>
          <w:sz w:val="32"/>
          <w:szCs w:val="32"/>
        </w:rPr>
        <w:t xml:space="preserve"> </w:t>
      </w:r>
      <w:r>
        <w:rPr>
          <w:rFonts w:hint="eastAsia" w:ascii="Times New Roman" w:hAnsi="Times New Roman" w:eastAsia="仿宋" w:cs="Times New Roman"/>
          <w:sz w:val="32"/>
          <w:szCs w:val="32"/>
        </w:rPr>
        <w:t>20.68万元，项目</w:t>
      </w:r>
      <w:r>
        <w:rPr>
          <w:rFonts w:hint="eastAsia" w:ascii="Times New Roman" w:hAnsi="Times New Roman" w:eastAsia="仿宋" w:cs="仿宋"/>
          <w:sz w:val="32"/>
          <w:szCs w:val="32"/>
        </w:rPr>
        <w:t>支出</w:t>
      </w:r>
      <w:r>
        <w:rPr>
          <w:rFonts w:ascii="Times New Roman" w:hAnsi="Times New Roman" w:eastAsia="仿宋" w:cs="Times New Roman"/>
          <w:sz w:val="32"/>
          <w:szCs w:val="32"/>
        </w:rPr>
        <w:t xml:space="preserve"> </w:t>
      </w:r>
      <w:r>
        <w:rPr>
          <w:rFonts w:hint="eastAsia" w:ascii="Times New Roman" w:hAnsi="Times New Roman" w:eastAsia="仿宋" w:cs="Times New Roman"/>
          <w:sz w:val="32"/>
          <w:szCs w:val="32"/>
        </w:rPr>
        <w:t>84.4</w:t>
      </w:r>
      <w:r>
        <w:rPr>
          <w:rFonts w:hint="eastAsia" w:ascii="Times New Roman" w:hAnsi="Times New Roman" w:eastAsia="仿宋" w:cs="仿宋"/>
          <w:sz w:val="32"/>
          <w:szCs w:val="32"/>
        </w:rPr>
        <w:t>万元，主要为信访维稳经费支出</w:t>
      </w:r>
      <w:r>
        <w:rPr>
          <w:rFonts w:hint="eastAsia" w:ascii="Times New Roman" w:hAnsi="Times New Roman" w:eastAsia="仿宋" w:cs="Times New Roman"/>
          <w:sz w:val="32"/>
          <w:szCs w:val="32"/>
        </w:rPr>
        <w:t>84.4</w:t>
      </w:r>
      <w:r>
        <w:rPr>
          <w:rFonts w:hint="eastAsia" w:ascii="Times New Roman" w:hAnsi="Times New Roman" w:eastAsia="仿宋" w:cs="仿宋"/>
          <w:sz w:val="32"/>
          <w:szCs w:val="32"/>
        </w:rPr>
        <w:t>万元。</w:t>
      </w:r>
    </w:p>
    <w:p>
      <w:pPr>
        <w:ind w:firstLine="640"/>
        <w:rPr>
          <w:rFonts w:ascii="Times New Roman" w:hAnsi="Times New Roman" w:eastAsia="仿宋" w:cs="Times New Roman"/>
          <w:sz w:val="32"/>
          <w:szCs w:val="32"/>
        </w:rPr>
      </w:pPr>
      <w:r>
        <w:rPr>
          <w:rFonts w:ascii="Times New Roman" w:hAnsi="Times New Roman" w:eastAsia="仿宋" w:cs="Times New Roman"/>
          <w:sz w:val="32"/>
          <w:szCs w:val="32"/>
        </w:rPr>
        <w:t>3</w:t>
      </w:r>
      <w:r>
        <w:rPr>
          <w:rFonts w:hint="eastAsia" w:ascii="Times New Roman" w:hAnsi="Times New Roman" w:eastAsia="仿宋" w:cs="仿宋"/>
          <w:sz w:val="32"/>
          <w:szCs w:val="32"/>
        </w:rPr>
        <w:t>、比上年增减情况</w:t>
      </w:r>
    </w:p>
    <w:p>
      <w:pPr>
        <w:ind w:firstLine="640"/>
        <w:rPr>
          <w:rFonts w:ascii="Times New Roman" w:hAnsi="Times New Roman" w:eastAsia="仿宋" w:cs="Times New Roman"/>
          <w:sz w:val="32"/>
          <w:szCs w:val="32"/>
        </w:rPr>
      </w:pPr>
      <w:r>
        <w:rPr>
          <w:rFonts w:ascii="Times New Roman" w:hAnsi="Times New Roman" w:eastAsia="仿宋" w:cs="Times New Roman"/>
          <w:color w:val="000000"/>
          <w:sz w:val="32"/>
          <w:szCs w:val="32"/>
        </w:rPr>
        <w:t>2020</w:t>
      </w:r>
      <w:r>
        <w:rPr>
          <w:rFonts w:hint="eastAsia" w:ascii="Times New Roman" w:hAnsi="Times New Roman" w:eastAsia="仿宋" w:cs="仿宋"/>
          <w:color w:val="000000"/>
          <w:sz w:val="32"/>
          <w:szCs w:val="32"/>
        </w:rPr>
        <w:t>年部门预算收支安排</w:t>
      </w:r>
      <w:r>
        <w:rPr>
          <w:rFonts w:ascii="Times New Roman" w:hAnsi="Times New Roman" w:eastAsia="仿宋" w:cs="Times New Roman"/>
          <w:sz w:val="32"/>
          <w:szCs w:val="32"/>
        </w:rPr>
        <w:t xml:space="preserve"> </w:t>
      </w:r>
      <w:r>
        <w:rPr>
          <w:rFonts w:hint="eastAsia" w:ascii="Times New Roman" w:hAnsi="Times New Roman" w:eastAsia="仿宋" w:cs="Times New Roman"/>
          <w:sz w:val="32"/>
          <w:szCs w:val="32"/>
        </w:rPr>
        <w:t>282.29</w:t>
      </w:r>
      <w:r>
        <w:rPr>
          <w:rFonts w:ascii="Times New Roman" w:hAnsi="Times New Roman" w:eastAsia="仿宋" w:cs="Times New Roman"/>
          <w:sz w:val="32"/>
          <w:szCs w:val="32"/>
        </w:rPr>
        <w:t xml:space="preserve"> </w:t>
      </w:r>
      <w:r>
        <w:rPr>
          <w:rFonts w:hint="eastAsia" w:ascii="Times New Roman" w:hAnsi="Times New Roman" w:eastAsia="仿宋" w:cs="仿宋"/>
          <w:color w:val="000000"/>
          <w:sz w:val="32"/>
          <w:szCs w:val="32"/>
        </w:rPr>
        <w:t>万元，</w:t>
      </w:r>
      <w:r>
        <w:rPr>
          <w:rFonts w:hint="eastAsia" w:ascii="Times New Roman" w:hAnsi="Times New Roman" w:eastAsia="仿宋" w:cs="仿宋"/>
          <w:sz w:val="32"/>
          <w:szCs w:val="32"/>
        </w:rPr>
        <w:t>较</w:t>
      </w:r>
      <w:r>
        <w:rPr>
          <w:rFonts w:ascii="Times New Roman" w:hAnsi="Times New Roman" w:eastAsia="仿宋" w:cs="Times New Roman"/>
          <w:sz w:val="32"/>
          <w:szCs w:val="32"/>
        </w:rPr>
        <w:t>2019</w:t>
      </w:r>
      <w:r>
        <w:rPr>
          <w:rFonts w:hint="eastAsia" w:ascii="Times New Roman" w:hAnsi="Times New Roman" w:eastAsia="仿宋" w:cs="仿宋"/>
          <w:sz w:val="32"/>
          <w:szCs w:val="32"/>
        </w:rPr>
        <w:t>年增加</w:t>
      </w:r>
      <w:r>
        <w:rPr>
          <w:rFonts w:ascii="Times New Roman" w:hAnsi="Times New Roman" w:eastAsia="仿宋" w:cs="Times New Roman"/>
          <w:sz w:val="32"/>
          <w:szCs w:val="32"/>
        </w:rPr>
        <w:t xml:space="preserve">    </w:t>
      </w:r>
      <w:r>
        <w:rPr>
          <w:rFonts w:hint="eastAsia" w:ascii="Times New Roman" w:hAnsi="Times New Roman" w:eastAsia="仿宋" w:cs="Times New Roman"/>
          <w:sz w:val="32"/>
          <w:szCs w:val="32"/>
        </w:rPr>
        <w:t>39.44</w:t>
      </w:r>
      <w:r>
        <w:rPr>
          <w:rFonts w:hint="eastAsia" w:ascii="Times New Roman" w:hAnsi="Times New Roman" w:eastAsia="仿宋" w:cs="仿宋"/>
          <w:sz w:val="32"/>
          <w:szCs w:val="32"/>
        </w:rPr>
        <w:t>万元，其中：基本支出增加</w:t>
      </w:r>
      <w:r>
        <w:rPr>
          <w:rFonts w:hint="eastAsia" w:ascii="Times New Roman" w:hAnsi="Times New Roman" w:eastAsia="仿宋" w:cs="Times New Roman"/>
          <w:sz w:val="32"/>
          <w:szCs w:val="32"/>
        </w:rPr>
        <w:t>30.23</w:t>
      </w:r>
      <w:r>
        <w:rPr>
          <w:rFonts w:hint="eastAsia" w:ascii="Times New Roman" w:hAnsi="Times New Roman" w:eastAsia="仿宋" w:cs="仿宋"/>
          <w:sz w:val="32"/>
          <w:szCs w:val="32"/>
        </w:rPr>
        <w:t>万元，主要是人员增加；项目支出增加</w:t>
      </w:r>
      <w:r>
        <w:rPr>
          <w:rFonts w:ascii="Times New Roman" w:hAnsi="Times New Roman" w:eastAsia="仿宋" w:cs="Times New Roman"/>
          <w:sz w:val="32"/>
          <w:szCs w:val="32"/>
        </w:rPr>
        <w:t xml:space="preserve"> </w:t>
      </w:r>
      <w:r>
        <w:rPr>
          <w:rFonts w:hint="eastAsia" w:ascii="Times New Roman" w:hAnsi="Times New Roman" w:eastAsia="仿宋" w:cs="Times New Roman"/>
          <w:sz w:val="32"/>
          <w:szCs w:val="32"/>
        </w:rPr>
        <w:t>9.21</w:t>
      </w:r>
      <w:r>
        <w:rPr>
          <w:rFonts w:hint="eastAsia" w:ascii="Times New Roman" w:hAnsi="Times New Roman" w:eastAsia="仿宋" w:cs="仿宋"/>
          <w:sz w:val="32"/>
          <w:szCs w:val="32"/>
        </w:rPr>
        <w:t>万元，主要是信访维稳支出增加。</w:t>
      </w:r>
    </w:p>
    <w:p>
      <w:pPr>
        <w:autoSpaceDE w:val="0"/>
        <w:autoSpaceDN w:val="0"/>
        <w:adjustRightInd w:val="0"/>
        <w:ind w:firstLine="960" w:firstLineChars="300"/>
        <w:jc w:val="left"/>
        <w:rPr>
          <w:rFonts w:ascii="黑体" w:hAnsi="黑体" w:eastAsia="黑体" w:cs="Times New Roman"/>
          <w:sz w:val="32"/>
          <w:szCs w:val="32"/>
        </w:rPr>
      </w:pPr>
      <w:r>
        <w:rPr>
          <w:rFonts w:hint="eastAsia" w:ascii="黑体" w:hAnsi="黑体" w:eastAsia="黑体" w:cs="黑体"/>
          <w:sz w:val="32"/>
          <w:szCs w:val="32"/>
        </w:rPr>
        <w:t>三、机关运行经费安排情况</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2020</w:t>
      </w:r>
      <w:r>
        <w:rPr>
          <w:rFonts w:hint="eastAsia" w:ascii="Times New Roman" w:hAnsi="Times New Roman" w:eastAsia="仿宋" w:cs="仿宋"/>
          <w:sz w:val="32"/>
          <w:szCs w:val="32"/>
        </w:rPr>
        <w:t>年，我部门机关运行经费共计安排</w:t>
      </w:r>
      <w:r>
        <w:rPr>
          <w:rFonts w:ascii="Times New Roman" w:hAnsi="Times New Roman" w:eastAsia="仿宋" w:cs="Times New Roman"/>
          <w:sz w:val="32"/>
          <w:szCs w:val="32"/>
        </w:rPr>
        <w:t xml:space="preserve"> </w:t>
      </w:r>
      <w:r>
        <w:rPr>
          <w:rFonts w:hint="eastAsia" w:ascii="Times New Roman" w:hAnsi="Times New Roman" w:eastAsia="仿宋" w:cs="Times New Roman"/>
          <w:sz w:val="32"/>
          <w:szCs w:val="32"/>
        </w:rPr>
        <w:t>20.68</w:t>
      </w:r>
      <w:r>
        <w:rPr>
          <w:rFonts w:hint="eastAsia" w:ascii="Times New Roman" w:hAnsi="Times New Roman" w:eastAsia="仿宋" w:cs="仿宋"/>
          <w:sz w:val="32"/>
          <w:szCs w:val="32"/>
        </w:rPr>
        <w:t>万元，主要用于保证机关正常运转的办公及印刷费、邮电费、差旅费、会议费、福利费、专用材料及一般设备购置费、办公用房水电费、办公用房取暖费、日常维修费、办公楼物业管理费、公务车运行维护费等支出。</w:t>
      </w:r>
    </w:p>
    <w:p>
      <w:pPr>
        <w:autoSpaceDE w:val="0"/>
        <w:autoSpaceDN w:val="0"/>
        <w:adjustRightInd w:val="0"/>
        <w:ind w:left="198" w:firstLine="640" w:firstLineChars="200"/>
        <w:jc w:val="left"/>
        <w:rPr>
          <w:rFonts w:ascii="黑体" w:hAnsi="黑体" w:eastAsia="黑体" w:cs="Times New Roman"/>
          <w:sz w:val="32"/>
          <w:szCs w:val="32"/>
        </w:rPr>
      </w:pPr>
      <w:r>
        <w:rPr>
          <w:rFonts w:hint="eastAsia" w:ascii="黑体" w:hAnsi="黑体" w:eastAsia="黑体" w:cs="黑体"/>
          <w:sz w:val="32"/>
          <w:szCs w:val="32"/>
        </w:rPr>
        <w:t>四、财政拨款“三公”经费预算情况及增减变化原因</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2020</w:t>
      </w:r>
      <w:r>
        <w:rPr>
          <w:rFonts w:hint="eastAsia" w:ascii="Times New Roman" w:hAnsi="Times New Roman" w:eastAsia="仿宋" w:cs="仿宋"/>
          <w:sz w:val="32"/>
          <w:szCs w:val="32"/>
        </w:rPr>
        <w:t>年，我部门财政拨款“三公”经费预算安排</w:t>
      </w:r>
      <w:r>
        <w:rPr>
          <w:rFonts w:ascii="Times New Roman" w:hAnsi="Times New Roman" w:eastAsia="仿宋" w:cs="Times New Roman"/>
          <w:sz w:val="32"/>
          <w:szCs w:val="32"/>
        </w:rPr>
        <w:t xml:space="preserve"> </w:t>
      </w:r>
      <w:r>
        <w:rPr>
          <w:rFonts w:hint="eastAsia" w:ascii="Times New Roman" w:hAnsi="Times New Roman" w:eastAsia="仿宋" w:cs="Times New Roman"/>
          <w:sz w:val="32"/>
          <w:szCs w:val="32"/>
        </w:rPr>
        <w:t>3</w:t>
      </w:r>
      <w:r>
        <w:rPr>
          <w:rFonts w:hint="eastAsia" w:ascii="Times New Roman" w:hAnsi="Times New Roman" w:eastAsia="仿宋" w:cs="仿宋"/>
          <w:sz w:val="32"/>
          <w:szCs w:val="32"/>
        </w:rPr>
        <w:t>万元，其中：因公出国（境）费</w:t>
      </w:r>
      <w:r>
        <w:rPr>
          <w:rFonts w:ascii="Times New Roman" w:hAnsi="Times New Roman" w:eastAsia="仿宋" w:cs="Times New Roman"/>
          <w:sz w:val="32"/>
          <w:szCs w:val="32"/>
        </w:rPr>
        <w:t xml:space="preserve"> </w:t>
      </w:r>
      <w:r>
        <w:rPr>
          <w:rFonts w:hint="eastAsia" w:ascii="Times New Roman" w:hAnsi="Times New Roman" w:eastAsia="仿宋" w:cs="Times New Roman"/>
          <w:sz w:val="32"/>
          <w:szCs w:val="32"/>
        </w:rPr>
        <w:t>0</w:t>
      </w:r>
      <w:r>
        <w:rPr>
          <w:rFonts w:ascii="Times New Roman" w:hAnsi="Times New Roman" w:eastAsia="仿宋" w:cs="Times New Roman"/>
          <w:sz w:val="32"/>
          <w:szCs w:val="32"/>
        </w:rPr>
        <w:t xml:space="preserve"> </w:t>
      </w:r>
      <w:r>
        <w:rPr>
          <w:rFonts w:hint="eastAsia" w:ascii="Times New Roman" w:hAnsi="Times New Roman" w:eastAsia="仿宋" w:cs="仿宋"/>
          <w:sz w:val="32"/>
          <w:szCs w:val="32"/>
        </w:rPr>
        <w:t>万元；公务用车购置及运维费</w:t>
      </w:r>
      <w:r>
        <w:rPr>
          <w:rFonts w:ascii="Times New Roman" w:hAnsi="Times New Roman" w:eastAsia="仿宋" w:cs="Times New Roman"/>
          <w:sz w:val="32"/>
          <w:szCs w:val="32"/>
        </w:rPr>
        <w:t xml:space="preserve"> </w:t>
      </w:r>
      <w:r>
        <w:rPr>
          <w:rFonts w:hint="eastAsia" w:ascii="Times New Roman" w:hAnsi="Times New Roman" w:eastAsia="仿宋" w:cs="Times New Roman"/>
          <w:sz w:val="32"/>
          <w:szCs w:val="32"/>
        </w:rPr>
        <w:t>3</w:t>
      </w:r>
      <w:r>
        <w:rPr>
          <w:rFonts w:hint="eastAsia" w:ascii="Times New Roman" w:hAnsi="Times New Roman" w:eastAsia="仿宋" w:cs="仿宋"/>
          <w:sz w:val="32"/>
          <w:szCs w:val="32"/>
        </w:rPr>
        <w:t>万元（其中：公务用车购置费</w:t>
      </w:r>
      <w:r>
        <w:rPr>
          <w:rFonts w:ascii="Times New Roman" w:hAnsi="Times New Roman" w:eastAsia="仿宋" w:cs="Times New Roman"/>
          <w:sz w:val="32"/>
          <w:szCs w:val="32"/>
        </w:rPr>
        <w:t>0</w:t>
      </w:r>
      <w:r>
        <w:rPr>
          <w:rFonts w:hint="eastAsia" w:ascii="Times New Roman" w:hAnsi="Times New Roman" w:eastAsia="仿宋" w:cs="仿宋"/>
          <w:sz w:val="32"/>
          <w:szCs w:val="32"/>
        </w:rPr>
        <w:t>万元，公务用车运行维护费</w:t>
      </w:r>
      <w:r>
        <w:rPr>
          <w:rFonts w:ascii="Times New Roman" w:hAnsi="Times New Roman" w:eastAsia="仿宋" w:cs="Times New Roman"/>
          <w:sz w:val="32"/>
          <w:szCs w:val="32"/>
        </w:rPr>
        <w:t xml:space="preserve"> </w:t>
      </w:r>
      <w:r>
        <w:rPr>
          <w:rFonts w:hint="eastAsia" w:ascii="Times New Roman" w:hAnsi="Times New Roman" w:eastAsia="仿宋" w:cs="Times New Roman"/>
          <w:sz w:val="32"/>
          <w:szCs w:val="32"/>
        </w:rPr>
        <w:t>3</w:t>
      </w:r>
      <w:r>
        <w:rPr>
          <w:rFonts w:ascii="Times New Roman" w:hAnsi="Times New Roman" w:eastAsia="仿宋" w:cs="Times New Roman"/>
          <w:sz w:val="32"/>
          <w:szCs w:val="32"/>
        </w:rPr>
        <w:t xml:space="preserve"> </w:t>
      </w:r>
      <w:r>
        <w:rPr>
          <w:rFonts w:hint="eastAsia" w:ascii="Times New Roman" w:hAnsi="Times New Roman" w:eastAsia="仿宋" w:cs="仿宋"/>
          <w:sz w:val="32"/>
          <w:szCs w:val="32"/>
        </w:rPr>
        <w:t>万元</w:t>
      </w:r>
      <w:r>
        <w:rPr>
          <w:rFonts w:ascii="Times New Roman" w:hAnsi="Times New Roman" w:eastAsia="仿宋" w:cs="Times New Roman"/>
          <w:sz w:val="32"/>
          <w:szCs w:val="32"/>
        </w:rPr>
        <w:t>)</w:t>
      </w:r>
      <w:r>
        <w:rPr>
          <w:rFonts w:hint="eastAsia" w:ascii="Times New Roman" w:hAnsi="Times New Roman" w:eastAsia="仿宋" w:cs="仿宋"/>
          <w:sz w:val="32"/>
          <w:szCs w:val="32"/>
        </w:rPr>
        <w:t>；公务接待费</w:t>
      </w:r>
      <w:r>
        <w:rPr>
          <w:rFonts w:ascii="Times New Roman" w:hAnsi="Times New Roman" w:eastAsia="仿宋" w:cs="Times New Roman"/>
          <w:sz w:val="32"/>
          <w:szCs w:val="32"/>
        </w:rPr>
        <w:t xml:space="preserve"> </w:t>
      </w:r>
      <w:r>
        <w:rPr>
          <w:rFonts w:hint="eastAsia" w:ascii="Times New Roman" w:hAnsi="Times New Roman" w:eastAsia="仿宋" w:cs="Times New Roman"/>
          <w:sz w:val="32"/>
          <w:szCs w:val="32"/>
        </w:rPr>
        <w:t>0</w:t>
      </w:r>
      <w:r>
        <w:rPr>
          <w:rFonts w:ascii="Times New Roman" w:hAnsi="Times New Roman" w:eastAsia="仿宋" w:cs="Times New Roman"/>
          <w:sz w:val="32"/>
          <w:szCs w:val="32"/>
        </w:rPr>
        <w:t xml:space="preserve"> </w:t>
      </w:r>
      <w:r>
        <w:rPr>
          <w:rFonts w:hint="eastAsia" w:ascii="Times New Roman" w:hAnsi="Times New Roman" w:eastAsia="仿宋" w:cs="仿宋"/>
          <w:sz w:val="32"/>
          <w:szCs w:val="32"/>
        </w:rPr>
        <w:t>万元。“三公”经费与上年持平，无增减变化。</w:t>
      </w:r>
    </w:p>
    <w:p>
      <w:pPr>
        <w:autoSpaceDE w:val="0"/>
        <w:autoSpaceDN w:val="0"/>
        <w:adjustRightInd w:val="0"/>
        <w:ind w:left="198" w:firstLine="640" w:firstLineChars="200"/>
        <w:jc w:val="left"/>
        <w:rPr>
          <w:rFonts w:ascii="黑体" w:hAnsi="黑体" w:eastAsia="黑体" w:cs="Times New Roman"/>
          <w:sz w:val="32"/>
          <w:szCs w:val="32"/>
        </w:rPr>
      </w:pPr>
      <w:r>
        <w:rPr>
          <w:rFonts w:hint="eastAsia" w:ascii="黑体" w:hAnsi="黑体" w:eastAsia="黑体" w:cs="黑体"/>
          <w:sz w:val="32"/>
          <w:szCs w:val="32"/>
        </w:rPr>
        <w:t>五、预算绩效信息</w:t>
      </w:r>
    </w:p>
    <w:p>
      <w:pPr>
        <w:ind w:firstLine="640" w:firstLineChars="200"/>
        <w:jc w:val="left"/>
        <w:rPr>
          <w:rFonts w:ascii="Times New Roman" w:hAnsi="Times New Roman" w:eastAsia="方正仿宋_GBK" w:cs="Times New Roman"/>
          <w:b/>
          <w:sz w:val="32"/>
          <w:szCs w:val="32"/>
        </w:rPr>
      </w:pPr>
      <w:bookmarkStart w:id="0" w:name="_Toc471398463"/>
      <w:r>
        <w:rPr>
          <w:rFonts w:hint="eastAsia" w:ascii="Times New Roman" w:hAnsi="Times New Roman" w:eastAsia="方正仿宋_GBK" w:cs="Times New Roman"/>
          <w:b/>
          <w:sz w:val="32"/>
          <w:szCs w:val="32"/>
        </w:rPr>
        <w:t>第一部分</w:t>
      </w:r>
      <w:r>
        <w:rPr>
          <w:rFonts w:ascii="Times New Roman" w:hAnsi="Times New Roman" w:eastAsia="方正仿宋_GBK" w:cs="Times New Roman"/>
          <w:b/>
          <w:sz w:val="32"/>
          <w:szCs w:val="32"/>
        </w:rPr>
        <w:t xml:space="preserve">  </w:t>
      </w:r>
      <w:r>
        <w:rPr>
          <w:rFonts w:hint="eastAsia" w:ascii="Times New Roman" w:hAnsi="Times New Roman" w:eastAsia="方正仿宋_GBK" w:cs="Times New Roman"/>
          <w:b/>
          <w:sz w:val="32"/>
          <w:szCs w:val="32"/>
        </w:rPr>
        <w:t>部门整体绩效目标</w:t>
      </w:r>
    </w:p>
    <w:p>
      <w:pPr>
        <w:ind w:firstLine="640" w:firstLineChars="200"/>
        <w:jc w:val="left"/>
        <w:rPr>
          <w:rFonts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（一）总体绩效目标</w:t>
      </w:r>
      <w:r>
        <w:rPr>
          <w:rFonts w:ascii="Times New Roman" w:hAnsi="Times New Roman" w:eastAsia="方正仿宋_GBK" w:cs="Times New Roman"/>
          <w:b/>
          <w:sz w:val="32"/>
          <w:szCs w:val="32"/>
        </w:rPr>
        <w:fldChar w:fldCharType="begin"/>
      </w:r>
      <w:r>
        <w:rPr>
          <w:rFonts w:ascii="Times New Roman" w:hAnsi="Times New Roman" w:eastAsia="方正仿宋_GBK" w:cs="Times New Roman"/>
          <w:b/>
          <w:sz w:val="32"/>
          <w:szCs w:val="32"/>
        </w:rPr>
        <w:instrText xml:space="preserve">tc "</w:instrText>
      </w:r>
      <w:bookmarkStart w:id="1" w:name="_Toc29484628"/>
      <w:r>
        <w:rPr>
          <w:rFonts w:hint="eastAsia" w:ascii="Times New Roman" w:hAnsi="Times New Roman" w:eastAsia="方正仿宋_GBK" w:cs="Times New Roman"/>
          <w:b/>
          <w:sz w:val="32"/>
          <w:szCs w:val="32"/>
        </w:rPr>
        <w:instrText xml:space="preserve">总体绩效目标</w:instrText>
      </w:r>
      <w:bookmarkEnd w:id="1"/>
      <w:r>
        <w:rPr>
          <w:rFonts w:ascii="Times New Roman" w:hAnsi="Times New Roman" w:eastAsia="方正仿宋_GBK" w:cs="Times New Roman"/>
          <w:b/>
          <w:sz w:val="32"/>
          <w:szCs w:val="32"/>
        </w:rPr>
        <w:instrText xml:space="preserve">" \f A \l 01</w:instrText>
      </w:r>
      <w:r>
        <w:rPr>
          <w:rFonts w:ascii="Times New Roman" w:hAnsi="Times New Roman" w:eastAsia="方正仿宋_GBK" w:cs="Times New Roman"/>
          <w:b/>
          <w:sz w:val="32"/>
          <w:szCs w:val="32"/>
        </w:rPr>
        <w:fldChar w:fldCharType="end"/>
      </w:r>
    </w:p>
    <w:p>
      <w:pPr>
        <w:ind w:firstLine="640" w:firstLineChars="200"/>
        <w:jc w:val="left"/>
        <w:rPr>
          <w:rFonts w:ascii="Times New Roman" w:hAnsi="Times New Roman" w:eastAsia="仿宋" w:cs="仿宋"/>
          <w:sz w:val="32"/>
          <w:szCs w:val="32"/>
        </w:rPr>
      </w:pPr>
      <w:r>
        <w:rPr>
          <w:rFonts w:hint="eastAsia" w:ascii="Times New Roman" w:hAnsi="Times New Roman" w:eastAsia="仿宋" w:cs="仿宋"/>
          <w:sz w:val="32"/>
          <w:szCs w:val="32"/>
        </w:rPr>
        <w:t>一、总体</w:t>
      </w:r>
      <w:r>
        <w:rPr>
          <w:rFonts w:ascii="Times New Roman" w:hAnsi="Times New Roman" w:eastAsia="仿宋" w:cs="仿宋"/>
          <w:sz w:val="32"/>
          <w:szCs w:val="32"/>
        </w:rPr>
        <w:fldChar w:fldCharType="begin"/>
      </w:r>
      <w:r>
        <w:rPr>
          <w:rFonts w:ascii="Times New Roman" w:hAnsi="Times New Roman" w:eastAsia="仿宋" w:cs="仿宋"/>
          <w:sz w:val="32"/>
          <w:szCs w:val="32"/>
        </w:rPr>
        <w:instrText xml:space="preserve"> </w:instrText>
      </w:r>
      <w:r>
        <w:rPr>
          <w:rFonts w:hint="eastAsia" w:ascii="Times New Roman" w:hAnsi="Times New Roman" w:eastAsia="仿宋" w:cs="仿宋"/>
          <w:sz w:val="32"/>
          <w:szCs w:val="32"/>
        </w:rPr>
        <w:instrText xml:space="preserve">TC </w:instrText>
      </w:r>
      <w:bookmarkStart w:id="2" w:name="_Toc34959128"/>
      <w:r>
        <w:rPr>
          <w:rFonts w:hint="eastAsia" w:ascii="Times New Roman" w:hAnsi="Times New Roman" w:eastAsia="仿宋" w:cs="仿宋"/>
          <w:sz w:val="32"/>
          <w:szCs w:val="32"/>
        </w:rPr>
        <w:instrText xml:space="preserve">总体绩效目标</w:instrText>
      </w:r>
      <w:bookmarkEnd w:id="2"/>
      <w:r>
        <w:rPr>
          <w:rFonts w:hint="eastAsia" w:ascii="Times New Roman" w:hAnsi="Times New Roman" w:eastAsia="仿宋" w:cs="仿宋"/>
          <w:sz w:val="32"/>
          <w:szCs w:val="32"/>
        </w:rPr>
        <w:instrText xml:space="preserve"> \f A \l 1</w:instrText>
      </w:r>
      <w:r>
        <w:rPr>
          <w:rFonts w:ascii="Times New Roman" w:hAnsi="Times New Roman" w:eastAsia="仿宋" w:cs="仿宋"/>
          <w:sz w:val="32"/>
          <w:szCs w:val="32"/>
        </w:rPr>
        <w:instrText xml:space="preserve"> </w:instrText>
      </w:r>
      <w:r>
        <w:rPr>
          <w:rFonts w:ascii="Times New Roman" w:hAnsi="Times New Roman" w:eastAsia="仿宋" w:cs="仿宋"/>
          <w:sz w:val="32"/>
          <w:szCs w:val="32"/>
        </w:rPr>
        <w:fldChar w:fldCharType="end"/>
      </w:r>
    </w:p>
    <w:p>
      <w:pPr>
        <w:ind w:firstLine="640" w:firstLineChars="200"/>
        <w:jc w:val="left"/>
        <w:rPr>
          <w:rFonts w:ascii="Times New Roman" w:hAnsi="Times New Roman" w:eastAsia="仿宋" w:cs="仿宋"/>
          <w:sz w:val="32"/>
          <w:szCs w:val="32"/>
        </w:rPr>
      </w:pPr>
      <w:r>
        <w:rPr>
          <w:rFonts w:ascii="Times New Roman" w:hAnsi="Times New Roman" w:eastAsia="仿宋" w:cs="仿宋"/>
          <w:sz w:val="32"/>
          <w:szCs w:val="32"/>
        </w:rPr>
        <w:t xml:space="preserve"> 1、信访事项办理“三率”（及信访事项及时受理率、按时答复率、群众满意率）在上年基础上稳步、提升，在全市排位达到中上游水平。</w:t>
      </w:r>
    </w:p>
    <w:p>
      <w:pPr>
        <w:ind w:firstLine="640" w:firstLineChars="200"/>
        <w:jc w:val="left"/>
        <w:rPr>
          <w:rFonts w:ascii="Times New Roman" w:hAnsi="Times New Roman" w:eastAsia="仿宋" w:cs="仿宋"/>
          <w:sz w:val="32"/>
          <w:szCs w:val="32"/>
        </w:rPr>
      </w:pPr>
      <w:r>
        <w:rPr>
          <w:rFonts w:ascii="Times New Roman" w:hAnsi="Times New Roman" w:eastAsia="仿宋" w:cs="仿宋"/>
          <w:sz w:val="32"/>
          <w:szCs w:val="32"/>
        </w:rPr>
        <w:t xml:space="preserve"> 2、加强信访积案办理力度，“三访”（即进京“非访”、进京集体访、赴省集体访）量较上年有大幅下降。</w:t>
      </w:r>
    </w:p>
    <w:p>
      <w:pPr>
        <w:ind w:firstLine="640" w:firstLineChars="200"/>
        <w:jc w:val="left"/>
        <w:rPr>
          <w:rFonts w:ascii="Times New Roman" w:hAnsi="Times New Roman" w:eastAsia="仿宋" w:cs="仿宋"/>
          <w:sz w:val="32"/>
          <w:szCs w:val="32"/>
        </w:rPr>
      </w:pPr>
      <w:r>
        <w:rPr>
          <w:rFonts w:ascii="Times New Roman" w:hAnsi="Times New Roman" w:eastAsia="仿宋" w:cs="仿宋"/>
          <w:sz w:val="32"/>
          <w:szCs w:val="32"/>
        </w:rPr>
        <w:t xml:space="preserve"> 3、做好重大会议和活动期间信访稳定值勤工作，妥善处置突发性、群体性信访事件，畅通信访渠道，提高信访事项办理质量和效率。</w:t>
      </w:r>
    </w:p>
    <w:p>
      <w:pPr>
        <w:ind w:firstLine="640" w:firstLineChars="200"/>
        <w:jc w:val="left"/>
        <w:rPr>
          <w:rFonts w:ascii="Times New Roman" w:hAnsi="Times New Roman" w:eastAsia="仿宋" w:cs="仿宋"/>
          <w:sz w:val="32"/>
          <w:szCs w:val="32"/>
        </w:rPr>
      </w:pPr>
      <w:r>
        <w:rPr>
          <w:rFonts w:ascii="Times New Roman" w:hAnsi="Times New Roman" w:eastAsia="仿宋" w:cs="仿宋"/>
          <w:sz w:val="32"/>
          <w:szCs w:val="32"/>
        </w:rPr>
        <w:t>4、县群众工作中心有效运转，初信初访能够得到及时处理。完成县委、县政府以及上级信访机关交办的其他任务。</w:t>
      </w:r>
    </w:p>
    <w:p>
      <w:pPr>
        <w:ind w:firstLine="640" w:firstLineChars="200"/>
        <w:jc w:val="left"/>
        <w:rPr>
          <w:rFonts w:ascii="Times New Roman" w:hAnsi="Times New Roman" w:eastAsia="仿宋" w:cs="仿宋"/>
          <w:sz w:val="32"/>
          <w:szCs w:val="32"/>
        </w:rPr>
      </w:pPr>
      <w:r>
        <w:rPr>
          <w:rFonts w:ascii="Times New Roman" w:hAnsi="Times New Roman" w:eastAsia="仿宋" w:cs="仿宋"/>
          <w:sz w:val="32"/>
          <w:szCs w:val="32"/>
        </w:rPr>
        <w:t xml:space="preserve"> 5、督促检查和指导全县各乡镇党委政府和县直有关部门的信访工作。对乡镇党委、政府和县直有关部门信访工作年度责任目标进行考核，对全县社会治安综合治理和维护社会政治稳定年度责任目标中有关信访工作进行考核。</w:t>
      </w:r>
    </w:p>
    <w:p>
      <w:pPr>
        <w:ind w:firstLine="640" w:firstLineChars="200"/>
        <w:jc w:val="left"/>
        <w:rPr>
          <w:rFonts w:ascii="方正黑体_GBK" w:eastAsia="方正黑体_GBK"/>
          <w:sz w:val="28"/>
        </w:rPr>
      </w:pPr>
      <w:r>
        <w:rPr>
          <w:rFonts w:ascii="Times New Roman" w:hAnsi="Times New Roman" w:eastAsia="仿宋" w:cs="仿宋"/>
          <w:sz w:val="32"/>
          <w:szCs w:val="32"/>
        </w:rPr>
        <w:t>6、协助上级信访机关处理无极县群众进京上访工作，综合协调处理跨地区、跨部门、跨行业的重要信访问题，协助公安机关维护县委、县政府机关正常工作秩序。</w:t>
      </w:r>
    </w:p>
    <w:p>
      <w:pPr>
        <w:autoSpaceDE w:val="0"/>
        <w:autoSpaceDN w:val="0"/>
        <w:adjustRightInd w:val="0"/>
        <w:ind w:firstLine="480" w:firstLineChars="150"/>
        <w:jc w:val="left"/>
        <w:rPr>
          <w:rFonts w:ascii="Times New Roman" w:hAnsi="Times New Roman" w:eastAsia="方正仿宋_GBK" w:cs="Times New Roman"/>
          <w:b/>
          <w:bCs/>
          <w:sz w:val="32"/>
          <w:szCs w:val="32"/>
        </w:rPr>
      </w:pPr>
      <w:r>
        <w:rPr>
          <w:rFonts w:hint="eastAsia" w:ascii="Times New Roman" w:hAnsi="Times New Roman" w:eastAsia="方正仿宋_GBK" w:cs="方正仿宋_GBK"/>
          <w:b/>
          <w:bCs/>
          <w:sz w:val="32"/>
          <w:szCs w:val="32"/>
        </w:rPr>
        <w:t>（二）分项绩效目标</w:t>
      </w:r>
      <w:r>
        <w:rPr>
          <w:rFonts w:ascii="Times New Roman" w:hAnsi="Times New Roman" w:eastAsia="方正仿宋_GBK" w:cs="方正仿宋_GBK"/>
          <w:b/>
          <w:bCs/>
          <w:sz w:val="32"/>
          <w:szCs w:val="32"/>
        </w:rPr>
        <w:fldChar w:fldCharType="begin"/>
      </w:r>
      <w:r>
        <w:rPr>
          <w:rFonts w:ascii="Times New Roman" w:hAnsi="Times New Roman" w:eastAsia="方正仿宋_GBK" w:cs="Times New Roman"/>
          <w:b/>
          <w:bCs/>
          <w:sz w:val="32"/>
          <w:szCs w:val="32"/>
        </w:rPr>
        <w:instrText xml:space="preserve">tc "</w:instrText>
      </w:r>
      <w:bookmarkStart w:id="3" w:name="_Toc29484629"/>
      <w:r>
        <w:rPr>
          <w:rFonts w:hint="eastAsia" w:ascii="Times New Roman" w:hAnsi="Times New Roman" w:eastAsia="方正仿宋_GBK" w:cs="方正仿宋_GBK"/>
          <w:b/>
          <w:bCs/>
          <w:sz w:val="32"/>
          <w:szCs w:val="32"/>
        </w:rPr>
        <w:instrText xml:space="preserve">分项绩效目标</w:instrText>
      </w:r>
      <w:bookmarkEnd w:id="3"/>
      <w:r>
        <w:rPr>
          <w:rFonts w:ascii="Times New Roman" w:hAnsi="Times New Roman" w:eastAsia="方正仿宋_GBK" w:cs="Times New Roman"/>
          <w:b/>
          <w:bCs/>
          <w:sz w:val="32"/>
          <w:szCs w:val="32"/>
        </w:rPr>
        <w:instrText xml:space="preserve">" \f A \l 01</w:instrText>
      </w:r>
      <w:r>
        <w:rPr>
          <w:rFonts w:ascii="Times New Roman" w:hAnsi="Times New Roman" w:eastAsia="方正仿宋_GBK" w:cs="方正仿宋_GBK"/>
          <w:b/>
          <w:bCs/>
          <w:sz w:val="32"/>
          <w:szCs w:val="32"/>
        </w:rPr>
        <w:fldChar w:fldCharType="end"/>
      </w:r>
    </w:p>
    <w:p>
      <w:pPr>
        <w:ind w:firstLine="640" w:firstLineChars="200"/>
        <w:jc w:val="left"/>
        <w:rPr>
          <w:rFonts w:ascii="Times New Roman" w:hAnsi="Times New Roman" w:eastAsia="仿宋" w:cs="仿宋"/>
          <w:sz w:val="32"/>
          <w:szCs w:val="32"/>
        </w:rPr>
      </w:pPr>
      <w:r>
        <w:rPr>
          <w:rFonts w:ascii="Times New Roman" w:hAnsi="Times New Roman" w:eastAsia="仿宋" w:cs="仿宋"/>
          <w:sz w:val="32"/>
          <w:szCs w:val="32"/>
        </w:rPr>
        <w:t>（</w:t>
      </w:r>
      <w:r>
        <w:rPr>
          <w:rFonts w:hint="eastAsia" w:ascii="Times New Roman" w:hAnsi="Times New Roman" w:eastAsia="仿宋" w:cs="仿宋"/>
          <w:sz w:val="32"/>
          <w:szCs w:val="32"/>
        </w:rPr>
        <w:t>1</w:t>
      </w:r>
      <w:r>
        <w:rPr>
          <w:rFonts w:ascii="Times New Roman" w:hAnsi="Times New Roman" w:eastAsia="仿宋" w:cs="仿宋"/>
          <w:sz w:val="32"/>
          <w:szCs w:val="32"/>
        </w:rPr>
        <w:t>）、信访业务办理</w:t>
      </w:r>
    </w:p>
    <w:p>
      <w:pPr>
        <w:ind w:firstLine="640" w:firstLineChars="200"/>
        <w:jc w:val="left"/>
        <w:rPr>
          <w:rFonts w:ascii="Times New Roman" w:hAnsi="Times New Roman" w:eastAsia="仿宋" w:cs="仿宋"/>
          <w:sz w:val="32"/>
          <w:szCs w:val="32"/>
        </w:rPr>
      </w:pPr>
      <w:r>
        <w:rPr>
          <w:rFonts w:ascii="Times New Roman" w:hAnsi="Times New Roman" w:eastAsia="仿宋" w:cs="仿宋"/>
          <w:sz w:val="32"/>
          <w:szCs w:val="32"/>
        </w:rPr>
        <w:t>绩效目标：畅通信访渠道，减少信访案件，规范信访事项办理、终结。维护社会和谐稳定。</w:t>
      </w:r>
    </w:p>
    <w:p>
      <w:pPr>
        <w:ind w:firstLine="640" w:firstLineChars="200"/>
        <w:jc w:val="left"/>
        <w:rPr>
          <w:rFonts w:ascii="Times New Roman" w:hAnsi="Times New Roman" w:eastAsia="仿宋" w:cs="仿宋"/>
          <w:sz w:val="32"/>
          <w:szCs w:val="32"/>
        </w:rPr>
      </w:pPr>
      <w:r>
        <w:rPr>
          <w:rFonts w:ascii="Times New Roman" w:hAnsi="Times New Roman" w:eastAsia="仿宋" w:cs="仿宋"/>
          <w:sz w:val="32"/>
          <w:szCs w:val="32"/>
        </w:rPr>
        <w:t>绩效指标：信访事项受理及时率，优90%以上，良80%-90%，中60%-80%，差60%以下</w:t>
      </w:r>
    </w:p>
    <w:p>
      <w:pPr>
        <w:ind w:firstLine="640" w:firstLineChars="200"/>
        <w:jc w:val="left"/>
        <w:rPr>
          <w:rFonts w:ascii="Times New Roman" w:hAnsi="Times New Roman" w:eastAsia="仿宋" w:cs="仿宋"/>
          <w:sz w:val="32"/>
          <w:szCs w:val="32"/>
        </w:rPr>
      </w:pPr>
      <w:r>
        <w:rPr>
          <w:rFonts w:ascii="Times New Roman" w:hAnsi="Times New Roman" w:eastAsia="仿宋" w:cs="仿宋"/>
          <w:sz w:val="32"/>
          <w:szCs w:val="32"/>
        </w:rPr>
        <w:t>（</w:t>
      </w:r>
      <w:r>
        <w:rPr>
          <w:rFonts w:hint="eastAsia" w:ascii="Times New Roman" w:hAnsi="Times New Roman" w:eastAsia="仿宋" w:cs="仿宋"/>
          <w:sz w:val="32"/>
          <w:szCs w:val="32"/>
        </w:rPr>
        <w:t>2</w:t>
      </w:r>
      <w:r>
        <w:rPr>
          <w:rFonts w:ascii="Times New Roman" w:hAnsi="Times New Roman" w:eastAsia="仿宋" w:cs="仿宋"/>
          <w:sz w:val="32"/>
          <w:szCs w:val="32"/>
        </w:rPr>
        <w:t>）、处置非访、突发性及群体性事件</w:t>
      </w:r>
    </w:p>
    <w:p>
      <w:pPr>
        <w:ind w:firstLine="640" w:firstLineChars="200"/>
        <w:jc w:val="left"/>
        <w:rPr>
          <w:rFonts w:ascii="Times New Roman" w:hAnsi="Times New Roman" w:eastAsia="仿宋" w:cs="仿宋"/>
          <w:sz w:val="32"/>
          <w:szCs w:val="32"/>
        </w:rPr>
      </w:pPr>
      <w:r>
        <w:rPr>
          <w:rFonts w:ascii="Times New Roman" w:hAnsi="Times New Roman" w:eastAsia="仿宋" w:cs="仿宋"/>
          <w:sz w:val="32"/>
          <w:szCs w:val="32"/>
        </w:rPr>
        <w:t>绩效目标：妥善处置非正常访，维护社会大局和谐稳定。</w:t>
      </w:r>
    </w:p>
    <w:p>
      <w:pPr>
        <w:ind w:firstLine="640" w:firstLineChars="200"/>
        <w:jc w:val="left"/>
        <w:rPr>
          <w:rFonts w:ascii="Times New Roman" w:hAnsi="Times New Roman" w:eastAsia="仿宋" w:cs="仿宋"/>
          <w:sz w:val="32"/>
          <w:szCs w:val="32"/>
        </w:rPr>
      </w:pPr>
      <w:r>
        <w:rPr>
          <w:rFonts w:ascii="Times New Roman" w:hAnsi="Times New Roman" w:eastAsia="仿宋" w:cs="仿宋"/>
          <w:sz w:val="32"/>
          <w:szCs w:val="32"/>
        </w:rPr>
        <w:t>绩效指标：信访事项按期结案率优90%以上，良80%-90%，中60%-80%，差60%以下</w:t>
      </w:r>
    </w:p>
    <w:p>
      <w:pPr>
        <w:ind w:firstLine="640" w:firstLineChars="200"/>
        <w:jc w:val="left"/>
        <w:rPr>
          <w:rFonts w:ascii="Times New Roman" w:hAnsi="Times New Roman" w:eastAsia="仿宋" w:cs="仿宋"/>
          <w:sz w:val="32"/>
          <w:szCs w:val="32"/>
        </w:rPr>
      </w:pPr>
      <w:r>
        <w:rPr>
          <w:rFonts w:ascii="Times New Roman" w:hAnsi="Times New Roman" w:eastAsia="仿宋" w:cs="仿宋"/>
          <w:sz w:val="32"/>
          <w:szCs w:val="32"/>
        </w:rPr>
        <w:t>（</w:t>
      </w:r>
      <w:r>
        <w:rPr>
          <w:rFonts w:hint="eastAsia" w:ascii="Times New Roman" w:hAnsi="Times New Roman" w:eastAsia="仿宋" w:cs="仿宋"/>
          <w:sz w:val="32"/>
          <w:szCs w:val="32"/>
        </w:rPr>
        <w:t>3</w:t>
      </w:r>
      <w:r>
        <w:rPr>
          <w:rFonts w:ascii="Times New Roman" w:hAnsi="Times New Roman" w:eastAsia="仿宋" w:cs="仿宋"/>
          <w:sz w:val="32"/>
          <w:szCs w:val="32"/>
        </w:rPr>
        <w:t>）、其他综合事务管理</w:t>
      </w:r>
    </w:p>
    <w:p>
      <w:pPr>
        <w:ind w:firstLine="640" w:firstLineChars="200"/>
        <w:jc w:val="left"/>
        <w:rPr>
          <w:rFonts w:ascii="Times New Roman" w:hAnsi="Times New Roman" w:eastAsia="仿宋" w:cs="仿宋"/>
          <w:sz w:val="32"/>
          <w:szCs w:val="32"/>
        </w:rPr>
      </w:pPr>
      <w:r>
        <w:rPr>
          <w:rFonts w:ascii="Times New Roman" w:hAnsi="Times New Roman" w:eastAsia="仿宋" w:cs="仿宋"/>
          <w:sz w:val="32"/>
          <w:szCs w:val="32"/>
        </w:rPr>
        <w:t>绩效目标：进一步提高信访干部业务能力；吸收可行建议，改进信访工作；提高信访信息化应用水平。保障机要邮件正常传递和信访群众服务中心正常运转；确保会议正常召开。</w:t>
      </w:r>
    </w:p>
    <w:p>
      <w:pPr>
        <w:ind w:firstLine="640" w:firstLineChars="200"/>
        <w:jc w:val="left"/>
        <w:rPr>
          <w:rFonts w:ascii="Times New Roman" w:hAnsi="Times New Roman" w:eastAsia="仿宋" w:cs="仿宋"/>
          <w:sz w:val="32"/>
          <w:szCs w:val="32"/>
        </w:rPr>
      </w:pPr>
      <w:r>
        <w:rPr>
          <w:rFonts w:ascii="Times New Roman" w:hAnsi="Times New Roman" w:eastAsia="仿宋" w:cs="仿宋"/>
          <w:sz w:val="32"/>
          <w:szCs w:val="32"/>
        </w:rPr>
        <w:t>绩效指标：其他各项综合实务工作完成率优90%以上，良80%-90%，中60%-80%，差60%以下</w:t>
      </w:r>
    </w:p>
    <w:p>
      <w:pPr>
        <w:autoSpaceDE w:val="0"/>
        <w:autoSpaceDN w:val="0"/>
        <w:adjustRightInd w:val="0"/>
        <w:ind w:left="198" w:firstLine="640" w:firstLineChars="200"/>
        <w:jc w:val="left"/>
        <w:rPr>
          <w:rFonts w:ascii="Times New Roman" w:hAnsi="Times New Roman" w:eastAsia="方正仿宋_GBK" w:cs="Times New Roman"/>
          <w:b/>
          <w:bCs/>
          <w:sz w:val="32"/>
          <w:szCs w:val="32"/>
        </w:rPr>
      </w:pPr>
      <w:r>
        <w:rPr>
          <w:rFonts w:hint="eastAsia" w:ascii="Times New Roman" w:hAnsi="Times New Roman" w:eastAsia="方正仿宋_GBK" w:cs="方正仿宋_GBK"/>
          <w:b/>
          <w:bCs/>
          <w:sz w:val="32"/>
          <w:szCs w:val="32"/>
        </w:rPr>
        <w:t>（三）工作保障措施</w:t>
      </w:r>
      <w:r>
        <w:rPr>
          <w:rFonts w:ascii="Times New Roman" w:hAnsi="Times New Roman" w:eastAsia="方正仿宋_GBK" w:cs="方正仿宋_GBK"/>
          <w:b/>
          <w:bCs/>
          <w:sz w:val="32"/>
          <w:szCs w:val="32"/>
        </w:rPr>
        <w:fldChar w:fldCharType="begin"/>
      </w:r>
      <w:r>
        <w:rPr>
          <w:rFonts w:ascii="Times New Roman" w:hAnsi="Times New Roman" w:eastAsia="方正仿宋_GBK" w:cs="Times New Roman"/>
          <w:b/>
          <w:bCs/>
          <w:sz w:val="32"/>
          <w:szCs w:val="32"/>
        </w:rPr>
        <w:instrText xml:space="preserve">tc "</w:instrText>
      </w:r>
      <w:bookmarkStart w:id="4" w:name="_Toc29484630"/>
      <w:r>
        <w:rPr>
          <w:rFonts w:hint="eastAsia" w:ascii="Times New Roman" w:hAnsi="Times New Roman" w:eastAsia="方正仿宋_GBK" w:cs="方正仿宋_GBK"/>
          <w:b/>
          <w:bCs/>
          <w:sz w:val="32"/>
          <w:szCs w:val="32"/>
        </w:rPr>
        <w:instrText xml:space="preserve">工作保障措施</w:instrText>
      </w:r>
      <w:bookmarkEnd w:id="4"/>
      <w:r>
        <w:rPr>
          <w:rFonts w:ascii="Times New Roman" w:hAnsi="Times New Roman" w:eastAsia="方正仿宋_GBK" w:cs="Times New Roman"/>
          <w:b/>
          <w:bCs/>
          <w:sz w:val="32"/>
          <w:szCs w:val="32"/>
        </w:rPr>
        <w:instrText xml:space="preserve">" \f A \l 01</w:instrText>
      </w:r>
      <w:r>
        <w:rPr>
          <w:rFonts w:ascii="Times New Roman" w:hAnsi="Times New Roman" w:eastAsia="方正仿宋_GBK" w:cs="方正仿宋_GBK"/>
          <w:b/>
          <w:bCs/>
          <w:sz w:val="32"/>
          <w:szCs w:val="32"/>
        </w:rPr>
        <w:fldChar w:fldCharType="end"/>
      </w:r>
    </w:p>
    <w:p>
      <w:pPr>
        <w:ind w:firstLine="640" w:firstLineChars="200"/>
        <w:jc w:val="left"/>
        <w:rPr>
          <w:rFonts w:ascii="Times New Roman" w:hAnsi="Times New Roman" w:eastAsia="仿宋" w:cs="仿宋"/>
          <w:sz w:val="32"/>
          <w:szCs w:val="32"/>
        </w:rPr>
      </w:pPr>
      <w:r>
        <w:rPr>
          <w:rFonts w:ascii="Times New Roman" w:hAnsi="Times New Roman" w:eastAsia="仿宋" w:cs="仿宋"/>
          <w:sz w:val="32"/>
          <w:szCs w:val="32"/>
        </w:rPr>
        <w:t>1、完善制度建设。本单位制定完善了预算绩效管理制度、资金管理办法、工作保障制度等，为全年预算绩效目标的实现奠定制度基础。</w:t>
      </w:r>
    </w:p>
    <w:p>
      <w:pPr>
        <w:ind w:firstLine="640" w:firstLineChars="200"/>
        <w:jc w:val="left"/>
        <w:rPr>
          <w:rFonts w:ascii="Times New Roman" w:hAnsi="Times New Roman" w:eastAsia="仿宋" w:cs="仿宋"/>
          <w:sz w:val="32"/>
          <w:szCs w:val="32"/>
        </w:rPr>
      </w:pPr>
      <w:r>
        <w:rPr>
          <w:rFonts w:ascii="Times New Roman" w:hAnsi="Times New Roman" w:eastAsia="仿宋" w:cs="仿宋"/>
          <w:sz w:val="32"/>
          <w:szCs w:val="32"/>
        </w:rPr>
        <w:t>2、加强支出管理。本单位通过优化支出结构、编细编实预算、加快履行政府采购手续、尽快启动项目、及时支付资金、6月底前细化代编预算、按规定及时下达资金等多种措施，确保支出进度达标。</w:t>
      </w:r>
    </w:p>
    <w:p>
      <w:pPr>
        <w:ind w:firstLine="640" w:firstLineChars="200"/>
        <w:jc w:val="left"/>
        <w:rPr>
          <w:rFonts w:ascii="Times New Roman" w:hAnsi="Times New Roman" w:eastAsia="仿宋" w:cs="仿宋"/>
          <w:sz w:val="32"/>
          <w:szCs w:val="32"/>
        </w:rPr>
      </w:pPr>
      <w:r>
        <w:rPr>
          <w:rFonts w:ascii="Times New Roman" w:hAnsi="Times New Roman" w:eastAsia="仿宋" w:cs="仿宋"/>
          <w:sz w:val="32"/>
          <w:szCs w:val="32"/>
        </w:rPr>
        <w:t>3、加强绩效运行监控。本单位按要求开展绩效运行监控，发现问题及时采取措施，确保绩效目标如期保质实现。</w:t>
      </w:r>
    </w:p>
    <w:p>
      <w:pPr>
        <w:ind w:firstLine="640" w:firstLineChars="200"/>
        <w:jc w:val="left"/>
        <w:rPr>
          <w:rFonts w:ascii="Times New Roman" w:hAnsi="Times New Roman" w:eastAsia="仿宋" w:cs="仿宋"/>
          <w:sz w:val="32"/>
          <w:szCs w:val="32"/>
        </w:rPr>
      </w:pPr>
      <w:r>
        <w:rPr>
          <w:rFonts w:ascii="Times New Roman" w:hAnsi="Times New Roman" w:eastAsia="仿宋" w:cs="仿宋"/>
          <w:sz w:val="32"/>
          <w:szCs w:val="32"/>
        </w:rPr>
        <w:t>4、做好绩效自评。本单位按要求开展上年度部门预算绩效自评和重点评价工作，对评价中发现的问题及时整改，调整优化支出结构，提高财政资金使用效益。</w:t>
      </w:r>
    </w:p>
    <w:p>
      <w:pPr>
        <w:ind w:firstLine="640" w:firstLineChars="200"/>
        <w:jc w:val="left"/>
        <w:rPr>
          <w:rFonts w:ascii="Times New Roman" w:hAnsi="Times New Roman" w:eastAsia="仿宋" w:cs="仿宋"/>
          <w:sz w:val="32"/>
          <w:szCs w:val="32"/>
        </w:rPr>
      </w:pPr>
      <w:r>
        <w:rPr>
          <w:rFonts w:ascii="Times New Roman" w:hAnsi="Times New Roman" w:eastAsia="仿宋" w:cs="仿宋"/>
          <w:sz w:val="32"/>
          <w:szCs w:val="32"/>
        </w:rPr>
        <w:t>5、规范财务资产管理。本单位完善财务管理制度，严格审批程序，加强固定资产登记、使用和报废处置管理，做到支出合理，物尽其用。</w:t>
      </w:r>
    </w:p>
    <w:p>
      <w:pPr>
        <w:ind w:firstLine="640" w:firstLineChars="200"/>
        <w:jc w:val="left"/>
        <w:rPr>
          <w:rFonts w:ascii="Times New Roman" w:hAnsi="Times New Roman" w:eastAsia="仿宋" w:cs="仿宋"/>
          <w:sz w:val="32"/>
          <w:szCs w:val="32"/>
        </w:rPr>
      </w:pPr>
      <w:r>
        <w:rPr>
          <w:rFonts w:ascii="Times New Roman" w:hAnsi="Times New Roman" w:eastAsia="仿宋" w:cs="仿宋"/>
          <w:sz w:val="32"/>
          <w:szCs w:val="32"/>
        </w:rPr>
        <w:t>6、加强内部监督。本单位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pPr>
        <w:ind w:firstLine="640" w:firstLineChars="200"/>
        <w:jc w:val="left"/>
        <w:rPr>
          <w:rFonts w:ascii="Times New Roman" w:hAnsi="Times New Roman" w:eastAsia="仿宋" w:cs="仿宋"/>
          <w:sz w:val="32"/>
          <w:szCs w:val="32"/>
        </w:rPr>
      </w:pPr>
      <w:r>
        <w:rPr>
          <w:rFonts w:ascii="Times New Roman" w:hAnsi="Times New Roman" w:eastAsia="仿宋" w:cs="仿宋"/>
          <w:sz w:val="32"/>
          <w:szCs w:val="32"/>
        </w:rPr>
        <w:t xml:space="preserve">    7、加强宣传培训调研等。本单位加强了人员培训，提高了本部门职工业务素质；加强调研，提出优化财政资金配置、提高资金使用效益的意见意见；加大宣传力度，强化预算绩效管理意识，促进预算绩效管理水平进一步提升</w:t>
      </w:r>
      <w:r>
        <w:rPr>
          <w:rFonts w:hint="eastAsia" w:ascii="Times New Roman" w:hAnsi="Times New Roman" w:eastAsia="仿宋" w:cs="仿宋"/>
          <w:sz w:val="32"/>
          <w:szCs w:val="32"/>
        </w:rPr>
        <w:t>.</w:t>
      </w:r>
    </w:p>
    <w:p>
      <w:pPr>
        <w:ind w:firstLine="420" w:firstLineChars="200"/>
        <w:jc w:val="center"/>
        <w:rPr>
          <w:rFonts w:hAnsi="宋体"/>
        </w:rPr>
      </w:pPr>
      <w:r>
        <w:rPr>
          <w:rFonts w:ascii="方正书宋_GBK" w:eastAsia="方正书宋_GBK"/>
        </w:rPr>
        <w:t xml:space="preserve"> </w:t>
      </w:r>
    </w:p>
    <w:p>
      <w:pPr>
        <w:autoSpaceDE w:val="0"/>
        <w:autoSpaceDN w:val="0"/>
        <w:adjustRightInd w:val="0"/>
        <w:ind w:left="198" w:firstLine="640" w:firstLineChars="200"/>
        <w:jc w:val="left"/>
        <w:rPr>
          <w:rFonts w:ascii="Times New Roman" w:hAnsi="Times New Roman" w:eastAsia="方正仿宋_GBK" w:cs="Times New Roman"/>
          <w:b/>
          <w:bCs/>
          <w:sz w:val="32"/>
          <w:szCs w:val="32"/>
        </w:rPr>
      </w:pPr>
      <w:r>
        <w:rPr>
          <w:rFonts w:hint="eastAsia" w:ascii="Times New Roman" w:hAnsi="Times New Roman" w:eastAsia="方正仿宋_GBK" w:cs="方正仿宋_GBK"/>
          <w:b/>
          <w:bCs/>
          <w:sz w:val="32"/>
          <w:szCs w:val="32"/>
        </w:rPr>
        <w:t>第二部分</w:t>
      </w:r>
      <w:r>
        <w:rPr>
          <w:rFonts w:ascii="Times New Roman" w:hAnsi="Times New Roman" w:eastAsia="方正仿宋_GBK" w:cs="Times New Roman"/>
          <w:b/>
          <w:bCs/>
          <w:sz w:val="32"/>
          <w:szCs w:val="32"/>
        </w:rPr>
        <w:t xml:space="preserve">  </w:t>
      </w:r>
      <w:r>
        <w:rPr>
          <w:rFonts w:hint="eastAsia" w:ascii="Times New Roman" w:hAnsi="Times New Roman" w:eastAsia="方正仿宋_GBK" w:cs="方正仿宋_GBK"/>
          <w:b/>
          <w:bCs/>
          <w:sz w:val="32"/>
          <w:szCs w:val="32"/>
        </w:rPr>
        <w:t>预算项目绩效目标</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pPr>
              <w:ind w:firstLine="560" w:firstLineChars="200"/>
              <w:jc w:val="left"/>
              <w:outlineLvl w:val="1"/>
              <w:rPr>
                <w:rFonts w:hAnsi="宋体"/>
                <w:b/>
                <w:sz w:val="28"/>
              </w:rPr>
            </w:pPr>
            <w:r>
              <w:rPr>
                <w:rFonts w:hint="eastAsia" w:ascii="方正仿宋_GBK" w:eastAsia="方正仿宋_GBK"/>
                <w:b/>
                <w:sz w:val="28"/>
              </w:rPr>
              <w:t>1、北京房租绩效目标表</w:t>
            </w:r>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5" w:name="_Toc34959131"/>
            <w:r>
              <w:rPr>
                <w:rFonts w:hint="eastAsia" w:ascii="方正仿宋_GBK" w:eastAsia="方正仿宋_GBK"/>
                <w:b/>
                <w:sz w:val="28"/>
              </w:rPr>
              <w:instrText xml:space="preserve">1、北京房租绩效目标表</w:instrText>
            </w:r>
            <w:bookmarkEnd w:id="5"/>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p>
            <w:pPr>
              <w:spacing w:line="300" w:lineRule="exact"/>
              <w:jc w:val="left"/>
              <w:rPr>
                <w:rFonts w:ascii="方正书宋_GBK" w:eastAsia="方正书宋_GBK"/>
                <w:b/>
              </w:rPr>
            </w:pPr>
            <w:r>
              <w:rPr>
                <w:rFonts w:ascii="方正书宋_GBK" w:eastAsia="方正书宋_GBK"/>
                <w:b/>
              </w:rPr>
              <w:t>455002</w:t>
            </w:r>
            <w:r>
              <w:rPr>
                <w:rFonts w:hint="eastAsia" w:ascii="方正书宋_GBK" w:eastAsia="方正书宋_GBK"/>
                <w:b/>
              </w:rPr>
              <w:t>中国共产党无极县委员会信访局</w:t>
            </w:r>
          </w:p>
        </w:tc>
        <w:tc>
          <w:tcPr>
            <w:tcW w:w="1701" w:type="dxa"/>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pPr>
              <w:spacing w:line="300" w:lineRule="exact"/>
              <w:jc w:val="left"/>
              <w:rPr>
                <w:rFonts w:ascii="方正书宋_GBK" w:eastAsia="方正书宋_GBK"/>
              </w:rPr>
            </w:pPr>
            <w:r>
              <w:rPr>
                <w:rFonts w:ascii="方正书宋_GBK" w:eastAsia="方正书宋_GBK"/>
              </w:rPr>
              <w:t>455-0201-YBN-X90N</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vAlign w:val="center"/>
          </w:tcPr>
          <w:p>
            <w:pPr>
              <w:spacing w:line="300" w:lineRule="exact"/>
              <w:jc w:val="left"/>
              <w:rPr>
                <w:rFonts w:ascii="方正书宋_GBK" w:eastAsia="方正书宋_GBK"/>
              </w:rPr>
            </w:pPr>
            <w:r>
              <w:rPr>
                <w:rFonts w:hint="eastAsia" w:ascii="方正书宋_GBK" w:eastAsia="方正书宋_GBK"/>
              </w:rPr>
              <w:t>北京房租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pPr>
              <w:spacing w:line="300" w:lineRule="exact"/>
              <w:jc w:val="left"/>
              <w:rPr>
                <w:rFonts w:ascii="方正书宋_GBK" w:eastAsia="方正书宋_GBK"/>
              </w:rPr>
            </w:pPr>
            <w:r>
              <w:rPr>
                <w:rFonts w:ascii="方正书宋_GBK" w:eastAsia="方正书宋_GBK"/>
              </w:rPr>
              <w:t>14.40</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pPr>
              <w:spacing w:line="300" w:lineRule="exact"/>
              <w:jc w:val="left"/>
              <w:rPr>
                <w:rFonts w:ascii="方正书宋_GBK" w:eastAsia="方正书宋_GBK"/>
              </w:rPr>
            </w:pPr>
            <w:r>
              <w:rPr>
                <w:rFonts w:ascii="方正书宋_GBK" w:eastAsia="方正书宋_GBK"/>
              </w:rPr>
              <w:t>14.40</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pPr>
              <w:spacing w:line="300" w:lineRule="exact"/>
              <w:jc w:val="left"/>
              <w:outlineLvl w:val="1"/>
            </w:pPr>
          </w:p>
        </w:tc>
        <w:tc>
          <w:tcPr>
            <w:tcW w:w="8278" w:type="dxa"/>
            <w:gridSpan w:val="6"/>
            <w:vAlign w:val="center"/>
          </w:tcPr>
          <w:p>
            <w:pPr>
              <w:spacing w:line="300" w:lineRule="exact"/>
              <w:jc w:val="left"/>
              <w:rPr>
                <w:rFonts w:ascii="方正书宋_GBK" w:eastAsia="方正书宋_GBK"/>
              </w:rPr>
            </w:pPr>
            <w:r>
              <w:rPr>
                <w:rFonts w:hint="eastAsia" w:ascii="方正书宋_GBK" w:eastAsia="方正书宋_GBK"/>
              </w:rPr>
              <w:t>做好值班工作，办理人民群众来信，接待群众来访，受理网上投诉，查办信访案件，维护社会和谐稳定。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vAlign w:val="center"/>
          </w:tcPr>
          <w:p>
            <w:pPr>
              <w:spacing w:line="300" w:lineRule="exact"/>
              <w:jc w:val="left"/>
              <w:outlineLvl w:val="1"/>
            </w:pPr>
          </w:p>
        </w:tc>
        <w:tc>
          <w:tcPr>
            <w:tcW w:w="2410" w:type="dxa"/>
            <w:gridSpan w:val="2"/>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100.00</w:t>
            </w:r>
          </w:p>
        </w:tc>
        <w:tc>
          <w:tcPr>
            <w:tcW w:w="1587" w:type="dxa"/>
            <w:tcBorders>
              <w:bottom w:val="single" w:color="000000" w:sz="6" w:space="0"/>
            </w:tcBorders>
            <w:vAlign w:val="center"/>
          </w:tcPr>
          <w:p>
            <w:pPr>
              <w:spacing w:line="300" w:lineRule="exact"/>
              <w:jc w:val="center"/>
              <w:rPr>
                <w:rFonts w:ascii="方正书宋_GBK" w:eastAsia="方正书宋_GBK"/>
              </w:rPr>
            </w:pPr>
          </w:p>
        </w:tc>
        <w:tc>
          <w:tcPr>
            <w:tcW w:w="1304" w:type="dxa"/>
            <w:tcBorders>
              <w:bottom w:val="single" w:color="000000" w:sz="6" w:space="0"/>
            </w:tcBorders>
            <w:vAlign w:val="center"/>
          </w:tcPr>
          <w:p>
            <w:pPr>
              <w:spacing w:line="300" w:lineRule="exact"/>
              <w:jc w:val="center"/>
              <w:rPr>
                <w:rFonts w:ascii="方正书宋_GBK" w:eastAsia="方正书宋_GBK"/>
              </w:rPr>
            </w:pPr>
          </w:p>
        </w:tc>
        <w:tc>
          <w:tcPr>
            <w:tcW w:w="2977" w:type="dxa"/>
            <w:gridSpan w:val="2"/>
            <w:tcBorders>
              <w:bottom w:val="single" w:color="000000" w:sz="6" w:space="0"/>
            </w:tcBorders>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、做好值班工作，办理人民群众来信</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、受理网上投诉，查办信访案件，维护社会和谐稳定</w:t>
            </w:r>
          </w:p>
        </w:tc>
      </w:tr>
    </w:tbl>
    <w:p>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督办信访案件数</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年度督办案件数量</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方正书宋_GBK" w:eastAsia="方正书宋_GBK"/>
              </w:rPr>
            </w:pPr>
          </w:p>
        </w:tc>
        <w:tc>
          <w:tcPr>
            <w:tcW w:w="1134" w:type="dxa"/>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信访事项按期结案率</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年度内已按期办结的案件数量占案件总数的比例</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方正书宋_GBK" w:eastAsia="方正书宋_GBK"/>
              </w:rPr>
            </w:pPr>
          </w:p>
        </w:tc>
        <w:tc>
          <w:tcPr>
            <w:tcW w:w="1134" w:type="dxa"/>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信访事项受理及时率</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及时受理的信访事项数量占信访事项的比例</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ascii="方正书宋_GBK" w:eastAsia="方正书宋_GBK"/>
              </w:rPr>
            </w:pPr>
            <w:r>
              <w:rPr>
                <w:rFonts w:hint="eastAsia" w:ascii="方正书宋_GBK" w:eastAsia="方正书宋_GBK"/>
              </w:rPr>
              <w:t>效果指标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社会影响力</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案件处理受到认可</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方正书宋_GBK" w:eastAsia="方正书宋_GBK"/>
              </w:rPr>
            </w:pPr>
          </w:p>
        </w:tc>
        <w:tc>
          <w:tcPr>
            <w:tcW w:w="1134" w:type="dxa"/>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排查信访隐患</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接待群众来访，受理网上投诉</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方正书宋_GBK" w:eastAsia="方正书宋_GBK"/>
              </w:rPr>
            </w:pPr>
          </w:p>
        </w:tc>
        <w:tc>
          <w:tcPr>
            <w:tcW w:w="1134" w:type="dxa"/>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社会稳定水平</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减少信访案件</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群众满意度</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群众对处理案件结案的整体满意度</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年度工作计划</w:t>
            </w:r>
          </w:p>
        </w:tc>
      </w:tr>
    </w:tbl>
    <w:p>
      <w:pPr>
        <w:ind w:firstLine="560" w:firstLineChars="200"/>
        <w:jc w:val="left"/>
        <w:outlineLvl w:val="1"/>
        <w:rPr>
          <w:rFonts w:hAnsi="宋体"/>
          <w:b/>
          <w:sz w:val="28"/>
        </w:rPr>
      </w:pPr>
      <w:r>
        <w:rPr>
          <w:rFonts w:hint="eastAsia" w:ascii="方正仿宋_GBK" w:eastAsia="方正仿宋_GBK"/>
          <w:b/>
          <w:sz w:val="28"/>
        </w:rPr>
        <w:t>2、信访维稳经费绩效目标表</w:t>
      </w:r>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6" w:name="_Toc34959132"/>
      <w:r>
        <w:rPr>
          <w:rFonts w:hint="eastAsia" w:ascii="方正仿宋_GBK" w:eastAsia="方正仿宋_GBK"/>
          <w:b/>
          <w:sz w:val="28"/>
        </w:rPr>
        <w:instrText xml:space="preserve">2、信访维稳经费绩效目标表</w:instrText>
      </w:r>
      <w:bookmarkEnd w:id="6"/>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pPr>
              <w:spacing w:line="300" w:lineRule="exact"/>
              <w:jc w:val="left"/>
              <w:rPr>
                <w:rFonts w:ascii="方正书宋_GBK" w:eastAsia="方正书宋_GBK"/>
                <w:b/>
              </w:rPr>
            </w:pPr>
            <w:r>
              <w:rPr>
                <w:rFonts w:ascii="方正书宋_GBK" w:eastAsia="方正书宋_GBK"/>
                <w:b/>
              </w:rPr>
              <w:t>455002</w:t>
            </w:r>
            <w:r>
              <w:rPr>
                <w:rFonts w:hint="eastAsia" w:ascii="方正书宋_GBK" w:eastAsia="方正书宋_GBK"/>
                <w:b/>
              </w:rPr>
              <w:t>中国共产党无极县委员会信访局</w:t>
            </w:r>
          </w:p>
        </w:tc>
        <w:tc>
          <w:tcPr>
            <w:tcW w:w="1701" w:type="dxa"/>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pPr>
              <w:spacing w:line="300" w:lineRule="exact"/>
              <w:jc w:val="left"/>
              <w:rPr>
                <w:rFonts w:ascii="方正书宋_GBK" w:eastAsia="方正书宋_GBK"/>
              </w:rPr>
            </w:pPr>
            <w:r>
              <w:rPr>
                <w:rFonts w:ascii="方正书宋_GBK" w:eastAsia="方正书宋_GBK"/>
              </w:rPr>
              <w:t>455-0201-YBN-LLUI</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vAlign w:val="center"/>
          </w:tcPr>
          <w:p>
            <w:pPr>
              <w:spacing w:line="300" w:lineRule="exact"/>
              <w:jc w:val="left"/>
              <w:rPr>
                <w:rFonts w:ascii="方正书宋_GBK" w:eastAsia="方正书宋_GBK"/>
              </w:rPr>
            </w:pPr>
            <w:r>
              <w:rPr>
                <w:rFonts w:hint="eastAsia" w:ascii="方正书宋_GBK" w:eastAsia="方正书宋_GBK"/>
              </w:rPr>
              <w:t>信访维稳经费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pPr>
              <w:spacing w:line="300" w:lineRule="exact"/>
              <w:jc w:val="left"/>
              <w:rPr>
                <w:rFonts w:ascii="方正书宋_GBK" w:eastAsia="方正书宋_GBK"/>
              </w:rPr>
            </w:pPr>
            <w:r>
              <w:rPr>
                <w:rFonts w:ascii="方正书宋_GBK" w:eastAsia="方正书宋_GBK"/>
              </w:rPr>
              <w:t>70.00</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pPr>
              <w:spacing w:line="300" w:lineRule="exact"/>
              <w:jc w:val="left"/>
              <w:rPr>
                <w:rFonts w:ascii="方正书宋_GBK" w:eastAsia="方正书宋_GBK"/>
              </w:rPr>
            </w:pPr>
            <w:r>
              <w:rPr>
                <w:rFonts w:ascii="方正书宋_GBK" w:eastAsia="方正书宋_GBK"/>
              </w:rPr>
              <w:t>70.00</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pPr>
              <w:spacing w:line="300" w:lineRule="exact"/>
              <w:jc w:val="left"/>
              <w:outlineLvl w:val="1"/>
            </w:pPr>
          </w:p>
        </w:tc>
        <w:tc>
          <w:tcPr>
            <w:tcW w:w="8278" w:type="dxa"/>
            <w:gridSpan w:val="6"/>
            <w:vAlign w:val="center"/>
          </w:tcPr>
          <w:p>
            <w:pPr>
              <w:spacing w:line="300" w:lineRule="exact"/>
              <w:jc w:val="left"/>
              <w:rPr>
                <w:rFonts w:ascii="方正书宋_GBK" w:eastAsia="方正书宋_GBK"/>
              </w:rPr>
            </w:pPr>
            <w:r>
              <w:rPr>
                <w:rFonts w:hint="eastAsia" w:ascii="方正书宋_GBK" w:eastAsia="方正书宋_GBK"/>
              </w:rPr>
              <w:t>为做好</w:t>
            </w:r>
            <w:r>
              <w:rPr>
                <w:rFonts w:hint="eastAsia" w:ascii="方正书宋_GBK" w:eastAsia="方正书宋_GBK"/>
                <w:lang w:eastAsia="zh-CN"/>
              </w:rPr>
              <w:t>新形势下</w:t>
            </w:r>
            <w:r>
              <w:rPr>
                <w:rFonts w:hint="eastAsia" w:ascii="方正书宋_GBK" w:eastAsia="方正书宋_GBK"/>
              </w:rPr>
              <w:t>信访工作，解决好群众反映突出的信访问题，确保进京赴省访大幅度下降；做好信访维稳值班工作，妥善处置非访、突发性及群体性事件，维护社会和谐稳定。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vAlign w:val="center"/>
          </w:tcPr>
          <w:p>
            <w:pPr>
              <w:spacing w:line="300" w:lineRule="exact"/>
              <w:jc w:val="left"/>
              <w:outlineLvl w:val="1"/>
            </w:pPr>
          </w:p>
        </w:tc>
        <w:tc>
          <w:tcPr>
            <w:tcW w:w="2410" w:type="dxa"/>
            <w:gridSpan w:val="2"/>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25.00</w:t>
            </w:r>
          </w:p>
        </w:tc>
        <w:tc>
          <w:tcPr>
            <w:tcW w:w="1304" w:type="dxa"/>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25.00</w:t>
            </w:r>
          </w:p>
        </w:tc>
        <w:tc>
          <w:tcPr>
            <w:tcW w:w="2977" w:type="dxa"/>
            <w:gridSpan w:val="2"/>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25.00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、化解信访积案，减少进京赴省访</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、做好信访维稳值班，维护社会的和谐稳定</w:t>
            </w:r>
          </w:p>
        </w:tc>
      </w:tr>
    </w:tbl>
    <w:p>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化解信访积案</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积案化解率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方正书宋_GBK" w:eastAsia="方正书宋_GBK"/>
              </w:rPr>
            </w:pPr>
          </w:p>
        </w:tc>
        <w:tc>
          <w:tcPr>
            <w:tcW w:w="1134" w:type="dxa"/>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信访事项受理及时率</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及时受理信访事项数量占信访事项数量的比例</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方正书宋_GBK" w:eastAsia="方正书宋_GBK"/>
              </w:rPr>
            </w:pPr>
          </w:p>
        </w:tc>
        <w:tc>
          <w:tcPr>
            <w:tcW w:w="1134" w:type="dxa"/>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信访事项按期结案率</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已按期办结的案件数量占案件总数的比例</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ascii="方正书宋_GBK" w:eastAsia="方正书宋_GBK"/>
              </w:rPr>
            </w:pPr>
            <w:r>
              <w:rPr>
                <w:rFonts w:hint="eastAsia" w:ascii="方正书宋_GBK" w:eastAsia="方正书宋_GBK"/>
              </w:rPr>
              <w:t>效果指标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维护社会的和谐稳定</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减少信访案件</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0</w:t>
            </w:r>
            <w:r>
              <w:rPr>
                <w:rFonts w:hint="eastAsia" w:ascii="方正书宋_GBK" w:eastAsia="方正书宋_GBK"/>
              </w:rPr>
              <w:t>社会稳定</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方正书宋_GBK" w:eastAsia="方正书宋_GBK"/>
              </w:rPr>
            </w:pPr>
          </w:p>
        </w:tc>
        <w:tc>
          <w:tcPr>
            <w:tcW w:w="1134" w:type="dxa"/>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信访事项按期结案</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定期结案</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方正书宋_GBK" w:eastAsia="方正书宋_GBK"/>
              </w:rPr>
            </w:pPr>
          </w:p>
        </w:tc>
        <w:tc>
          <w:tcPr>
            <w:tcW w:w="1134" w:type="dxa"/>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减少信访案件</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维护社会稳定</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信访群众满意度</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反映信访群众满意度</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满意</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年度工作计划</w:t>
            </w:r>
          </w:p>
        </w:tc>
      </w:tr>
    </w:tbl>
    <w:p>
      <w:pPr>
        <w:spacing w:line="300" w:lineRule="exact"/>
        <w:jc w:val="left"/>
        <w:sectPr>
          <w:pgSz w:w="11907" w:h="16839"/>
          <w:pgMar w:top="1984" w:right="1304" w:bottom="1134" w:left="1304" w:header="851" w:footer="992" w:gutter="0"/>
          <w:cols w:space="425" w:num="1"/>
          <w:docGrid w:type="lines" w:linePitch="312" w:charSpace="0"/>
        </w:sectPr>
      </w:pPr>
    </w:p>
    <w:p>
      <w:pPr>
        <w:autoSpaceDE w:val="0"/>
        <w:autoSpaceDN w:val="0"/>
        <w:adjustRightInd w:val="0"/>
        <w:ind w:firstLine="630" w:firstLineChars="300"/>
        <w:jc w:val="left"/>
        <w:rPr>
          <w:rFonts w:ascii="宋体" w:hAnsi="宋体" w:eastAsia="宋体" w:cs="黑体"/>
        </w:rPr>
      </w:pPr>
    </w:p>
    <w:p>
      <w:p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黑体"/>
          <w:sz w:val="32"/>
          <w:szCs w:val="32"/>
        </w:rPr>
        <w:t>六、政府采购预算情况</w:t>
      </w:r>
    </w:p>
    <w:p>
      <w:pPr>
        <w:spacing w:line="300" w:lineRule="exact"/>
        <w:ind w:firstLine="640" w:firstLineChars="200"/>
        <w:jc w:val="left"/>
        <w:rPr>
          <w:rFonts w:cs="Times New Roman"/>
        </w:rPr>
      </w:pPr>
      <w:r>
        <w:rPr>
          <w:rFonts w:ascii="Times New Roman" w:hAnsi="Times New Roman" w:eastAsia="仿宋" w:cs="Times New Roman"/>
          <w:sz w:val="32"/>
          <w:szCs w:val="32"/>
        </w:rPr>
        <w:t xml:space="preserve"> 2020</w:t>
      </w:r>
      <w:r>
        <w:rPr>
          <w:rFonts w:hint="eastAsia" w:ascii="Times New Roman" w:hAnsi="Times New Roman" w:eastAsia="仿宋" w:cs="仿宋"/>
          <w:sz w:val="32"/>
          <w:szCs w:val="32"/>
        </w:rPr>
        <w:t>年，我部门安排政府采购预算</w:t>
      </w:r>
      <w:r>
        <w:rPr>
          <w:rFonts w:ascii="Times New Roman" w:hAnsi="Times New Roman" w:eastAsia="仿宋" w:cs="Times New Roman"/>
          <w:sz w:val="32"/>
          <w:szCs w:val="32"/>
        </w:rPr>
        <w:t xml:space="preserve"> </w:t>
      </w:r>
      <w:r>
        <w:rPr>
          <w:rFonts w:hint="eastAsia" w:ascii="Times New Roman" w:hAnsi="Times New Roman" w:eastAsia="仿宋" w:cs="Times New Roman"/>
          <w:sz w:val="32"/>
          <w:szCs w:val="32"/>
        </w:rPr>
        <w:t>0</w:t>
      </w:r>
      <w:r>
        <w:rPr>
          <w:rFonts w:ascii="Times New Roman" w:hAnsi="Times New Roman" w:eastAsia="仿宋" w:cs="Times New Roman"/>
          <w:sz w:val="32"/>
          <w:szCs w:val="32"/>
        </w:rPr>
        <w:t xml:space="preserve"> </w:t>
      </w:r>
      <w:r>
        <w:rPr>
          <w:rFonts w:hint="eastAsia" w:ascii="Times New Roman" w:hAnsi="Times New Roman" w:eastAsia="仿宋" w:cs="仿宋"/>
          <w:sz w:val="32"/>
          <w:szCs w:val="32"/>
        </w:rPr>
        <w:t>万元。</w:t>
      </w:r>
      <w:bookmarkEnd w:id="0"/>
    </w:p>
    <w:p>
      <w:pPr>
        <w:autoSpaceDE w:val="0"/>
        <w:autoSpaceDN w:val="0"/>
        <w:adjustRightInd w:val="0"/>
        <w:ind w:firstLine="640" w:firstLineChars="200"/>
        <w:jc w:val="left"/>
        <w:rPr>
          <w:rFonts w:ascii="黑体" w:hAnsi="黑体" w:eastAsia="黑体" w:cs="Times New Roman"/>
          <w:sz w:val="32"/>
          <w:szCs w:val="32"/>
        </w:rPr>
      </w:pPr>
    </w:p>
    <w:p>
      <w:p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黑体"/>
          <w:sz w:val="32"/>
          <w:szCs w:val="32"/>
        </w:rPr>
        <w:t>七、国有资产信息</w:t>
      </w:r>
    </w:p>
    <w:p>
      <w:pPr>
        <w:ind w:firstLine="640"/>
        <w:rPr>
          <w:rFonts w:ascii="Times New Roman" w:hAnsi="Times New Roman" w:eastAsia="仿宋" w:cs="Times New Roman"/>
          <w:color w:val="000000"/>
          <w:sz w:val="32"/>
          <w:szCs w:val="32"/>
        </w:rPr>
      </w:pPr>
      <w:r>
        <w:rPr>
          <w:rFonts w:hint="eastAsia" w:ascii="Times New Roman" w:hAnsi="Times New Roman" w:eastAsia="仿宋" w:cs="仿宋"/>
          <w:color w:val="000000"/>
          <w:sz w:val="32"/>
          <w:szCs w:val="32"/>
        </w:rPr>
        <w:t>信访局</w:t>
      </w:r>
      <w:r>
        <w:rPr>
          <w:rFonts w:ascii="Times New Roman" w:hAnsi="Times New Roman" w:eastAsia="仿宋" w:cs="Times New Roman"/>
          <w:color w:val="000000"/>
          <w:sz w:val="32"/>
          <w:szCs w:val="32"/>
        </w:rPr>
        <w:t>2019</w:t>
      </w:r>
      <w:r>
        <w:rPr>
          <w:rFonts w:hint="eastAsia" w:ascii="Times New Roman" w:hAnsi="Times New Roman" w:eastAsia="仿宋" w:cs="仿宋"/>
          <w:color w:val="000000"/>
          <w:sz w:val="32"/>
          <w:szCs w:val="32"/>
        </w:rPr>
        <w:t>年末固定资产金额为</w:t>
      </w:r>
      <w:r>
        <w:rPr>
          <w:rFonts w:hint="eastAsia" w:ascii="Times New Roman" w:hAnsi="Times New Roman" w:eastAsia="仿宋" w:cs="Times New Roman"/>
          <w:color w:val="000000"/>
          <w:sz w:val="32"/>
          <w:szCs w:val="32"/>
        </w:rPr>
        <w:t xml:space="preserve"> 47.</w:t>
      </w:r>
      <w:r>
        <w:rPr>
          <w:rFonts w:hint="eastAsia" w:ascii="Times New Roman" w:hAnsi="Times New Roman" w:eastAsia="仿宋" w:cs="Times New Roman"/>
          <w:color w:val="000000"/>
          <w:sz w:val="32"/>
          <w:szCs w:val="32"/>
          <w:lang w:val="en-US" w:eastAsia="zh-CN"/>
        </w:rPr>
        <w:t>9</w:t>
      </w:r>
      <w:r>
        <w:rPr>
          <w:rFonts w:hint="eastAsia" w:ascii="Times New Roman" w:hAnsi="Times New Roman" w:eastAsia="仿宋" w:cs="Times New Roman"/>
          <w:color w:val="000000"/>
          <w:sz w:val="32"/>
          <w:szCs w:val="32"/>
        </w:rPr>
        <w:t>55247</w:t>
      </w:r>
      <w:r>
        <w:rPr>
          <w:rFonts w:hint="eastAsia" w:ascii="Times New Roman" w:hAnsi="Times New Roman" w:eastAsia="仿宋" w:cs="仿宋"/>
          <w:color w:val="000000"/>
          <w:sz w:val="32"/>
          <w:szCs w:val="32"/>
        </w:rPr>
        <w:t>万元（详见下表），本年度各单位（处室）拟购置固定资产总额为</w:t>
      </w:r>
      <w:r>
        <w:rPr>
          <w:rFonts w:hint="eastAsia" w:ascii="Times New Roman" w:hAnsi="Times New Roman" w:eastAsia="仿宋" w:cs="Times New Roman"/>
          <w:color w:val="000000"/>
          <w:sz w:val="32"/>
          <w:szCs w:val="32"/>
        </w:rPr>
        <w:t xml:space="preserve"> 2.06</w:t>
      </w:r>
      <w:r>
        <w:rPr>
          <w:rFonts w:hint="eastAsia" w:ascii="Times New Roman" w:hAnsi="Times New Roman" w:eastAsia="仿宋" w:cs="仿宋"/>
          <w:color w:val="000000"/>
          <w:sz w:val="32"/>
          <w:szCs w:val="32"/>
        </w:rPr>
        <w:t>万元，主要为计算机、一体机、空调、打印机、办公家具等，已列入政府采购预算表，详见政府采购预算表。</w:t>
      </w:r>
    </w:p>
    <w:tbl>
      <w:tblPr>
        <w:tblStyle w:val="7"/>
        <w:tblW w:w="9010" w:type="dxa"/>
        <w:tblInd w:w="-106"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3491"/>
        <w:gridCol w:w="2108"/>
        <w:gridCol w:w="3411"/>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57" w:hRule="atLeast"/>
        </w:trPr>
        <w:tc>
          <w:tcPr>
            <w:tcW w:w="9010" w:type="dxa"/>
            <w:gridSpan w:val="3"/>
            <w:tcBorders>
              <w:top w:val="nil"/>
              <w:left w:val="nil"/>
              <w:bottom w:val="nil"/>
              <w:right w:val="nil"/>
            </w:tcBorders>
            <w:vAlign w:val="center"/>
          </w:tcPr>
          <w:p>
            <w:pPr>
              <w:widowControl/>
              <w:jc w:val="center"/>
              <w:rPr>
                <w:rFonts w:ascii="宋体" w:cs="Times New Roman"/>
                <w:b/>
                <w:bCs/>
                <w:kern w:val="0"/>
                <w:sz w:val="32"/>
                <w:szCs w:val="32"/>
              </w:rPr>
            </w:pPr>
            <w:r>
              <w:rPr>
                <w:rFonts w:hint="eastAsia" w:ascii="宋体" w:hAnsi="宋体" w:cs="宋体"/>
                <w:b/>
                <w:bCs/>
                <w:kern w:val="0"/>
                <w:sz w:val="32"/>
                <w:szCs w:val="32"/>
              </w:rPr>
              <w:t>中国共产党无极县委员会信访局固定资产占用情况表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4" w:hRule="atLeast"/>
        </w:trPr>
        <w:tc>
          <w:tcPr>
            <w:tcW w:w="5599" w:type="dxa"/>
            <w:gridSpan w:val="2"/>
            <w:tcBorders>
              <w:top w:val="nil"/>
              <w:left w:val="nil"/>
              <w:bottom w:val="nil"/>
              <w:right w:val="nil"/>
            </w:tcBorders>
            <w:vAlign w:val="center"/>
          </w:tcPr>
          <w:p>
            <w:pPr>
              <w:widowControl/>
              <w:jc w:val="left"/>
              <w:rPr>
                <w:rFonts w:ascii="Times New Roman" w:hAnsi="Times New Roman" w:eastAsia="仿宋" w:cs="Times New Roman"/>
                <w:kern w:val="0"/>
                <w:sz w:val="22"/>
              </w:rPr>
            </w:pPr>
            <w:r>
              <w:rPr>
                <w:rFonts w:hint="eastAsia" w:ascii="Times New Roman" w:hAnsi="Times New Roman" w:eastAsia="仿宋" w:cs="仿宋"/>
                <w:kern w:val="0"/>
                <w:sz w:val="22"/>
                <w:szCs w:val="22"/>
              </w:rPr>
              <w:t>编制部门：信访局</w:t>
            </w:r>
          </w:p>
        </w:tc>
        <w:tc>
          <w:tcPr>
            <w:tcW w:w="3411" w:type="dxa"/>
            <w:tcBorders>
              <w:top w:val="nil"/>
              <w:left w:val="nil"/>
              <w:bottom w:val="nil"/>
              <w:right w:val="nil"/>
            </w:tcBorders>
            <w:vAlign w:val="center"/>
          </w:tcPr>
          <w:p>
            <w:pPr>
              <w:widowControl/>
              <w:jc w:val="left"/>
              <w:rPr>
                <w:rFonts w:ascii="Times New Roman" w:hAnsi="Times New Roman" w:eastAsia="仿宋" w:cs="Times New Roman"/>
                <w:kern w:val="0"/>
                <w:sz w:val="22"/>
              </w:rPr>
            </w:pPr>
            <w:r>
              <w:rPr>
                <w:rFonts w:hint="eastAsia" w:ascii="Times New Roman" w:hAnsi="Times New Roman" w:eastAsia="仿宋" w:cs="仿宋"/>
                <w:kern w:val="0"/>
                <w:sz w:val="22"/>
                <w:szCs w:val="22"/>
              </w:rPr>
              <w:t>截止时间：</w:t>
            </w:r>
            <w:r>
              <w:rPr>
                <w:rFonts w:ascii="Times New Roman" w:hAnsi="Times New Roman" w:eastAsia="仿宋" w:cs="Times New Roman"/>
                <w:kern w:val="0"/>
                <w:sz w:val="22"/>
                <w:szCs w:val="22"/>
              </w:rPr>
              <w:t>2019</w:t>
            </w:r>
            <w:r>
              <w:rPr>
                <w:rFonts w:hint="eastAsia" w:ascii="Times New Roman" w:hAnsi="Times New Roman" w:eastAsia="仿宋" w:cs="仿宋"/>
                <w:kern w:val="0"/>
                <w:sz w:val="22"/>
                <w:szCs w:val="22"/>
              </w:rPr>
              <w:t>年</w:t>
            </w:r>
            <w:r>
              <w:rPr>
                <w:rFonts w:ascii="Times New Roman" w:hAnsi="Times New Roman" w:eastAsia="仿宋" w:cs="Times New Roman"/>
                <w:kern w:val="0"/>
                <w:sz w:val="22"/>
                <w:szCs w:val="22"/>
              </w:rPr>
              <w:t>12</w:t>
            </w:r>
            <w:r>
              <w:rPr>
                <w:rFonts w:hint="eastAsia" w:ascii="Times New Roman" w:hAnsi="Times New Roman" w:eastAsia="仿宋" w:cs="仿宋"/>
                <w:kern w:val="0"/>
                <w:sz w:val="22"/>
                <w:szCs w:val="22"/>
              </w:rPr>
              <w:t>月</w:t>
            </w:r>
            <w:r>
              <w:rPr>
                <w:rFonts w:ascii="Times New Roman" w:hAnsi="Times New Roman" w:eastAsia="仿宋" w:cs="Times New Roman"/>
                <w:kern w:val="0"/>
                <w:sz w:val="22"/>
                <w:szCs w:val="22"/>
              </w:rPr>
              <w:t>31</w:t>
            </w:r>
            <w:r>
              <w:rPr>
                <w:rFonts w:hint="eastAsia" w:ascii="Times New Roman" w:hAnsi="Times New Roman" w:eastAsia="仿宋" w:cs="仿宋"/>
                <w:kern w:val="0"/>
                <w:sz w:val="22"/>
                <w:szCs w:val="22"/>
              </w:rPr>
              <w:t>日</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43" w:hRule="atLeast"/>
        </w:trPr>
        <w:tc>
          <w:tcPr>
            <w:tcW w:w="3491" w:type="dxa"/>
            <w:tcBorders>
              <w:top w:val="single" w:color="auto" w:sz="4" w:space="0"/>
              <w:left w:val="single" w:color="auto" w:sz="4" w:space="0"/>
              <w:bottom w:val="single" w:color="auto" w:sz="4" w:space="0"/>
              <w:right w:val="single" w:color="auto" w:sz="4" w:space="0"/>
            </w:tcBorders>
            <w:vAlign w:val="center"/>
          </w:tcPr>
          <w:p>
            <w:pPr>
              <w:widowControl/>
              <w:jc w:val="center"/>
              <w:rPr>
                <w:rFonts w:ascii="宋体" w:cs="Times New Roman"/>
                <w:b/>
                <w:bCs/>
                <w:kern w:val="0"/>
                <w:sz w:val="22"/>
              </w:rPr>
            </w:pPr>
            <w:r>
              <w:rPr>
                <w:rFonts w:hint="eastAsia" w:ascii="宋体" w:hAnsi="宋体" w:cs="宋体"/>
                <w:b/>
                <w:bCs/>
                <w:kern w:val="0"/>
                <w:sz w:val="22"/>
                <w:szCs w:val="22"/>
              </w:rPr>
              <w:t>项目</w:t>
            </w:r>
          </w:p>
        </w:tc>
        <w:tc>
          <w:tcPr>
            <w:tcW w:w="2108" w:type="dxa"/>
            <w:tcBorders>
              <w:top w:val="single" w:color="auto" w:sz="4" w:space="0"/>
              <w:left w:val="nil"/>
              <w:bottom w:val="single" w:color="auto" w:sz="4" w:space="0"/>
              <w:right w:val="single" w:color="auto" w:sz="4" w:space="0"/>
            </w:tcBorders>
            <w:vAlign w:val="center"/>
          </w:tcPr>
          <w:p>
            <w:pPr>
              <w:widowControl/>
              <w:jc w:val="center"/>
              <w:rPr>
                <w:rFonts w:ascii="宋体" w:cs="Times New Roman"/>
                <w:b/>
                <w:bCs/>
                <w:kern w:val="0"/>
                <w:sz w:val="22"/>
              </w:rPr>
            </w:pPr>
            <w:r>
              <w:rPr>
                <w:rFonts w:hint="eastAsia" w:ascii="宋体" w:hAnsi="宋体" w:cs="宋体"/>
                <w:b/>
                <w:bCs/>
                <w:kern w:val="0"/>
                <w:sz w:val="22"/>
                <w:szCs w:val="22"/>
              </w:rPr>
              <w:t>数量</w:t>
            </w:r>
          </w:p>
        </w:tc>
        <w:tc>
          <w:tcPr>
            <w:tcW w:w="3411" w:type="dxa"/>
            <w:tcBorders>
              <w:top w:val="single" w:color="auto" w:sz="4" w:space="0"/>
              <w:left w:val="nil"/>
              <w:bottom w:val="single" w:color="auto" w:sz="4" w:space="0"/>
              <w:right w:val="single" w:color="auto" w:sz="4" w:space="0"/>
            </w:tcBorders>
            <w:vAlign w:val="center"/>
          </w:tcPr>
          <w:p>
            <w:pPr>
              <w:widowControl/>
              <w:jc w:val="center"/>
              <w:rPr>
                <w:rFonts w:ascii="宋体" w:cs="Times New Roman"/>
                <w:b/>
                <w:bCs/>
                <w:kern w:val="0"/>
                <w:sz w:val="22"/>
              </w:rPr>
            </w:pPr>
            <w:r>
              <w:rPr>
                <w:rFonts w:hint="eastAsia" w:ascii="宋体" w:hAnsi="宋体" w:cs="宋体"/>
                <w:b/>
                <w:bCs/>
                <w:kern w:val="0"/>
                <w:sz w:val="22"/>
                <w:szCs w:val="22"/>
              </w:rPr>
              <w:t>价值（金额单位：万元）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43" w:hRule="atLeast"/>
        </w:trPr>
        <w:tc>
          <w:tcPr>
            <w:tcW w:w="3491" w:type="dxa"/>
            <w:tcBorders>
              <w:top w:val="nil"/>
              <w:left w:val="single" w:color="auto" w:sz="4" w:space="0"/>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hint="eastAsia" w:ascii="Times New Roman" w:hAnsi="Times New Roman" w:eastAsia="仿宋" w:cs="仿宋"/>
                <w:kern w:val="0"/>
                <w:sz w:val="22"/>
                <w:szCs w:val="22"/>
              </w:rPr>
              <w:t>资产总额</w:t>
            </w:r>
          </w:p>
        </w:tc>
        <w:tc>
          <w:tcPr>
            <w:tcW w:w="2108"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ascii="Times New Roman" w:hAnsi="Times New Roman" w:eastAsia="仿宋" w:cs="Times New Roman"/>
                <w:kern w:val="0"/>
                <w:sz w:val="22"/>
                <w:szCs w:val="22"/>
              </w:rPr>
              <w:t>——</w:t>
            </w:r>
          </w:p>
        </w:tc>
        <w:tc>
          <w:tcPr>
            <w:tcW w:w="3411"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color w:val="FF0000"/>
                <w:kern w:val="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43" w:hRule="atLeast"/>
        </w:trPr>
        <w:tc>
          <w:tcPr>
            <w:tcW w:w="3491"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szCs w:val="22"/>
              </w:rPr>
              <w:t>1</w:t>
            </w:r>
            <w:r>
              <w:rPr>
                <w:rFonts w:hint="eastAsia" w:ascii="Times New Roman" w:hAnsi="Times New Roman" w:eastAsia="仿宋" w:cs="仿宋"/>
                <w:kern w:val="0"/>
                <w:sz w:val="22"/>
                <w:szCs w:val="22"/>
              </w:rPr>
              <w:t>、房屋（平方米）</w:t>
            </w:r>
          </w:p>
        </w:tc>
        <w:tc>
          <w:tcPr>
            <w:tcW w:w="2108"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p>
        </w:tc>
        <w:tc>
          <w:tcPr>
            <w:tcW w:w="3411"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43" w:hRule="atLeast"/>
        </w:trPr>
        <w:tc>
          <w:tcPr>
            <w:tcW w:w="3491"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hint="eastAsia" w:ascii="Times New Roman" w:hAnsi="Times New Roman" w:eastAsia="仿宋" w:cs="仿宋"/>
                <w:kern w:val="0"/>
                <w:sz w:val="22"/>
                <w:szCs w:val="22"/>
              </w:rPr>
              <w:t>其中：办公用房（平方米）</w:t>
            </w:r>
          </w:p>
        </w:tc>
        <w:tc>
          <w:tcPr>
            <w:tcW w:w="2108"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p>
        </w:tc>
        <w:tc>
          <w:tcPr>
            <w:tcW w:w="3411"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43" w:hRule="atLeast"/>
        </w:trPr>
        <w:tc>
          <w:tcPr>
            <w:tcW w:w="3491"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szCs w:val="22"/>
              </w:rPr>
              <w:t>2</w:t>
            </w:r>
            <w:r>
              <w:rPr>
                <w:rFonts w:hint="eastAsia" w:ascii="Times New Roman" w:hAnsi="Times New Roman" w:eastAsia="仿宋" w:cs="仿宋"/>
                <w:kern w:val="0"/>
                <w:sz w:val="22"/>
                <w:szCs w:val="22"/>
              </w:rPr>
              <w:t>、车辆（台、辆）</w:t>
            </w:r>
          </w:p>
        </w:tc>
        <w:tc>
          <w:tcPr>
            <w:tcW w:w="2108"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hint="eastAsia" w:ascii="Times New Roman" w:hAnsi="Times New Roman" w:eastAsia="仿宋" w:cs="Times New Roman"/>
                <w:kern w:val="0"/>
                <w:sz w:val="22"/>
                <w:szCs w:val="22"/>
              </w:rPr>
              <w:t>1</w:t>
            </w:r>
          </w:p>
        </w:tc>
        <w:tc>
          <w:tcPr>
            <w:tcW w:w="3411"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hint="eastAsia" w:ascii="宋体" w:hAnsi="宋体" w:cs="宋体"/>
                <w:kern w:val="0"/>
                <w:sz w:val="22"/>
              </w:rPr>
              <w:t>11.39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43" w:hRule="atLeast"/>
        </w:trPr>
        <w:tc>
          <w:tcPr>
            <w:tcW w:w="3491"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szCs w:val="22"/>
              </w:rPr>
              <w:t>3</w:t>
            </w:r>
            <w:r>
              <w:rPr>
                <w:rFonts w:hint="eastAsia" w:ascii="Times New Roman" w:hAnsi="Times New Roman" w:eastAsia="仿宋" w:cs="仿宋"/>
                <w:kern w:val="0"/>
                <w:sz w:val="22"/>
                <w:szCs w:val="22"/>
              </w:rPr>
              <w:t>、单价在</w:t>
            </w:r>
            <w:r>
              <w:rPr>
                <w:rFonts w:ascii="Times New Roman" w:hAnsi="Times New Roman" w:eastAsia="仿宋" w:cs="Times New Roman"/>
                <w:kern w:val="0"/>
                <w:sz w:val="22"/>
                <w:szCs w:val="22"/>
              </w:rPr>
              <w:t>20</w:t>
            </w:r>
            <w:r>
              <w:rPr>
                <w:rFonts w:hint="eastAsia" w:ascii="Times New Roman" w:hAnsi="Times New Roman" w:eastAsia="仿宋" w:cs="仿宋"/>
                <w:kern w:val="0"/>
                <w:sz w:val="22"/>
                <w:szCs w:val="22"/>
              </w:rPr>
              <w:t>万元以上设备</w:t>
            </w:r>
          </w:p>
        </w:tc>
        <w:tc>
          <w:tcPr>
            <w:tcW w:w="2108"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ascii="Times New Roman" w:hAnsi="Times New Roman" w:eastAsia="仿宋" w:cs="Times New Roman"/>
                <w:kern w:val="0"/>
                <w:sz w:val="22"/>
                <w:szCs w:val="22"/>
              </w:rPr>
              <w:t>——</w:t>
            </w:r>
          </w:p>
        </w:tc>
        <w:tc>
          <w:tcPr>
            <w:tcW w:w="3411"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43" w:hRule="atLeast"/>
        </w:trPr>
        <w:tc>
          <w:tcPr>
            <w:tcW w:w="3491"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szCs w:val="22"/>
              </w:rPr>
              <w:t>4</w:t>
            </w:r>
            <w:r>
              <w:rPr>
                <w:rFonts w:hint="eastAsia" w:ascii="Times New Roman" w:hAnsi="Times New Roman" w:eastAsia="仿宋" w:cs="仿宋"/>
                <w:kern w:val="0"/>
                <w:sz w:val="22"/>
                <w:szCs w:val="22"/>
              </w:rPr>
              <w:t>、其他固定资产</w:t>
            </w:r>
          </w:p>
        </w:tc>
        <w:tc>
          <w:tcPr>
            <w:tcW w:w="2108"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ascii="Times New Roman" w:hAnsi="Times New Roman" w:eastAsia="仿宋" w:cs="Times New Roman"/>
                <w:kern w:val="0"/>
                <w:sz w:val="22"/>
                <w:szCs w:val="22"/>
              </w:rPr>
              <w:t>——</w:t>
            </w:r>
          </w:p>
        </w:tc>
        <w:tc>
          <w:tcPr>
            <w:tcW w:w="3411"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hint="eastAsia" w:ascii="Times New Roman" w:hAnsi="Times New Roman" w:eastAsia="仿宋" w:cs="Times New Roman"/>
                <w:kern w:val="0"/>
                <w:sz w:val="22"/>
              </w:rPr>
              <w:t>36.565247</w:t>
            </w:r>
          </w:p>
        </w:tc>
      </w:tr>
    </w:tbl>
    <w:p>
      <w:pPr>
        <w:autoSpaceDE w:val="0"/>
        <w:autoSpaceDN w:val="0"/>
        <w:adjustRightInd w:val="0"/>
        <w:ind w:firstLine="640" w:firstLineChars="200"/>
        <w:jc w:val="left"/>
        <w:rPr>
          <w:rFonts w:ascii="黑体" w:hAnsi="黑体" w:eastAsia="黑体" w:cs="黑体"/>
          <w:sz w:val="32"/>
          <w:szCs w:val="32"/>
        </w:rPr>
      </w:pPr>
    </w:p>
    <w:p>
      <w:p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黑体"/>
          <w:sz w:val="32"/>
          <w:szCs w:val="32"/>
        </w:rPr>
        <w:t>八、名词解释</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1</w:t>
      </w:r>
      <w:r>
        <w:rPr>
          <w:rFonts w:hint="eastAsia" w:ascii="Times New Roman" w:hAnsi="Times New Roman" w:eastAsia="仿宋" w:cs="仿宋"/>
          <w:sz w:val="32"/>
          <w:szCs w:val="32"/>
        </w:rPr>
        <w:t>、一般公共预算拨款收入：指省级财政当年拨付的资金。</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2</w:t>
      </w:r>
      <w:r>
        <w:rPr>
          <w:rFonts w:hint="eastAsia" w:ascii="Times New Roman" w:hAnsi="Times New Roman" w:eastAsia="仿宋" w:cs="仿宋"/>
          <w:sz w:val="32"/>
          <w:szCs w:val="32"/>
        </w:rPr>
        <w:t>、事业收入：指事业单位开展专业业务活动及辅助活动所取得的收入。</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3</w:t>
      </w:r>
      <w:r>
        <w:rPr>
          <w:rFonts w:hint="eastAsia" w:ascii="Times New Roman" w:hAnsi="Times New Roman" w:eastAsia="仿宋" w:cs="仿宋"/>
          <w:sz w:val="32"/>
          <w:szCs w:val="32"/>
        </w:rPr>
        <w:t>、其他收入：指除“一般公共预算拨款收入”、“事业收入”等以外的收入。主要是按规定动用的租房收入、存款利息收入等。</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4</w:t>
      </w:r>
      <w:r>
        <w:rPr>
          <w:rFonts w:hint="eastAsia" w:ascii="Times New Roman" w:hAnsi="Times New Roman" w:eastAsia="仿宋" w:cs="仿宋"/>
          <w:sz w:val="32"/>
          <w:szCs w:val="32"/>
        </w:rPr>
        <w:t>、基本支出：指为保障机构正常运转、完成日常工作任务而发生的人员支出和公用支出。</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5</w:t>
      </w:r>
      <w:r>
        <w:rPr>
          <w:rFonts w:hint="eastAsia" w:ascii="Times New Roman" w:hAnsi="Times New Roman" w:eastAsia="仿宋" w:cs="仿宋"/>
          <w:sz w:val="32"/>
          <w:szCs w:val="32"/>
        </w:rPr>
        <w:t>、项目支出：指在基本支出之外为完成特定行政任务和事业发展目标所发生的支出。</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6</w:t>
      </w:r>
      <w:r>
        <w:rPr>
          <w:rFonts w:hint="eastAsia" w:ascii="Times New Roman" w:hAnsi="Times New Roman" w:eastAsia="仿宋" w:cs="仿宋"/>
          <w:sz w:val="32"/>
          <w:szCs w:val="32"/>
        </w:rPr>
        <w:t>、上缴上级支出：指下级单位上缴上级的支出。</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7</w:t>
      </w:r>
      <w:r>
        <w:rPr>
          <w:rFonts w:hint="eastAsia" w:ascii="Times New Roman" w:hAnsi="Times New Roman" w:eastAsia="仿宋" w:cs="仿宋"/>
          <w:sz w:val="32"/>
          <w:szCs w:val="32"/>
        </w:rPr>
        <w:t>、“三公”经费：纳入省级财政预算管理的“三公”经费，是指省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8</w:t>
      </w:r>
      <w:r>
        <w:rPr>
          <w:rFonts w:hint="eastAsia" w:ascii="Times New Roman" w:hAnsi="Times New Roman" w:eastAsia="仿宋" w:cs="仿宋"/>
          <w:sz w:val="32"/>
          <w:szCs w:val="32"/>
        </w:rPr>
        <w:t>、机关运行费：是指各部门的公用经费，包括办公及印刷费、邮电费、差旅费、会议费、福利费、日常维修费、专用材料及一般设备购置费、办公用房水电费、办公用房取暖费、办公用房物业管理费、公务用车运行维护费以及其他费用。</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9</w:t>
      </w:r>
      <w:r>
        <w:rPr>
          <w:rFonts w:hint="eastAsia" w:ascii="Times New Roman" w:hAnsi="Times New Roman" w:eastAsia="仿宋" w:cs="仿宋"/>
          <w:sz w:val="32"/>
          <w:szCs w:val="32"/>
        </w:rPr>
        <w:t>、上年结转：指以前年度尚未完成、结转到本年仍按原规定用途继续使用的资金。</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10</w:t>
      </w:r>
      <w:r>
        <w:rPr>
          <w:rFonts w:hint="eastAsia" w:ascii="Times New Roman" w:hAnsi="Times New Roman" w:eastAsia="仿宋" w:cs="仿宋"/>
          <w:sz w:val="32"/>
          <w:szCs w:val="32"/>
        </w:rPr>
        <w:t>、事业单位经营支出：指事业单位在专业业务活动及其辅助活动之外开展非独立核算经营活动发生的支出。</w:t>
      </w:r>
    </w:p>
    <w:p>
      <w:pPr>
        <w:ind w:firstLine="643" w:firstLineChars="200"/>
        <w:rPr>
          <w:rFonts w:ascii="宋体-方正超大字符集" w:hAnsi="宋体-方正超大字符集" w:eastAsia="宋体-方正超大字符集" w:cs="Times New Roman"/>
          <w:b/>
          <w:bCs/>
          <w:sz w:val="32"/>
          <w:szCs w:val="32"/>
        </w:rPr>
      </w:pPr>
      <w:r>
        <w:rPr>
          <w:rFonts w:hint="eastAsia" w:ascii="宋体-方正超大字符集" w:hAnsi="宋体-方正超大字符集" w:eastAsia="宋体-方正超大字符集" w:cs="宋体-方正超大字符集"/>
          <w:b/>
          <w:bCs/>
          <w:sz w:val="32"/>
          <w:szCs w:val="32"/>
        </w:rPr>
        <w:t>九、其他需要说明的事项</w:t>
      </w:r>
    </w:p>
    <w:p>
      <w:pPr>
        <w:ind w:firstLine="640" w:firstLineChars="200"/>
        <w:rPr>
          <w:rFonts w:ascii="Times New Roman" w:hAnsi="Times New Roman" w:eastAsia="仿宋" w:cs="Times New Roman"/>
          <w:sz w:val="32"/>
          <w:szCs w:val="32"/>
        </w:rPr>
      </w:pPr>
      <w:r>
        <w:rPr>
          <w:rFonts w:hint="eastAsia" w:ascii="Times New Roman" w:hAnsi="Times New Roman" w:eastAsia="仿宋" w:cs="仿宋"/>
          <w:sz w:val="32"/>
          <w:szCs w:val="32"/>
        </w:rPr>
        <w:t>我部门无其他需要说明的事项。</w:t>
      </w:r>
    </w:p>
    <w:sectPr>
      <w:footerReference r:id="rId3" w:type="default"/>
      <w:pgSz w:w="11907" w:h="8391" w:orient="landscape"/>
      <w:pgMar w:top="1797" w:right="1440" w:bottom="1797" w:left="144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altName w:val="微软雅黑"/>
    <w:panose1 w:val="02000000000000000000"/>
    <w:charset w:val="86"/>
    <w:family w:val="auto"/>
    <w:pitch w:val="default"/>
    <w:sig w:usb0="00000000" w:usb1="00000000" w:usb2="00082016" w:usb3="00000000" w:csb0="00040001" w:csb1="00000000"/>
  </w:font>
  <w:font w:name="仿宋">
    <w:panose1 w:val="02010609060101010101"/>
    <w:charset w:val="86"/>
    <w:family w:val="auto"/>
    <w:pitch w:val="default"/>
    <w:sig w:usb0="800002BF" w:usb1="38CF7CFA" w:usb2="00000016" w:usb3="00000000" w:csb0="00040001" w:csb1="00000000"/>
  </w:font>
  <w:font w:name="仿宋_GB2312">
    <w:panose1 w:val="02010609030101010101"/>
    <w:charset w:val="86"/>
    <w:family w:val="auto"/>
    <w:pitch w:val="default"/>
    <w:sig w:usb0="00000001" w:usb1="080E0000" w:usb2="00000000" w:usb3="00000000" w:csb0="00040000" w:csb1="00000000"/>
  </w:font>
  <w:font w:name="方正书宋_GBK">
    <w:altName w:val="微软雅黑"/>
    <w:panose1 w:val="02000000000000000000"/>
    <w:charset w:val="86"/>
    <w:family w:val="auto"/>
    <w:pitch w:val="default"/>
    <w:sig w:usb0="00000000" w:usb1="00000000" w:usb2="00082016" w:usb3="00000000" w:csb0="00040001" w:csb1="00000000"/>
  </w:font>
  <w:font w:name="方正仿宋_GBK">
    <w:altName w:val="微软雅黑"/>
    <w:panose1 w:val="02000000000000000000"/>
    <w:charset w:val="86"/>
    <w:family w:val="auto"/>
    <w:pitch w:val="default"/>
    <w:sig w:usb0="00000000" w:usb1="00000000" w:usb2="00082016" w:usb3="00000000" w:csb0="00040001" w:csb1="00000000"/>
  </w:font>
  <w:font w:name="方正黑体_GBK">
    <w:altName w:val="微软雅黑"/>
    <w:panose1 w:val="02000000000000000000"/>
    <w:charset w:val="86"/>
    <w:family w:val="auto"/>
    <w:pitch w:val="default"/>
    <w:sig w:usb0="00000000" w:usb1="00000000" w:usb2="00082016" w:usb3="00000000" w:csb0="00040001" w:csb1="00000000"/>
  </w:font>
  <w:font w:name="宋体-方正超大字符集">
    <w:altName w:val="宋体"/>
    <w:panose1 w:val="03000509000000000000"/>
    <w:charset w:val="86"/>
    <w:family w:val="auto"/>
    <w:pitch w:val="default"/>
    <w:sig w:usb0="00000000" w:usb1="00000000" w:usb2="00000000" w:usb3="00000000" w:csb0="0004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framePr w:wrap="around" w:vAnchor="text" w:hAnchor="margin" w:xAlign="outside" w:y="1"/>
      <w:rPr>
        <w:rStyle w:val="15"/>
      </w:rPr>
    </w:pPr>
    <w:r>
      <w:fldChar w:fldCharType="begin"/>
    </w:r>
    <w:r>
      <w:rPr>
        <w:rStyle w:val="15"/>
      </w:rPr>
      <w:instrText xml:space="preserve">PAGE  </w:instrText>
    </w:r>
    <w:r>
      <w:fldChar w:fldCharType="separate"/>
    </w:r>
    <w:r>
      <w:rPr>
        <w:rStyle w:val="15"/>
      </w:rPr>
      <w:t>15</w:t>
    </w:r>
    <w:r>
      <w:fldChar w:fldCharType="end"/>
    </w:r>
  </w:p>
  <w:p>
    <w:pPr>
      <w:pStyle w:val="2"/>
      <w:ind w:right="360" w:firstLine="360"/>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9"/>
  <w:bordersDoNotSurroundHeader w:val="1"/>
  <w:bordersDoNotSurroundFooter w:val="1"/>
  <w:documentProtection w:enforcement="0"/>
  <w:defaultTabStop w:val="420"/>
  <w:drawingGridHorizontalSpacing w:val="105"/>
  <w:drawingGridVerticalSpacing w:val="156"/>
  <w:displayHorizontalDrawingGridEvery w:val="0"/>
  <w:displayVerticalDrawingGridEvery w:val="2"/>
  <w:characterSpacingControl w:val="compressPunctuation"/>
  <w:noLineBreaksAfter w:lang="zh-CN" w:val="$([{£¥·‘“〈《「『【〔〖〝﹙﹛﹝＄（．［｛￡￥"/>
  <w:noLineBreaksBefore w:lang="zh-CN" w:val="!%),.:;&gt;?]}¢¨°·ˇˉ―‖’”…‰′″›℃∶、。〃〉》」』】〕〗〞︶︺︾﹀﹄﹚﹜﹞！＂％＇），．：；？］｀｜｝～￠"/>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2EE2A90"/>
    <w:rsid w:val="13A04239"/>
    <w:rsid w:val="48981D16"/>
  </w:rsids>
  <m:mathPr>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qFormat="1"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qFormat="1"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uiPriority w:val="0"/>
    <w:pPr>
      <w:widowControl w:val="0"/>
      <w:jc w:val="both"/>
    </w:pPr>
    <w:rPr>
      <w:rFonts w:ascii="Calibri" w:hAnsi="Calibri" w:eastAsia="宋体" w:cs="Calibri"/>
      <w:kern w:val="2"/>
      <w:sz w:val="21"/>
      <w:szCs w:val="21"/>
      <w:lang w:val="en-US" w:eastAsia="zh-CN" w:bidi="ar-SA"/>
    </w:rPr>
  </w:style>
  <w:style w:type="character" w:default="1" w:styleId="8">
    <w:name w:val="Default Paragraph Font"/>
    <w:uiPriority w:val="0"/>
  </w:style>
  <w:style w:type="table" w:default="1" w:styleId="7">
    <w:name w:val="Normal Table"/>
    <w:semiHidden/>
    <w:qFormat/>
    <w:uiPriority w:val="0"/>
    <w:tblPr>
      <w:tblCellMar>
        <w:top w:w="0" w:type="dxa"/>
        <w:left w:w="108" w:type="dxa"/>
        <w:bottom w:w="0" w:type="dxa"/>
        <w:right w:w="108" w:type="dxa"/>
      </w:tblCellMar>
    </w:tblPr>
  </w:style>
  <w:style w:type="paragraph" w:styleId="2">
    <w:name w:val="footer"/>
    <w:basedOn w:val="1"/>
    <w:link w:val="10"/>
    <w:qFormat/>
    <w:uiPriority w:val="0"/>
    <w:pPr>
      <w:tabs>
        <w:tab w:val="center" w:pos="4153"/>
        <w:tab w:val="right" w:pos="8306"/>
      </w:tabs>
      <w:snapToGrid w:val="0"/>
      <w:jc w:val="left"/>
    </w:pPr>
    <w:rPr>
      <w:rFonts w:ascii="Times New Roman" w:hAnsi="Times New Roman" w:eastAsia="宋体" w:cs="Times New Roman"/>
      <w:sz w:val="18"/>
      <w:szCs w:val="18"/>
    </w:rPr>
  </w:style>
  <w:style w:type="paragraph" w:styleId="3">
    <w:name w:val="header"/>
    <w:basedOn w:val="1"/>
    <w:link w:val="11"/>
    <w:qFormat/>
    <w:uiPriority w:val="0"/>
    <w:pPr>
      <w:pBdr>
        <w:bottom w:val="single" w:color="auto" w:sz="6" w:space="1"/>
      </w:pBdr>
      <w:tabs>
        <w:tab w:val="center" w:pos="4153"/>
        <w:tab w:val="right" w:pos="8306"/>
      </w:tabs>
      <w:snapToGrid w:val="0"/>
      <w:jc w:val="center"/>
    </w:pPr>
    <w:rPr>
      <w:rFonts w:ascii="Times New Roman" w:hAnsi="Times New Roman" w:eastAsia="宋体" w:cs="Times New Roman"/>
      <w:sz w:val="18"/>
      <w:szCs w:val="18"/>
    </w:rPr>
  </w:style>
  <w:style w:type="paragraph" w:styleId="4">
    <w:name w:val="toc 1"/>
    <w:basedOn w:val="1"/>
    <w:next w:val="1"/>
    <w:uiPriority w:val="0"/>
    <w:rPr>
      <w:rFonts w:ascii="Times New Roman" w:hAnsi="Times New Roman" w:cs="Times New Roman"/>
    </w:rPr>
  </w:style>
  <w:style w:type="paragraph" w:styleId="5">
    <w:name w:val="footnote text"/>
    <w:basedOn w:val="1"/>
    <w:link w:val="12"/>
    <w:uiPriority w:val="0"/>
    <w:pPr>
      <w:snapToGrid w:val="0"/>
      <w:jc w:val="left"/>
    </w:pPr>
    <w:rPr>
      <w:rFonts w:ascii="Calibri" w:hAnsi="Calibri" w:cs="Calibri"/>
      <w:sz w:val="18"/>
      <w:szCs w:val="18"/>
    </w:rPr>
  </w:style>
  <w:style w:type="paragraph" w:styleId="6">
    <w:name w:val="toc 2"/>
    <w:basedOn w:val="1"/>
    <w:next w:val="1"/>
    <w:qFormat/>
    <w:uiPriority w:val="0"/>
    <w:pPr>
      <w:ind w:left="420" w:leftChars="200"/>
    </w:pPr>
    <w:rPr>
      <w:rFonts w:ascii="Times New Roman" w:hAnsi="Times New Roman" w:cs="Times New Roman"/>
    </w:rPr>
  </w:style>
  <w:style w:type="character" w:styleId="9">
    <w:name w:val="footnote reference"/>
    <w:basedOn w:val="8"/>
    <w:qFormat/>
    <w:uiPriority w:val="0"/>
    <w:rPr>
      <w:vertAlign w:val="superscript"/>
    </w:rPr>
  </w:style>
  <w:style w:type="character" w:customStyle="1" w:styleId="10">
    <w:name w:val="页脚 Char"/>
    <w:basedOn w:val="8"/>
    <w:link w:val="2"/>
    <w:semiHidden/>
    <w:qFormat/>
    <w:uiPriority w:val="0"/>
    <w:rPr>
      <w:rFonts w:ascii="Times New Roman" w:hAnsi="Times New Roman" w:eastAsia="宋体" w:cs="Times New Roman"/>
      <w:sz w:val="18"/>
      <w:szCs w:val="18"/>
    </w:rPr>
  </w:style>
  <w:style w:type="character" w:customStyle="1" w:styleId="11">
    <w:name w:val="页眉 Char"/>
    <w:basedOn w:val="8"/>
    <w:link w:val="3"/>
    <w:semiHidden/>
    <w:qFormat/>
    <w:uiPriority w:val="0"/>
    <w:rPr>
      <w:rFonts w:ascii="Times New Roman" w:hAnsi="Times New Roman" w:eastAsia="宋体" w:cs="Times New Roman"/>
      <w:sz w:val="18"/>
      <w:szCs w:val="18"/>
    </w:rPr>
  </w:style>
  <w:style w:type="character" w:customStyle="1" w:styleId="12">
    <w:name w:val="脚注文本 Char"/>
    <w:basedOn w:val="8"/>
    <w:link w:val="5"/>
    <w:semiHidden/>
    <w:qFormat/>
    <w:uiPriority w:val="0"/>
    <w:rPr>
      <w:rFonts w:ascii="Calibri" w:hAnsi="Calibri" w:cs="Calibri"/>
      <w:sz w:val="18"/>
      <w:szCs w:val="18"/>
    </w:rPr>
  </w:style>
  <w:style w:type="paragraph" w:customStyle="1" w:styleId="13">
    <w:name w:val="Char"/>
    <w:basedOn w:val="1"/>
    <w:qFormat/>
    <w:uiPriority w:val="0"/>
    <w:rPr>
      <w:rFonts w:ascii="Times New Roman" w:hAnsi="Times New Roman" w:cs="Times New Roman"/>
    </w:rPr>
  </w:style>
  <w:style w:type="paragraph" w:customStyle="1" w:styleId="14">
    <w:name w:val="[Normal]"/>
    <w:qFormat/>
    <w:uiPriority w:val="0"/>
    <w:pPr>
      <w:widowControl w:val="0"/>
      <w:autoSpaceDE w:val="0"/>
      <w:autoSpaceDN w:val="0"/>
      <w:adjustRightInd w:val="0"/>
    </w:pPr>
    <w:rPr>
      <w:rFonts w:ascii="宋体" w:hAnsi="Times New Roman" w:eastAsia="宋体" w:cs="宋体"/>
      <w:sz w:val="24"/>
      <w:szCs w:val="24"/>
      <w:lang w:val="en-US" w:eastAsia="zh-CN" w:bidi="ar-SA"/>
    </w:rPr>
  </w:style>
  <w:style w:type="character" w:customStyle="1" w:styleId="15">
    <w:name w:val="页码1"/>
    <w:qFormat/>
    <w:uiPriority w:val="0"/>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Microsoft</Company>
  <Pages>15</Pages>
  <Words>4371</Words>
  <Characters>791</Characters>
  <Lines>6</Lines>
  <Paragraphs>10</Paragraphs>
  <TotalTime>0</TotalTime>
  <ScaleCrop>false</ScaleCrop>
  <LinksUpToDate>false</LinksUpToDate>
  <CharactersWithSpaces>0</CharactersWithSpaces>
  <Application>WPS Office_11.8.2.8875_F1E327BC-269C-435d-A152-05C5408002CA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2017-01-24T01:29:00Z</dcterms:created>
  <dc:creator>guest</dc:creator>
  <cp:lastModifiedBy>Administrator</cp:lastModifiedBy>
  <cp:lastPrinted>2020-04-20T16:27:00Z</cp:lastPrinted>
  <dcterms:modified xsi:type="dcterms:W3CDTF">2024-01-31T02:32:11Z</dcterms:modified>
  <dc:title>o</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2052-11.8.2.8875</vt:lpwstr>
  </property>
  <property fmtid="{D5CDD505-2E9C-101B-9397-08002B2CF9AE}" pid="3" name="ICV">
    <vt:lpwstr>209B6CF51D624F0489A3FBE1A40272FB</vt:lpwstr>
  </property>
</Properties>
</file>