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4"/>
        <w:tabs>
          <w:tab w:val="right" w:leader="dot" w:pos="14562"/>
        </w:tabs>
      </w:pPr>
      <w:r>
        <w:rPr>
          <w:rFonts w:hint="eastAsia"/>
          <w:lang w:val="en-US" w:eastAsia="zh-CN"/>
        </w:rPr>
        <w:t>一、</w:t>
      </w: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无极县妇女联合会本级</w:t>
      </w:r>
      <w:r>
        <w:rPr>
          <w:rFonts w:hint="eastAsia"/>
        </w:rPr>
        <w:t>收支预算</w:t>
      </w:r>
      <w:r>
        <w:tab/>
      </w:r>
      <w:r>
        <w:rPr>
          <w:rFonts w:hint="eastAsia"/>
          <w:lang w:val="en-US" w:eastAsia="zh-CN"/>
        </w:rPr>
        <w:t>2</w:t>
      </w:r>
      <w:r>
        <w:fldChar w:fldCharType="end"/>
      </w:r>
    </w:p>
    <w:p>
      <w:pPr>
        <w:pStyle w:val="4"/>
        <w:tabs>
          <w:tab w:val="right" w:leader="dot" w:pos="14562"/>
        </w:tabs>
      </w:pPr>
    </w:p>
    <w:p>
      <w:r>
        <w:fldChar w:fldCharType="end"/>
      </w:r>
    </w:p>
    <w:p>
      <w:pPr>
        <w:sectPr>
          <w:headerReference r:id="rId3" w:type="default"/>
          <w:footerReference r:id="rId4" w:type="default"/>
          <w:pgSz w:w="16840" w:h="11900" w:orient="landscape"/>
          <w:pgMar w:top="1361" w:right="1020" w:bottom="1134" w:left="1020" w:header="720" w:footer="720" w:gutter="0"/>
          <w:cols w:space="720" w:num="1"/>
        </w:sectPr>
      </w:pPr>
    </w:p>
    <w:p>
      <w:pPr>
        <w:jc w:val="center"/>
        <w:outlineLvl w:val="3"/>
        <w:rPr>
          <w:rFonts w:hint="eastAsia" w:eastAsia="方正小标宋_GBK"/>
          <w:lang w:eastAsia="zh-CN"/>
        </w:rPr>
      </w:pPr>
      <w:bookmarkStart w:id="0" w:name="_Toc_4_4_0000000019"/>
      <w:r>
        <w:rPr>
          <w:rFonts w:ascii="方正小标宋_GBK" w:hAnsi="方正小标宋_GBK" w:eastAsia="方正小标宋_GBK" w:cs="方正小标宋_GBK"/>
          <w:color w:val="000000"/>
          <w:sz w:val="44"/>
        </w:rPr>
        <w:t>一、</w:t>
      </w:r>
      <w:bookmarkEnd w:id="0"/>
      <w:r>
        <w:rPr>
          <w:rFonts w:ascii="方正小标宋_GBK" w:hAnsi="方正小标宋_GBK" w:eastAsia="方正小标宋_GBK" w:cs="方正小标宋_GBK"/>
          <w:color w:val="000000"/>
          <w:sz w:val="44"/>
        </w:rPr>
        <w:t>无极县妇女联合会本级</w:t>
      </w:r>
      <w:r>
        <w:rPr>
          <w:rFonts w:hint="eastAsia" w:ascii="方正小标宋_GBK" w:hAnsi="方正小标宋_GBK" w:eastAsia="方正小标宋_GBK" w:cs="方正小标宋_GBK"/>
          <w:color w:val="000000"/>
          <w:sz w:val="44"/>
          <w:lang w:eastAsia="zh-CN"/>
        </w:rPr>
        <w:t>收支预算</w:t>
      </w:r>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713001无极县妇女联合会本级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68.21</w:t>
            </w:r>
          </w:p>
        </w:tc>
        <w:tc>
          <w:tcPr>
            <w:tcW w:w="4535" w:type="dxa"/>
            <w:vAlign w:val="center"/>
          </w:tcPr>
          <w:p>
            <w:pPr>
              <w:pStyle w:val="12"/>
            </w:pPr>
            <w:r>
              <w:t>一、一般公共服务支出</w:t>
            </w:r>
          </w:p>
        </w:tc>
        <w:tc>
          <w:tcPr>
            <w:tcW w:w="2126" w:type="dxa"/>
            <w:vAlign w:val="center"/>
          </w:tcPr>
          <w:p>
            <w:pPr>
              <w:pStyle w:val="13"/>
            </w:pPr>
            <w:r>
              <w:t>56.72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4"/>
            </w:pPr>
            <w:r>
              <w:t>本年收入合计</w:t>
            </w:r>
          </w:p>
        </w:tc>
        <w:tc>
          <w:tcPr>
            <w:tcW w:w="2126" w:type="dxa"/>
            <w:vAlign w:val="center"/>
          </w:tcPr>
          <w:p>
            <w:pPr>
              <w:pStyle w:val="15"/>
            </w:pPr>
            <w:r>
              <w:t>68.21</w:t>
            </w:r>
          </w:p>
        </w:tc>
        <w:tc>
          <w:tcPr>
            <w:tcW w:w="4535" w:type="dxa"/>
            <w:vAlign w:val="center"/>
          </w:tcPr>
          <w:p>
            <w:pPr>
              <w:pStyle w:val="14"/>
            </w:pPr>
            <w:r>
              <w:t>本年支出合计</w:t>
            </w:r>
          </w:p>
        </w:tc>
        <w:tc>
          <w:tcPr>
            <w:tcW w:w="2126" w:type="dxa"/>
            <w:vAlign w:val="center"/>
          </w:tcPr>
          <w:p>
            <w:pPr>
              <w:pStyle w:val="15"/>
            </w:pPr>
            <w:r>
              <w:t>68.21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4"/>
            </w:pPr>
            <w:r>
              <w:t>收入总计</w:t>
            </w:r>
          </w:p>
        </w:tc>
        <w:tc>
          <w:tcPr>
            <w:tcW w:w="2126" w:type="dxa"/>
            <w:vAlign w:val="center"/>
          </w:tcPr>
          <w:p>
            <w:pPr>
              <w:pStyle w:val="15"/>
            </w:pPr>
            <w:r>
              <w:t>68.21</w:t>
            </w:r>
          </w:p>
        </w:tc>
        <w:tc>
          <w:tcPr>
            <w:tcW w:w="4535" w:type="dxa"/>
            <w:vAlign w:val="center"/>
          </w:tcPr>
          <w:p>
            <w:pPr>
              <w:pStyle w:val="14"/>
            </w:pPr>
            <w:r>
              <w:t>支出总计</w:t>
            </w:r>
          </w:p>
        </w:tc>
        <w:tc>
          <w:tcPr>
            <w:tcW w:w="2126" w:type="dxa"/>
            <w:vAlign w:val="center"/>
          </w:tcPr>
          <w:p>
            <w:pPr>
              <w:pStyle w:val="15"/>
            </w:pPr>
            <w:r>
              <w:t>68.21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713001无极县妇女联合会本级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68.21</w:t>
            </w:r>
          </w:p>
        </w:tc>
        <w:tc>
          <w:tcPr>
            <w:tcW w:w="1134" w:type="dxa"/>
            <w:vAlign w:val="center"/>
          </w:tcPr>
          <w:p>
            <w:pPr>
              <w:pStyle w:val="15"/>
            </w:pPr>
            <w:r>
              <w:t>68.21</w:t>
            </w:r>
          </w:p>
        </w:tc>
        <w:tc>
          <w:tcPr>
            <w:tcW w:w="1134" w:type="dxa"/>
            <w:vAlign w:val="center"/>
          </w:tcPr>
          <w:p>
            <w:pPr>
              <w:pStyle w:val="15"/>
            </w:pPr>
            <w:r>
              <w:t>68.21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3"/>
            </w:pPr>
            <w:r>
              <w:t>53.72</w:t>
            </w:r>
          </w:p>
        </w:tc>
        <w:tc>
          <w:tcPr>
            <w:tcW w:w="1134" w:type="dxa"/>
            <w:vAlign w:val="center"/>
          </w:tcPr>
          <w:p>
            <w:pPr>
              <w:pStyle w:val="13"/>
            </w:pPr>
            <w:r>
              <w:t>53.72</w:t>
            </w:r>
          </w:p>
        </w:tc>
        <w:tc>
          <w:tcPr>
            <w:tcW w:w="1134" w:type="dxa"/>
            <w:vAlign w:val="center"/>
          </w:tcPr>
          <w:p>
            <w:pPr>
              <w:pStyle w:val="13"/>
            </w:pPr>
            <w:r>
              <w:t>53.72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3"/>
            </w:pPr>
            <w:r>
              <w:t>1.22</w:t>
            </w:r>
          </w:p>
        </w:tc>
        <w:tc>
          <w:tcPr>
            <w:tcW w:w="1134" w:type="dxa"/>
            <w:vAlign w:val="center"/>
          </w:tcPr>
          <w:p>
            <w:pPr>
              <w:pStyle w:val="13"/>
            </w:pPr>
            <w:r>
              <w:t>1.22</w:t>
            </w:r>
          </w:p>
        </w:tc>
        <w:tc>
          <w:tcPr>
            <w:tcW w:w="1134" w:type="dxa"/>
            <w:vAlign w:val="center"/>
          </w:tcPr>
          <w:p>
            <w:pPr>
              <w:pStyle w:val="13"/>
            </w:pPr>
            <w:r>
              <w:t>1.22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713001无极县妇女联合会本级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68.21</w:t>
            </w:r>
          </w:p>
        </w:tc>
        <w:tc>
          <w:tcPr>
            <w:tcW w:w="1361" w:type="dxa"/>
            <w:vAlign w:val="center"/>
          </w:tcPr>
          <w:p>
            <w:pPr>
              <w:pStyle w:val="15"/>
            </w:pPr>
            <w:r>
              <w:t>65.21</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56.72</w:t>
            </w:r>
          </w:p>
        </w:tc>
        <w:tc>
          <w:tcPr>
            <w:tcW w:w="1361" w:type="dxa"/>
            <w:vAlign w:val="center"/>
          </w:tcPr>
          <w:p>
            <w:pPr>
              <w:pStyle w:val="13"/>
            </w:pPr>
            <w:r>
              <w:t>53.72</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3"/>
            </w:pPr>
            <w:r>
              <w:t>56.72</w:t>
            </w:r>
          </w:p>
        </w:tc>
        <w:tc>
          <w:tcPr>
            <w:tcW w:w="1361" w:type="dxa"/>
            <w:vAlign w:val="center"/>
          </w:tcPr>
          <w:p>
            <w:pPr>
              <w:pStyle w:val="13"/>
            </w:pPr>
            <w:r>
              <w:t>53.72</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3"/>
            </w:pPr>
            <w:r>
              <w:t>53.72</w:t>
            </w:r>
          </w:p>
        </w:tc>
        <w:tc>
          <w:tcPr>
            <w:tcW w:w="1361" w:type="dxa"/>
            <w:vAlign w:val="center"/>
          </w:tcPr>
          <w:p>
            <w:pPr>
              <w:pStyle w:val="13"/>
            </w:pPr>
            <w:r>
              <w:t>53.72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8.51</w:t>
            </w:r>
          </w:p>
        </w:tc>
        <w:tc>
          <w:tcPr>
            <w:tcW w:w="1361" w:type="dxa"/>
            <w:vAlign w:val="center"/>
          </w:tcPr>
          <w:p>
            <w:pPr>
              <w:pStyle w:val="13"/>
            </w:pPr>
            <w:r>
              <w:t>8.51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8.51</w:t>
            </w:r>
          </w:p>
        </w:tc>
        <w:tc>
          <w:tcPr>
            <w:tcW w:w="1361" w:type="dxa"/>
            <w:vAlign w:val="center"/>
          </w:tcPr>
          <w:p>
            <w:pPr>
              <w:pStyle w:val="13"/>
            </w:pPr>
            <w:r>
              <w:t>8.51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7.29</w:t>
            </w:r>
          </w:p>
        </w:tc>
        <w:tc>
          <w:tcPr>
            <w:tcW w:w="1361" w:type="dxa"/>
            <w:vAlign w:val="center"/>
          </w:tcPr>
          <w:p>
            <w:pPr>
              <w:pStyle w:val="13"/>
            </w:pPr>
            <w:r>
              <w:t>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3"/>
            </w:pPr>
            <w:r>
              <w:t>1.22</w:t>
            </w:r>
          </w:p>
        </w:tc>
        <w:tc>
          <w:tcPr>
            <w:tcW w:w="1361" w:type="dxa"/>
            <w:vAlign w:val="center"/>
          </w:tcPr>
          <w:p>
            <w:pPr>
              <w:pStyle w:val="13"/>
            </w:pPr>
            <w:r>
              <w:t>1.22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2.98</w:t>
            </w:r>
          </w:p>
        </w:tc>
        <w:tc>
          <w:tcPr>
            <w:tcW w:w="1361" w:type="dxa"/>
            <w:vAlign w:val="center"/>
          </w:tcPr>
          <w:p>
            <w:pPr>
              <w:pStyle w:val="13"/>
            </w:pPr>
            <w:r>
              <w:t>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2.98</w:t>
            </w:r>
          </w:p>
        </w:tc>
        <w:tc>
          <w:tcPr>
            <w:tcW w:w="1361" w:type="dxa"/>
            <w:vAlign w:val="center"/>
          </w:tcPr>
          <w:p>
            <w:pPr>
              <w:pStyle w:val="13"/>
            </w:pPr>
            <w:r>
              <w:t>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3"/>
            </w:pPr>
            <w:r>
              <w:t>2.98</w:t>
            </w:r>
          </w:p>
        </w:tc>
        <w:tc>
          <w:tcPr>
            <w:tcW w:w="1361" w:type="dxa"/>
            <w:vAlign w:val="center"/>
          </w:tcPr>
          <w:p>
            <w:pPr>
              <w:pStyle w:val="13"/>
            </w:pPr>
            <w:r>
              <w:t>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713001无极县妇女联合会本级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68.21</w:t>
            </w:r>
          </w:p>
        </w:tc>
        <w:tc>
          <w:tcPr>
            <w:tcW w:w="3402" w:type="dxa"/>
            <w:vAlign w:val="center"/>
          </w:tcPr>
          <w:p>
            <w:pPr>
              <w:pStyle w:val="12"/>
            </w:pPr>
            <w:r>
              <w:t>一、一般公共服务支出</w:t>
            </w:r>
          </w:p>
        </w:tc>
        <w:tc>
          <w:tcPr>
            <w:tcW w:w="1474" w:type="dxa"/>
            <w:vAlign w:val="center"/>
          </w:tcPr>
          <w:p>
            <w:pPr>
              <w:pStyle w:val="13"/>
            </w:pPr>
            <w:r>
              <w:t>56.72</w:t>
            </w:r>
          </w:p>
        </w:tc>
        <w:tc>
          <w:tcPr>
            <w:tcW w:w="1474" w:type="dxa"/>
            <w:vAlign w:val="center"/>
          </w:tcPr>
          <w:p>
            <w:pPr>
              <w:pStyle w:val="13"/>
            </w:pPr>
            <w:r>
              <w:t>56.72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8.51</w:t>
            </w:r>
          </w:p>
        </w:tc>
        <w:tc>
          <w:tcPr>
            <w:tcW w:w="1474" w:type="dxa"/>
            <w:vAlign w:val="center"/>
          </w:tcPr>
          <w:p>
            <w:pPr>
              <w:pStyle w:val="13"/>
            </w:pPr>
            <w:r>
              <w:t>8.51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2.98</w:t>
            </w:r>
          </w:p>
        </w:tc>
        <w:tc>
          <w:tcPr>
            <w:tcW w:w="1474" w:type="dxa"/>
            <w:vAlign w:val="center"/>
          </w:tcPr>
          <w:p>
            <w:pPr>
              <w:pStyle w:val="13"/>
            </w:pPr>
            <w:r>
              <w:t>2.98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68.21</w:t>
            </w:r>
          </w:p>
        </w:tc>
        <w:tc>
          <w:tcPr>
            <w:tcW w:w="3402" w:type="dxa"/>
            <w:vAlign w:val="center"/>
          </w:tcPr>
          <w:p>
            <w:pPr>
              <w:pStyle w:val="14"/>
            </w:pPr>
            <w:r>
              <w:t>本年支出合计</w:t>
            </w:r>
          </w:p>
        </w:tc>
        <w:tc>
          <w:tcPr>
            <w:tcW w:w="1474" w:type="dxa"/>
            <w:vAlign w:val="center"/>
          </w:tcPr>
          <w:p>
            <w:pPr>
              <w:pStyle w:val="15"/>
            </w:pPr>
            <w:r>
              <w:t>68.21</w:t>
            </w:r>
          </w:p>
        </w:tc>
        <w:tc>
          <w:tcPr>
            <w:tcW w:w="1474" w:type="dxa"/>
            <w:vAlign w:val="center"/>
          </w:tcPr>
          <w:p>
            <w:pPr>
              <w:pStyle w:val="15"/>
            </w:pPr>
            <w:r>
              <w:t>68.21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68.21</w:t>
            </w:r>
          </w:p>
        </w:tc>
        <w:tc>
          <w:tcPr>
            <w:tcW w:w="3402" w:type="dxa"/>
            <w:vAlign w:val="center"/>
          </w:tcPr>
          <w:p>
            <w:pPr>
              <w:pStyle w:val="14"/>
            </w:pPr>
            <w:r>
              <w:t>支出总计</w:t>
            </w:r>
          </w:p>
        </w:tc>
        <w:tc>
          <w:tcPr>
            <w:tcW w:w="1474" w:type="dxa"/>
            <w:vAlign w:val="center"/>
          </w:tcPr>
          <w:p>
            <w:pPr>
              <w:pStyle w:val="15"/>
            </w:pPr>
            <w:r>
              <w:t>68.21</w:t>
            </w:r>
          </w:p>
        </w:tc>
        <w:tc>
          <w:tcPr>
            <w:tcW w:w="1474" w:type="dxa"/>
            <w:vAlign w:val="center"/>
          </w:tcPr>
          <w:p>
            <w:pPr>
              <w:pStyle w:val="15"/>
            </w:pPr>
            <w:r>
              <w:t>68.21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68.21</w:t>
            </w:r>
          </w:p>
        </w:tc>
        <w:tc>
          <w:tcPr>
            <w:tcW w:w="2551" w:type="dxa"/>
            <w:vAlign w:val="center"/>
          </w:tcPr>
          <w:p>
            <w:pPr>
              <w:pStyle w:val="15"/>
            </w:pPr>
            <w:r>
              <w:t>65.21</w:t>
            </w: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56.72</w:t>
            </w:r>
          </w:p>
        </w:tc>
        <w:tc>
          <w:tcPr>
            <w:tcW w:w="2551" w:type="dxa"/>
            <w:vAlign w:val="center"/>
          </w:tcPr>
          <w:p>
            <w:pPr>
              <w:pStyle w:val="13"/>
            </w:pPr>
            <w:r>
              <w:t>53.72</w:t>
            </w: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3"/>
            </w:pPr>
            <w:r>
              <w:t>56.72</w:t>
            </w:r>
          </w:p>
        </w:tc>
        <w:tc>
          <w:tcPr>
            <w:tcW w:w="2551" w:type="dxa"/>
            <w:vAlign w:val="center"/>
          </w:tcPr>
          <w:p>
            <w:pPr>
              <w:pStyle w:val="13"/>
            </w:pPr>
            <w:r>
              <w:t>53.72</w:t>
            </w: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3"/>
            </w:pPr>
            <w:r>
              <w:t>53.72</w:t>
            </w:r>
          </w:p>
        </w:tc>
        <w:tc>
          <w:tcPr>
            <w:tcW w:w="2551" w:type="dxa"/>
            <w:vAlign w:val="center"/>
          </w:tcPr>
          <w:p>
            <w:pPr>
              <w:pStyle w:val="13"/>
            </w:pPr>
            <w:r>
              <w:t>53.72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8.51</w:t>
            </w:r>
          </w:p>
        </w:tc>
        <w:tc>
          <w:tcPr>
            <w:tcW w:w="2551" w:type="dxa"/>
            <w:vAlign w:val="center"/>
          </w:tcPr>
          <w:p>
            <w:pPr>
              <w:pStyle w:val="13"/>
            </w:pPr>
            <w:r>
              <w:t>8.51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8.51</w:t>
            </w:r>
          </w:p>
        </w:tc>
        <w:tc>
          <w:tcPr>
            <w:tcW w:w="2551" w:type="dxa"/>
            <w:vAlign w:val="center"/>
          </w:tcPr>
          <w:p>
            <w:pPr>
              <w:pStyle w:val="13"/>
            </w:pPr>
            <w:r>
              <w:t>8.51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7.29</w:t>
            </w:r>
          </w:p>
        </w:tc>
        <w:tc>
          <w:tcPr>
            <w:tcW w:w="2551" w:type="dxa"/>
            <w:vAlign w:val="center"/>
          </w:tcPr>
          <w:p>
            <w:pPr>
              <w:pStyle w:val="13"/>
            </w:pPr>
            <w:r>
              <w:t>7.29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3"/>
            </w:pPr>
            <w:r>
              <w:t>1.22</w:t>
            </w:r>
          </w:p>
        </w:tc>
        <w:tc>
          <w:tcPr>
            <w:tcW w:w="2551" w:type="dxa"/>
            <w:vAlign w:val="center"/>
          </w:tcPr>
          <w:p>
            <w:pPr>
              <w:pStyle w:val="13"/>
            </w:pPr>
            <w:r>
              <w:t>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65.21</w:t>
            </w:r>
          </w:p>
        </w:tc>
        <w:tc>
          <w:tcPr>
            <w:tcW w:w="2551" w:type="dxa"/>
            <w:vAlign w:val="center"/>
          </w:tcPr>
          <w:p>
            <w:pPr>
              <w:pStyle w:val="15"/>
            </w:pPr>
            <w:r>
              <w:t>57.54</w:t>
            </w:r>
          </w:p>
        </w:tc>
        <w:tc>
          <w:tcPr>
            <w:tcW w:w="2551" w:type="dxa"/>
            <w:vAlign w:val="center"/>
          </w:tcPr>
          <w:p>
            <w:pPr>
              <w:pStyle w:val="15"/>
            </w:pPr>
            <w:r>
              <w:t>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49.71</w:t>
            </w:r>
          </w:p>
        </w:tc>
        <w:tc>
          <w:tcPr>
            <w:tcW w:w="2551" w:type="dxa"/>
            <w:vAlign w:val="center"/>
          </w:tcPr>
          <w:p>
            <w:pPr>
              <w:pStyle w:val="13"/>
            </w:pPr>
            <w:r>
              <w:t>49.71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19.76</w:t>
            </w:r>
          </w:p>
        </w:tc>
        <w:tc>
          <w:tcPr>
            <w:tcW w:w="2551" w:type="dxa"/>
            <w:vAlign w:val="center"/>
          </w:tcPr>
          <w:p>
            <w:pPr>
              <w:pStyle w:val="13"/>
            </w:pPr>
            <w:r>
              <w:t>19.76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9.44</w:t>
            </w:r>
          </w:p>
        </w:tc>
        <w:tc>
          <w:tcPr>
            <w:tcW w:w="2551" w:type="dxa"/>
            <w:vAlign w:val="center"/>
          </w:tcPr>
          <w:p>
            <w:pPr>
              <w:pStyle w:val="13"/>
            </w:pPr>
            <w:r>
              <w:t>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8.89</w:t>
            </w:r>
          </w:p>
        </w:tc>
        <w:tc>
          <w:tcPr>
            <w:tcW w:w="2551" w:type="dxa"/>
            <w:vAlign w:val="center"/>
          </w:tcPr>
          <w:p>
            <w:pPr>
              <w:pStyle w:val="13"/>
            </w:pPr>
            <w:r>
              <w:t>8.89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7.29</w:t>
            </w:r>
          </w:p>
        </w:tc>
        <w:tc>
          <w:tcPr>
            <w:tcW w:w="2551" w:type="dxa"/>
            <w:vAlign w:val="center"/>
          </w:tcPr>
          <w:p>
            <w:pPr>
              <w:pStyle w:val="13"/>
            </w:pPr>
            <w:r>
              <w:t>7.29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3"/>
            </w:pPr>
            <w:r>
              <w:t>1.22</w:t>
            </w:r>
          </w:p>
        </w:tc>
        <w:tc>
          <w:tcPr>
            <w:tcW w:w="2551" w:type="dxa"/>
            <w:vAlign w:val="center"/>
          </w:tcPr>
          <w:p>
            <w:pPr>
              <w:pStyle w:val="13"/>
            </w:pPr>
            <w:r>
              <w:t>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0.13</w:t>
            </w:r>
          </w:p>
        </w:tc>
        <w:tc>
          <w:tcPr>
            <w:tcW w:w="2551" w:type="dxa"/>
            <w:vAlign w:val="center"/>
          </w:tcPr>
          <w:p>
            <w:pPr>
              <w:pStyle w:val="13"/>
            </w:pPr>
            <w:r>
              <w:t>0.13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7.67</w:t>
            </w:r>
          </w:p>
        </w:tc>
        <w:tc>
          <w:tcPr>
            <w:tcW w:w="2551" w:type="dxa"/>
            <w:vAlign w:val="center"/>
          </w:tcPr>
          <w:p>
            <w:pPr>
              <w:pStyle w:val="13"/>
            </w:pPr>
          </w:p>
        </w:tc>
        <w:tc>
          <w:tcPr>
            <w:tcW w:w="2551" w:type="dxa"/>
            <w:vAlign w:val="center"/>
          </w:tcPr>
          <w:p>
            <w:pPr>
              <w:pStyle w:val="13"/>
            </w:pPr>
            <w:r>
              <w:t>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2.24</w:t>
            </w:r>
          </w:p>
        </w:tc>
        <w:tc>
          <w:tcPr>
            <w:tcW w:w="2551" w:type="dxa"/>
            <w:vAlign w:val="center"/>
          </w:tcPr>
          <w:p>
            <w:pPr>
              <w:pStyle w:val="13"/>
            </w:pPr>
          </w:p>
        </w:tc>
        <w:tc>
          <w:tcPr>
            <w:tcW w:w="2551" w:type="dxa"/>
            <w:vAlign w:val="center"/>
          </w:tcPr>
          <w:p>
            <w:pPr>
              <w:pStyle w:val="13"/>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3.43</w:t>
            </w:r>
          </w:p>
        </w:tc>
        <w:tc>
          <w:tcPr>
            <w:tcW w:w="2551" w:type="dxa"/>
            <w:vAlign w:val="center"/>
          </w:tcPr>
          <w:p>
            <w:pPr>
              <w:pStyle w:val="13"/>
            </w:pPr>
          </w:p>
        </w:tc>
        <w:tc>
          <w:tcPr>
            <w:tcW w:w="2551" w:type="dxa"/>
            <w:vAlign w:val="center"/>
          </w:tcPr>
          <w:p>
            <w:pPr>
              <w:pStyle w:val="13"/>
            </w:pPr>
            <w: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7.83</w:t>
            </w:r>
          </w:p>
        </w:tc>
        <w:tc>
          <w:tcPr>
            <w:tcW w:w="2551" w:type="dxa"/>
            <w:vAlign w:val="center"/>
          </w:tcPr>
          <w:p>
            <w:pPr>
              <w:pStyle w:val="13"/>
            </w:pPr>
            <w:r>
              <w:t>7.83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7.83</w:t>
            </w:r>
          </w:p>
        </w:tc>
        <w:tc>
          <w:tcPr>
            <w:tcW w:w="2551" w:type="dxa"/>
            <w:vAlign w:val="center"/>
          </w:tcPr>
          <w:p>
            <w:pPr>
              <w:pStyle w:val="13"/>
            </w:pPr>
            <w:r>
              <w:t>7.83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713001无极县妇女联合会本级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无极县妇女联合会本级2023年单位预算信息公开情况说明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、《地方预决算公开操作规程》和《关于进一步推进预算公开工作的实施意见》规定，现将无极县妇女联合会本级2023年单位预算公开如下：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在上级部门的正确领导下，紧紧围绕县委县政府中心工作，制定了各项职能绩效目标，在推动科学发展、后发赶超、同步小康和妇女儿童事业发展中发挥重要作用。县妇联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在妇女儿童事务管理达标中设置出“优、良、中、差”四个档次，力争达优。</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无极县妇女联合会本级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w:t>
      </w:r>
      <w:r>
        <w:rPr>
          <w:rFonts w:hint="eastAsia"/>
          <w:lang w:eastAsia="zh-CN"/>
        </w:rPr>
        <w:t>县单位</w:t>
      </w:r>
      <w:r>
        <w:t>预算的编制实行综合预算管理，即全部收入和支出都反映在</w:t>
      </w:r>
      <w:r>
        <w:rPr>
          <w:rFonts w:hint="eastAsia"/>
          <w:lang w:val="en-US" w:eastAsia="zh-CN"/>
        </w:rPr>
        <w:t>单位</w:t>
      </w:r>
      <w:r>
        <w:t>预算中。妇联</w:t>
      </w:r>
      <w:r>
        <w:rPr>
          <w:rFonts w:hint="eastAsia"/>
          <w:lang w:val="en-US" w:eastAsia="zh-CN"/>
        </w:rPr>
        <w:t>本级</w:t>
      </w:r>
      <w:r>
        <w:t>的收支包含在</w:t>
      </w:r>
      <w:r>
        <w:rPr>
          <w:rFonts w:hint="eastAsia"/>
          <w:lang w:eastAsia="zh-CN"/>
        </w:rPr>
        <w:t>单位</w:t>
      </w:r>
      <w:r>
        <w:t>预算中。</w:t>
      </w:r>
    </w:p>
    <w:p>
      <w:pPr>
        <w:pStyle w:val="18"/>
      </w:pPr>
      <w:r>
        <w:t>1、收入说明</w:t>
      </w:r>
    </w:p>
    <w:p>
      <w:pPr>
        <w:pStyle w:val="18"/>
      </w:pPr>
      <w:r>
        <w:t>2023年</w:t>
      </w:r>
      <w:r>
        <w:rPr>
          <w:rFonts w:hint="eastAsia"/>
          <w:lang w:eastAsia="zh-CN"/>
        </w:rPr>
        <w:t>单位</w:t>
      </w:r>
      <w:r>
        <w:t>预算收入68.21万元，其中：一般公共预算收入68.21万元，基金预算收入0万元，财政专户核拨收入0万元，其他来源收入0万元。</w:t>
      </w:r>
    </w:p>
    <w:p>
      <w:pPr>
        <w:pStyle w:val="18"/>
      </w:pPr>
      <w:r>
        <w:t>2、支出说明</w:t>
      </w:r>
    </w:p>
    <w:p>
      <w:pPr>
        <w:pStyle w:val="18"/>
      </w:pPr>
      <w:r>
        <w:t>2023年</w:t>
      </w:r>
      <w:r>
        <w:rPr>
          <w:rFonts w:hint="eastAsia"/>
          <w:lang w:eastAsia="zh-CN"/>
        </w:rPr>
        <w:t>单位</w:t>
      </w:r>
      <w:r>
        <w:t>支出预算为68.21万元，其中基本支出65.21万元，包括人员经费57.54万元和日常公用经费7.67万元；项目支出3万元，主要为妇女儿童1元保障金3万元。</w:t>
      </w:r>
    </w:p>
    <w:p>
      <w:pPr>
        <w:pStyle w:val="18"/>
      </w:pPr>
      <w:r>
        <w:t>3、比上年增减情况</w:t>
      </w:r>
    </w:p>
    <w:p>
      <w:pPr>
        <w:pStyle w:val="19"/>
        <w:rPr>
          <w:rFonts w:hint="eastAsia"/>
          <w:lang w:eastAsia="zh-CN"/>
        </w:rPr>
      </w:pPr>
      <w:r>
        <w:t>2023年</w:t>
      </w:r>
      <w:r>
        <w:rPr>
          <w:rFonts w:hint="eastAsia"/>
          <w:lang w:eastAsia="zh-CN"/>
        </w:rPr>
        <w:t>单位</w:t>
      </w:r>
      <w:r>
        <w:t>预算收支安排68.21万元，较2022年</w:t>
      </w:r>
      <w:r>
        <w:rPr>
          <w:rFonts w:hint="eastAsia"/>
          <w:lang w:eastAsia="zh-CN"/>
        </w:rPr>
        <w:t>减少4.86</w:t>
      </w:r>
      <w:r>
        <w:t>万元，其中：基本支出增加</w:t>
      </w:r>
      <w:r>
        <w:rPr>
          <w:rFonts w:hint="eastAsia"/>
          <w:lang w:eastAsia="zh-CN"/>
        </w:rPr>
        <w:t>3.64</w:t>
      </w:r>
      <w:r>
        <w:t>万元</w:t>
      </w:r>
      <w:r>
        <w:rPr>
          <w:rFonts w:hint="eastAsia"/>
          <w:lang w:eastAsia="zh-CN"/>
        </w:rPr>
        <w:t>，</w:t>
      </w:r>
      <w:r>
        <w:t>项目支出</w:t>
      </w:r>
      <w:r>
        <w:rPr>
          <w:rFonts w:hint="eastAsia"/>
          <w:lang w:eastAsia="zh-CN"/>
        </w:rPr>
        <w:t>减少8.5万元</w:t>
      </w:r>
      <w:r>
        <w:t>。</w:t>
      </w:r>
    </w:p>
    <w:p>
      <w:pPr>
        <w:spacing w:before="10" w:after="10"/>
        <w:ind w:firstLine="640"/>
        <w:outlineLvl w:val="5"/>
      </w:pPr>
      <w:r>
        <w:rPr>
          <w:rFonts w:ascii="黑体" w:hAnsi="黑体" w:eastAsia="黑体" w:cs="黑体"/>
          <w:color w:val="000000"/>
          <w:sz w:val="32"/>
        </w:rPr>
        <w:t>三、机关运行经费安排情况</w:t>
      </w:r>
    </w:p>
    <w:p>
      <w:pPr>
        <w:pStyle w:val="20"/>
      </w:pPr>
      <w:r>
        <w:rPr>
          <w:rFonts w:hint="eastAsia"/>
          <w:lang w:eastAsia="zh-CN"/>
        </w:rPr>
        <w:t>20</w:t>
      </w:r>
      <w:r>
        <w:t>23年，我</w:t>
      </w:r>
      <w:r>
        <w:rPr>
          <w:rFonts w:hint="eastAsia"/>
          <w:lang w:eastAsia="zh-CN"/>
        </w:rPr>
        <w:t>单位</w:t>
      </w:r>
      <w:r>
        <w:t>机关运行经费共计安排7.67万元，主要用于保证机关正常运转的办公及印刷费、邮电费、差旅费、会议费、福利费、专用材料及一般设备购置费、办公用房水电费、办公用房取暖费、日常维修费等支出。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rPr>
          <w:rFonts w:hint="eastAsia" w:eastAsia="方正仿宋_GBK"/>
          <w:lang w:eastAsia="zh-CN"/>
        </w:rPr>
      </w:pPr>
      <w:r>
        <w:rPr>
          <w:rFonts w:eastAsia="方正仿宋_GBK" w:cs="Times New Roman"/>
          <w:sz w:val="28"/>
        </w:rPr>
        <w:t>2023年，我</w:t>
      </w:r>
      <w:r>
        <w:rPr>
          <w:rFonts w:hint="eastAsia" w:eastAsia="方正仿宋_GBK" w:cs="Times New Roman"/>
          <w:sz w:val="28"/>
          <w:lang w:eastAsia="zh-CN"/>
        </w:rPr>
        <w:t>单位</w:t>
      </w:r>
      <w:r>
        <w:rPr>
          <w:rFonts w:eastAsia="方正仿宋_GBK" w:cs="Times New Roman"/>
          <w:sz w:val="28"/>
        </w:rPr>
        <w:t>财政拨款“三公”经费预算安排0万元，其中：因公出国（境）费0万元；公务用车购置及运维费0万元（其中：公务用车购置费0万元，公务用车运行维护费0万元)。其中公务接待费0万元。</w:t>
      </w:r>
      <w:r>
        <w:rPr>
          <w:rFonts w:hint="eastAsia"/>
          <w:lang w:val="en-US" w:eastAsia="zh-CN"/>
        </w:rPr>
        <w:t>本单位因今年没有安排因公出国</w:t>
      </w:r>
      <w:r>
        <w:t>（境）</w:t>
      </w:r>
      <w:r>
        <w:rPr>
          <w:rFonts w:hint="eastAsia"/>
          <w:lang w:eastAsia="zh-CN"/>
        </w:rPr>
        <w:t>，</w:t>
      </w:r>
      <w:r>
        <w:rPr>
          <w:rFonts w:hint="eastAsia"/>
          <w:lang w:val="en-US" w:eastAsia="zh-CN"/>
        </w:rPr>
        <w:t>本单位没有公车，今年也没有产生接待费，所以</w:t>
      </w:r>
      <w:r>
        <w:t>与202</w:t>
      </w:r>
      <w:r>
        <w:rPr>
          <w:rFonts w:hint="eastAsia"/>
          <w:lang w:val="en-US" w:eastAsia="zh-CN"/>
        </w:rPr>
        <w:t>2</w:t>
      </w:r>
      <w:r>
        <w:t xml:space="preserve">年相比持平无增减变化 </w:t>
      </w:r>
      <w:r>
        <w:rPr>
          <w:rFonts w:hint="eastAsia"/>
          <w:lang w:eastAsia="zh-CN"/>
        </w:rPr>
        <w:t>。</w:t>
      </w:r>
    </w:p>
    <w:p>
      <w:pPr>
        <w:spacing w:before="10" w:after="10" w:line="360" w:lineRule="auto"/>
        <w:ind w:firstLine="560" w:firstLineChars="200"/>
        <w:outlineLvl w:val="2"/>
        <w:rPr>
          <w:rFonts w:eastAsia="方正仿宋_GBK" w:cs="Times New Roman"/>
          <w:sz w:val="28"/>
          <w:lang w:eastAsia="zh-CN"/>
        </w:rPr>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1、2023年妇女儿童1元保障金绩效目标表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1.为妇女儿童提供服务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评估报告数量</w:t>
            </w:r>
          </w:p>
        </w:tc>
        <w:tc>
          <w:tcPr>
            <w:tcW w:w="2835" w:type="dxa"/>
            <w:vAlign w:val="center"/>
          </w:tcPr>
          <w:p>
            <w:pPr>
              <w:pStyle w:val="12"/>
            </w:pPr>
            <w:r>
              <w:t>评估报告数量</w:t>
            </w:r>
          </w:p>
        </w:tc>
        <w:tc>
          <w:tcPr>
            <w:tcW w:w="2551" w:type="dxa"/>
            <w:vAlign w:val="center"/>
          </w:tcPr>
          <w:p>
            <w:pPr>
              <w:pStyle w:val="12"/>
            </w:pPr>
            <w:r>
              <w:t>≥95大于等于</w:t>
            </w:r>
          </w:p>
        </w:tc>
        <w:tc>
          <w:tcPr>
            <w:tcW w:w="2268"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政策解读文章数量</w:t>
            </w:r>
          </w:p>
        </w:tc>
        <w:tc>
          <w:tcPr>
            <w:tcW w:w="2835" w:type="dxa"/>
            <w:vAlign w:val="center"/>
          </w:tcPr>
          <w:p>
            <w:pPr>
              <w:pStyle w:val="12"/>
            </w:pPr>
            <w:r>
              <w:t>政策解读文章数量</w:t>
            </w:r>
          </w:p>
        </w:tc>
        <w:tc>
          <w:tcPr>
            <w:tcW w:w="2551" w:type="dxa"/>
            <w:vAlign w:val="center"/>
          </w:tcPr>
          <w:p>
            <w:pPr>
              <w:pStyle w:val="12"/>
            </w:pPr>
            <w:r>
              <w:t>≥95大于等于</w:t>
            </w:r>
          </w:p>
        </w:tc>
        <w:tc>
          <w:tcPr>
            <w:tcW w:w="2268"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服务完成度</w:t>
            </w:r>
          </w:p>
        </w:tc>
        <w:tc>
          <w:tcPr>
            <w:tcW w:w="2835" w:type="dxa"/>
            <w:vAlign w:val="center"/>
          </w:tcPr>
          <w:p>
            <w:pPr>
              <w:pStyle w:val="12"/>
            </w:pPr>
            <w:r>
              <w:t>服务完成度</w:t>
            </w:r>
          </w:p>
        </w:tc>
        <w:tc>
          <w:tcPr>
            <w:tcW w:w="2551" w:type="dxa"/>
            <w:vAlign w:val="center"/>
          </w:tcPr>
          <w:p>
            <w:pPr>
              <w:pStyle w:val="12"/>
            </w:pPr>
            <w:r>
              <w:t>≥95大于等于</w:t>
            </w:r>
          </w:p>
        </w:tc>
        <w:tc>
          <w:tcPr>
            <w:tcW w:w="2268"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社会保险补贴人均标准</w:t>
            </w:r>
          </w:p>
        </w:tc>
        <w:tc>
          <w:tcPr>
            <w:tcW w:w="2835" w:type="dxa"/>
            <w:vAlign w:val="center"/>
          </w:tcPr>
          <w:p>
            <w:pPr>
              <w:pStyle w:val="12"/>
            </w:pPr>
            <w:r>
              <w:t>社会保险补贴人均标准</w:t>
            </w:r>
          </w:p>
        </w:tc>
        <w:tc>
          <w:tcPr>
            <w:tcW w:w="2551" w:type="dxa"/>
            <w:vAlign w:val="center"/>
          </w:tcPr>
          <w:p>
            <w:pPr>
              <w:pStyle w:val="12"/>
            </w:pPr>
            <w:r>
              <w:t>≥95大于等于</w:t>
            </w:r>
          </w:p>
        </w:tc>
        <w:tc>
          <w:tcPr>
            <w:tcW w:w="2268"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≥95大于等于</w:t>
            </w:r>
          </w:p>
        </w:tc>
        <w:tc>
          <w:tcPr>
            <w:tcW w:w="2268"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不断推进专业技术人才队伍建设</w:t>
            </w:r>
          </w:p>
        </w:tc>
        <w:tc>
          <w:tcPr>
            <w:tcW w:w="2835" w:type="dxa"/>
            <w:vAlign w:val="center"/>
          </w:tcPr>
          <w:p>
            <w:pPr>
              <w:pStyle w:val="12"/>
            </w:pPr>
            <w:r>
              <w:t>不断推进专业技术人才队伍建设</w:t>
            </w:r>
          </w:p>
        </w:tc>
        <w:tc>
          <w:tcPr>
            <w:tcW w:w="2551" w:type="dxa"/>
            <w:vAlign w:val="center"/>
          </w:tcPr>
          <w:p>
            <w:pPr>
              <w:pStyle w:val="12"/>
            </w:pPr>
            <w:r>
              <w:t>≥95大于等于</w:t>
            </w:r>
          </w:p>
        </w:tc>
        <w:tc>
          <w:tcPr>
            <w:tcW w:w="2268"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2835" w:type="dxa"/>
            <w:vAlign w:val="center"/>
          </w:tcPr>
          <w:p>
            <w:pPr>
              <w:pStyle w:val="12"/>
            </w:pPr>
            <w:r>
              <w:t>改善生态环境质量</w:t>
            </w:r>
          </w:p>
        </w:tc>
        <w:tc>
          <w:tcPr>
            <w:tcW w:w="2551" w:type="dxa"/>
            <w:vAlign w:val="center"/>
          </w:tcPr>
          <w:p>
            <w:pPr>
              <w:pStyle w:val="12"/>
            </w:pPr>
            <w:r>
              <w:t>≥95大于等于</w:t>
            </w:r>
          </w:p>
        </w:tc>
        <w:tc>
          <w:tcPr>
            <w:tcW w:w="2268"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传播推广河北文化</w:t>
            </w:r>
          </w:p>
        </w:tc>
        <w:tc>
          <w:tcPr>
            <w:tcW w:w="2835" w:type="dxa"/>
            <w:vAlign w:val="center"/>
          </w:tcPr>
          <w:p>
            <w:pPr>
              <w:pStyle w:val="12"/>
            </w:pPr>
            <w:r>
              <w:t>传播推广河北文化</w:t>
            </w:r>
          </w:p>
        </w:tc>
        <w:tc>
          <w:tcPr>
            <w:tcW w:w="2551" w:type="dxa"/>
            <w:vAlign w:val="center"/>
          </w:tcPr>
          <w:p>
            <w:pPr>
              <w:pStyle w:val="12"/>
            </w:pPr>
            <w:r>
              <w:t>≥95大于等于</w:t>
            </w:r>
          </w:p>
        </w:tc>
        <w:tc>
          <w:tcPr>
            <w:tcW w:w="2268" w:type="dxa"/>
            <w:vAlign w:val="center"/>
          </w:tcPr>
          <w:p>
            <w:pPr>
              <w:pStyle w:val="12"/>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通过问卷调查，满意的受资助对象</w:t>
            </w:r>
          </w:p>
        </w:tc>
        <w:tc>
          <w:tcPr>
            <w:tcW w:w="2835" w:type="dxa"/>
            <w:vAlign w:val="center"/>
          </w:tcPr>
          <w:p>
            <w:pPr>
              <w:pStyle w:val="12"/>
            </w:pPr>
            <w:r>
              <w:t>通过问卷调查，满意的受资助对象占所有调查对象的比例</w:t>
            </w:r>
          </w:p>
        </w:tc>
        <w:tc>
          <w:tcPr>
            <w:tcW w:w="2551" w:type="dxa"/>
            <w:vAlign w:val="center"/>
          </w:tcPr>
          <w:p>
            <w:pPr>
              <w:pStyle w:val="12"/>
            </w:pPr>
            <w:r>
              <w:t>≥95大于等于</w:t>
            </w:r>
          </w:p>
        </w:tc>
        <w:tc>
          <w:tcPr>
            <w:tcW w:w="2268" w:type="dxa"/>
            <w:vAlign w:val="center"/>
          </w:tcPr>
          <w:p>
            <w:pPr>
              <w:pStyle w:val="12"/>
            </w:pPr>
            <w:r>
              <w:t>根据相关文件依据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2023年，无极县妇女联合会本级安排政府采购预算0.00万元。具体内容见下表。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713001无极县妇女联合会本级</w:t>
            </w:r>
          </w:p>
        </w:tc>
        <w:tc>
          <w:tcPr>
            <w:tcW w:w="8674"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无极县妇女联合会本级上年末固定资产金额为8.11万元（详见下表）。本年度拟购置固定资产总额为0.00万元。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713001无极县妇女联合会本级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1"/>
            </w:pPr>
            <w:r>
              <w:t>29</w:t>
            </w:r>
          </w:p>
        </w:tc>
        <w:tc>
          <w:tcPr>
            <w:tcW w:w="2835" w:type="dxa"/>
            <w:vAlign w:val="center"/>
          </w:tcPr>
          <w:p>
            <w:pPr>
              <w:pStyle w:val="13"/>
            </w:pPr>
            <w:r>
              <w:t>8.11</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val="en-US"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EE4FB5"/>
    <w:rsid w:val="01CE40B9"/>
    <w:rsid w:val="060A0DE0"/>
    <w:rsid w:val="08A72A43"/>
    <w:rsid w:val="0D3404F7"/>
    <w:rsid w:val="23BD0F4F"/>
    <w:rsid w:val="31971D51"/>
    <w:rsid w:val="3BD370F0"/>
    <w:rsid w:val="3CEE4FB5"/>
    <w:rsid w:val="40B72B16"/>
    <w:rsid w:val="456C731B"/>
    <w:rsid w:val="5FEE3054"/>
    <w:rsid w:val="691C6A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ind w:firstLine="560"/>
    </w:pPr>
    <w:rPr>
      <w:rFonts w:eastAsia="方正仿宋_GBK" w:cs="Times New Roman"/>
      <w:color w:val="000000"/>
      <w:sz w:val="28"/>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2023-08-01T00:50:00Z</dcterms:created>
  <dc:creator>Administrator</dc:creator>
  <cp:lastModifiedBy>Administrator</cp:lastModifiedBy>
  <dcterms:modified xsi:type="dcterms:W3CDTF">2024-01-04T06:34:46Z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501ED68555B24824992A44CD28E2805B</vt:lpwstr>
  </property>
</Properties>
</file>