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1" w:name="_GoBack"/>
      <w:bookmarkEnd w:id="1"/>
      <w:bookmarkStart w:id="0" w:name="_Toc_4_4_0000000019"/>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outlineLvl w:val="0"/>
        <w:rPr>
          <w:rFonts w:ascii="黑体" w:hAnsi="黑体" w:eastAsia="黑体" w:cs="黑体"/>
          <w:b/>
          <w:color w:val="000000"/>
          <w:sz w:val="44"/>
        </w:rP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一、中国共产主义青年团无极县委员会本级收支预算</w:t>
      </w:r>
      <w:r>
        <w:tab/>
      </w:r>
      <w:r>
        <w:rPr>
          <w:rFonts w:hint="eastAsia"/>
          <w:lang w:val="en-US" w:eastAsia="zh-CN"/>
        </w:rPr>
        <w:t>2</w:t>
      </w:r>
      <w:r>
        <w:fldChar w:fldCharType="end"/>
      </w:r>
    </w:p>
    <w:p>
      <w:pPr>
        <w:jc w:val="center"/>
        <w:outlineLvl w:val="0"/>
        <w:rPr>
          <w:rFonts w:ascii="方正小标宋_GBK" w:hAnsi="方正小标宋_GBK" w:eastAsia="方正小标宋_GBK" w:cs="方正小标宋_GBK"/>
          <w:color w:val="000000"/>
          <w:sz w:val="72"/>
        </w:rPr>
      </w:pPr>
      <w:r>
        <w:fldChar w:fldCharType="end"/>
      </w: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p>
      <w:pPr>
        <w:spacing w:before="0" w:after="0"/>
        <w:ind w:firstLine="0"/>
        <w:jc w:val="center"/>
        <w:outlineLvl w:val="3"/>
      </w:pPr>
    </w:p>
    <w:bookmarkEnd w:id="0"/>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pPr>
              <w:pStyle w:val="7"/>
            </w:pPr>
            <w:r>
              <w:t>712001中国共产主义青年团无极县委员会本级</w:t>
            </w:r>
          </w:p>
        </w:tc>
        <w:tc>
          <w:tcPr>
            <w:tcW w:w="2959" w:type="dxa"/>
            <w:tcBorders>
              <w:top w:val="single" w:color="FFFFFF" w:sz="6" w:space="0"/>
              <w:left w:val="single" w:color="FFFFFF" w:sz="6" w:space="0"/>
              <w:right w:val="single" w:color="FFFFFF" w:sz="6" w:space="0"/>
            </w:tcBorders>
          </w:tcPr>
          <w:p/>
        </w:tc>
        <w:tc>
          <w:tcPr>
            <w:tcW w:w="2959" w:type="dxa"/>
            <w:tcBorders>
              <w:top w:val="single" w:color="FFFFFF" w:sz="6" w:space="0"/>
              <w:left w:val="single" w:color="FFFFFF" w:sz="6" w:space="0"/>
              <w:right w:val="single" w:color="FFFFFF" w:sz="6" w:space="0"/>
            </w:tcBorders>
            <w:vAlign w:val="center"/>
          </w:tcPr>
          <w:p>
            <w:pPr>
              <w:pStyle w:val="8"/>
            </w:pPr>
            <w:r>
              <w:t>预算年度：2023</w:t>
            </w:r>
          </w:p>
        </w:tc>
        <w:tc>
          <w:tcPr>
            <w:tcW w:w="2959" w:type="dxa"/>
            <w:tcBorders>
              <w:top w:val="single" w:color="FFFFFF" w:sz="6" w:space="0"/>
              <w:left w:val="single" w:color="FFFFFF" w:sz="6" w:space="0"/>
              <w:right w:val="single" w:color="FFFFFF" w:sz="6" w:space="0"/>
            </w:tcBorders>
            <w:vAlign w:val="center"/>
          </w:tcPr>
          <w:p>
            <w:pPr>
              <w:pStyle w:val="9"/>
            </w:pPr>
            <w:r>
              <w:t>单位：万元</w:t>
            </w:r>
          </w:p>
        </w:tc>
        <w:tc>
          <w:tcPr>
            <w:tcW w:w="2959"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2959" w:type="dxa"/>
            <w:vAlign w:val="center"/>
          </w:tcPr>
          <w:p>
            <w:pPr>
              <w:pStyle w:val="10"/>
            </w:pPr>
            <w:r>
              <w:t>收入</w:t>
            </w:r>
          </w:p>
        </w:tc>
        <w:tc>
          <w:tcPr>
            <w:tcW w:w="2959" w:type="dxa"/>
          </w:tcPr>
          <w:p/>
        </w:tc>
        <w:tc>
          <w:tcPr>
            <w:tcW w:w="2959" w:type="dxa"/>
            <w:vAlign w:val="center"/>
          </w:tcPr>
          <w:p>
            <w:pPr>
              <w:pStyle w:val="10"/>
            </w:pPr>
            <w:r>
              <w:t>支出</w:t>
            </w:r>
          </w:p>
        </w:tc>
        <w:tc>
          <w:tcPr>
            <w:tcW w:w="2959"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w:t>
            </w:r>
          </w:p>
        </w:tc>
        <w:tc>
          <w:tcPr>
            <w:tcW w:w="2959" w:type="dxa"/>
            <w:vAlign w:val="center"/>
          </w:tcPr>
          <w:p>
            <w:pPr>
              <w:pStyle w:val="12"/>
            </w:pPr>
            <w:r>
              <w:t>一、一般公共预算拨款收入</w:t>
            </w:r>
          </w:p>
        </w:tc>
        <w:tc>
          <w:tcPr>
            <w:tcW w:w="2959" w:type="dxa"/>
            <w:vAlign w:val="center"/>
          </w:tcPr>
          <w:p>
            <w:pPr>
              <w:pStyle w:val="13"/>
            </w:pPr>
            <w:r>
              <w:t>48.53</w:t>
            </w:r>
          </w:p>
        </w:tc>
        <w:tc>
          <w:tcPr>
            <w:tcW w:w="2959" w:type="dxa"/>
            <w:vAlign w:val="center"/>
          </w:tcPr>
          <w:p>
            <w:pPr>
              <w:pStyle w:val="12"/>
            </w:pPr>
            <w:r>
              <w:t>一、一般公共服务支出</w:t>
            </w:r>
          </w:p>
        </w:tc>
        <w:tc>
          <w:tcPr>
            <w:tcW w:w="2959" w:type="dxa"/>
            <w:vAlign w:val="center"/>
          </w:tcPr>
          <w:p>
            <w:pPr>
              <w:pStyle w:val="13"/>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w:t>
            </w:r>
          </w:p>
        </w:tc>
        <w:tc>
          <w:tcPr>
            <w:tcW w:w="2959" w:type="dxa"/>
            <w:vAlign w:val="center"/>
          </w:tcPr>
          <w:p>
            <w:pPr>
              <w:pStyle w:val="12"/>
            </w:pPr>
            <w:r>
              <w:t>二、政府性基金预算拨款收入</w:t>
            </w:r>
          </w:p>
        </w:tc>
        <w:tc>
          <w:tcPr>
            <w:tcW w:w="2959" w:type="dxa"/>
            <w:vAlign w:val="center"/>
          </w:tcPr>
          <w:p>
            <w:pPr>
              <w:pStyle w:val="13"/>
            </w:pPr>
          </w:p>
        </w:tc>
        <w:tc>
          <w:tcPr>
            <w:tcW w:w="2959" w:type="dxa"/>
            <w:vAlign w:val="center"/>
          </w:tcPr>
          <w:p>
            <w:pPr>
              <w:pStyle w:val="12"/>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w:t>
            </w:r>
          </w:p>
        </w:tc>
        <w:tc>
          <w:tcPr>
            <w:tcW w:w="2959" w:type="dxa"/>
            <w:vAlign w:val="center"/>
          </w:tcPr>
          <w:p>
            <w:pPr>
              <w:pStyle w:val="12"/>
            </w:pPr>
            <w:r>
              <w:t>三、国有资本经营预算拨款收入</w:t>
            </w:r>
          </w:p>
        </w:tc>
        <w:tc>
          <w:tcPr>
            <w:tcW w:w="2959" w:type="dxa"/>
            <w:vAlign w:val="center"/>
          </w:tcPr>
          <w:p>
            <w:pPr>
              <w:pStyle w:val="13"/>
            </w:pPr>
          </w:p>
        </w:tc>
        <w:tc>
          <w:tcPr>
            <w:tcW w:w="2959" w:type="dxa"/>
            <w:vAlign w:val="center"/>
          </w:tcPr>
          <w:p>
            <w:pPr>
              <w:pStyle w:val="12"/>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4</w:t>
            </w:r>
          </w:p>
        </w:tc>
        <w:tc>
          <w:tcPr>
            <w:tcW w:w="2959" w:type="dxa"/>
            <w:vAlign w:val="center"/>
          </w:tcPr>
          <w:p>
            <w:pPr>
              <w:pStyle w:val="12"/>
            </w:pPr>
            <w:r>
              <w:t>四、财政专户管理资金收入</w:t>
            </w:r>
          </w:p>
        </w:tc>
        <w:tc>
          <w:tcPr>
            <w:tcW w:w="2959" w:type="dxa"/>
            <w:vAlign w:val="center"/>
          </w:tcPr>
          <w:p>
            <w:pPr>
              <w:pStyle w:val="13"/>
            </w:pPr>
          </w:p>
        </w:tc>
        <w:tc>
          <w:tcPr>
            <w:tcW w:w="2959" w:type="dxa"/>
            <w:vAlign w:val="center"/>
          </w:tcPr>
          <w:p>
            <w:pPr>
              <w:pStyle w:val="12"/>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5</w:t>
            </w:r>
          </w:p>
        </w:tc>
        <w:tc>
          <w:tcPr>
            <w:tcW w:w="2959" w:type="dxa"/>
            <w:vAlign w:val="center"/>
          </w:tcPr>
          <w:p>
            <w:pPr>
              <w:pStyle w:val="12"/>
            </w:pPr>
            <w:r>
              <w:t>五、事业收入</w:t>
            </w:r>
          </w:p>
        </w:tc>
        <w:tc>
          <w:tcPr>
            <w:tcW w:w="2959" w:type="dxa"/>
            <w:vAlign w:val="center"/>
          </w:tcPr>
          <w:p>
            <w:pPr>
              <w:pStyle w:val="13"/>
            </w:pPr>
          </w:p>
        </w:tc>
        <w:tc>
          <w:tcPr>
            <w:tcW w:w="2959" w:type="dxa"/>
            <w:vAlign w:val="center"/>
          </w:tcPr>
          <w:p>
            <w:pPr>
              <w:pStyle w:val="12"/>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6</w:t>
            </w:r>
          </w:p>
        </w:tc>
        <w:tc>
          <w:tcPr>
            <w:tcW w:w="2959" w:type="dxa"/>
            <w:vAlign w:val="center"/>
          </w:tcPr>
          <w:p>
            <w:pPr>
              <w:pStyle w:val="12"/>
            </w:pPr>
            <w:r>
              <w:t>六、事业单位经营收入</w:t>
            </w:r>
          </w:p>
        </w:tc>
        <w:tc>
          <w:tcPr>
            <w:tcW w:w="2959" w:type="dxa"/>
            <w:vAlign w:val="center"/>
          </w:tcPr>
          <w:p>
            <w:pPr>
              <w:pStyle w:val="13"/>
            </w:pPr>
          </w:p>
        </w:tc>
        <w:tc>
          <w:tcPr>
            <w:tcW w:w="2959" w:type="dxa"/>
            <w:vAlign w:val="center"/>
          </w:tcPr>
          <w:p>
            <w:pPr>
              <w:pStyle w:val="12"/>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7</w:t>
            </w:r>
          </w:p>
        </w:tc>
        <w:tc>
          <w:tcPr>
            <w:tcW w:w="2959" w:type="dxa"/>
            <w:vAlign w:val="center"/>
          </w:tcPr>
          <w:p>
            <w:pPr>
              <w:pStyle w:val="12"/>
            </w:pPr>
            <w:r>
              <w:t>七、上级补助收入</w:t>
            </w:r>
          </w:p>
        </w:tc>
        <w:tc>
          <w:tcPr>
            <w:tcW w:w="2959" w:type="dxa"/>
            <w:vAlign w:val="center"/>
          </w:tcPr>
          <w:p>
            <w:pPr>
              <w:pStyle w:val="13"/>
            </w:pPr>
          </w:p>
        </w:tc>
        <w:tc>
          <w:tcPr>
            <w:tcW w:w="2959" w:type="dxa"/>
            <w:vAlign w:val="center"/>
          </w:tcPr>
          <w:p>
            <w:pPr>
              <w:pStyle w:val="12"/>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8</w:t>
            </w:r>
          </w:p>
        </w:tc>
        <w:tc>
          <w:tcPr>
            <w:tcW w:w="2959" w:type="dxa"/>
            <w:vAlign w:val="center"/>
          </w:tcPr>
          <w:p>
            <w:pPr>
              <w:pStyle w:val="12"/>
            </w:pPr>
            <w:r>
              <w:t>八、附属单位上缴收入</w:t>
            </w:r>
          </w:p>
        </w:tc>
        <w:tc>
          <w:tcPr>
            <w:tcW w:w="2959" w:type="dxa"/>
            <w:vAlign w:val="center"/>
          </w:tcPr>
          <w:p>
            <w:pPr>
              <w:pStyle w:val="13"/>
            </w:pPr>
          </w:p>
        </w:tc>
        <w:tc>
          <w:tcPr>
            <w:tcW w:w="2959" w:type="dxa"/>
            <w:vAlign w:val="center"/>
          </w:tcPr>
          <w:p>
            <w:pPr>
              <w:pStyle w:val="12"/>
            </w:pPr>
            <w:r>
              <w:t>八、社会保障和就业支出</w:t>
            </w:r>
          </w:p>
        </w:tc>
        <w:tc>
          <w:tcPr>
            <w:tcW w:w="2959" w:type="dxa"/>
            <w:vAlign w:val="center"/>
          </w:tcPr>
          <w:p>
            <w:pPr>
              <w:pStyle w:val="13"/>
            </w:pPr>
            <w:r>
              <w:t>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9</w:t>
            </w:r>
          </w:p>
        </w:tc>
        <w:tc>
          <w:tcPr>
            <w:tcW w:w="2959" w:type="dxa"/>
            <w:vAlign w:val="center"/>
          </w:tcPr>
          <w:p>
            <w:pPr>
              <w:pStyle w:val="12"/>
            </w:pPr>
            <w:r>
              <w:t>九、其他收入</w:t>
            </w:r>
          </w:p>
        </w:tc>
        <w:tc>
          <w:tcPr>
            <w:tcW w:w="2959" w:type="dxa"/>
            <w:vAlign w:val="center"/>
          </w:tcPr>
          <w:p>
            <w:pPr>
              <w:pStyle w:val="13"/>
            </w:pPr>
          </w:p>
        </w:tc>
        <w:tc>
          <w:tcPr>
            <w:tcW w:w="2959" w:type="dxa"/>
            <w:vAlign w:val="center"/>
          </w:tcPr>
          <w:p>
            <w:pPr>
              <w:pStyle w:val="12"/>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十、卫生健康支出</w:t>
            </w:r>
          </w:p>
        </w:tc>
        <w:tc>
          <w:tcPr>
            <w:tcW w:w="2959"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19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22</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23</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24</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25</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26</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27</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28</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29</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30</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31</w:t>
            </w:r>
          </w:p>
        </w:tc>
        <w:tc>
          <w:tcPr>
            <w:tcW w:w="2959" w:type="dxa"/>
            <w:vAlign w:val="center"/>
          </w:tcPr>
          <w:p>
            <w:pPr>
              <w:pStyle w:val="12"/>
            </w:pPr>
          </w:p>
        </w:tc>
        <w:tc>
          <w:tcPr>
            <w:tcW w:w="2959" w:type="dxa"/>
            <w:vAlign w:val="center"/>
          </w:tcPr>
          <w:p>
            <w:pPr>
              <w:pStyle w:val="13"/>
            </w:pPr>
          </w:p>
        </w:tc>
        <w:tc>
          <w:tcPr>
            <w:tcW w:w="2959" w:type="dxa"/>
            <w:vAlign w:val="center"/>
          </w:tcPr>
          <w:p>
            <w:pPr>
              <w:pStyle w:val="12"/>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32</w:t>
            </w:r>
          </w:p>
        </w:tc>
        <w:tc>
          <w:tcPr>
            <w:tcW w:w="2959" w:type="dxa"/>
            <w:vAlign w:val="center"/>
          </w:tcPr>
          <w:p>
            <w:pPr>
              <w:pStyle w:val="14"/>
            </w:pPr>
            <w:r>
              <w:t>本年收入合计</w:t>
            </w:r>
          </w:p>
        </w:tc>
        <w:tc>
          <w:tcPr>
            <w:tcW w:w="2959" w:type="dxa"/>
            <w:vAlign w:val="center"/>
          </w:tcPr>
          <w:p>
            <w:pPr>
              <w:pStyle w:val="15"/>
            </w:pPr>
            <w:r>
              <w:t>48.53</w:t>
            </w:r>
          </w:p>
        </w:tc>
        <w:tc>
          <w:tcPr>
            <w:tcW w:w="2959" w:type="dxa"/>
            <w:vAlign w:val="center"/>
          </w:tcPr>
          <w:p>
            <w:pPr>
              <w:pStyle w:val="14"/>
            </w:pPr>
            <w:r>
              <w:t>本年支出合计</w:t>
            </w:r>
          </w:p>
        </w:tc>
        <w:tc>
          <w:tcPr>
            <w:tcW w:w="2959" w:type="dxa"/>
            <w:vAlign w:val="center"/>
          </w:tcPr>
          <w:p>
            <w:pPr>
              <w:pStyle w:val="15"/>
            </w:pPr>
            <w:r>
              <w:t>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33</w:t>
            </w:r>
          </w:p>
        </w:tc>
        <w:tc>
          <w:tcPr>
            <w:tcW w:w="2959" w:type="dxa"/>
            <w:vAlign w:val="center"/>
          </w:tcPr>
          <w:p>
            <w:pPr>
              <w:pStyle w:val="12"/>
            </w:pPr>
            <w:r>
              <w:t>上年结转结余</w:t>
            </w:r>
          </w:p>
        </w:tc>
        <w:tc>
          <w:tcPr>
            <w:tcW w:w="2959" w:type="dxa"/>
            <w:vAlign w:val="center"/>
          </w:tcPr>
          <w:p>
            <w:pPr>
              <w:pStyle w:val="13"/>
            </w:pPr>
          </w:p>
        </w:tc>
        <w:tc>
          <w:tcPr>
            <w:tcW w:w="2959" w:type="dxa"/>
            <w:vAlign w:val="center"/>
          </w:tcPr>
          <w:p>
            <w:pPr>
              <w:pStyle w:val="12"/>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1"/>
            </w:pPr>
            <w:r>
              <w:t>34</w:t>
            </w:r>
          </w:p>
        </w:tc>
        <w:tc>
          <w:tcPr>
            <w:tcW w:w="2959" w:type="dxa"/>
            <w:vAlign w:val="center"/>
          </w:tcPr>
          <w:p>
            <w:pPr>
              <w:pStyle w:val="14"/>
            </w:pPr>
            <w:r>
              <w:t>收入总计</w:t>
            </w:r>
          </w:p>
        </w:tc>
        <w:tc>
          <w:tcPr>
            <w:tcW w:w="2959" w:type="dxa"/>
            <w:vAlign w:val="center"/>
          </w:tcPr>
          <w:p>
            <w:pPr>
              <w:pStyle w:val="15"/>
            </w:pPr>
            <w:r>
              <w:t>48.53</w:t>
            </w:r>
          </w:p>
        </w:tc>
        <w:tc>
          <w:tcPr>
            <w:tcW w:w="2959" w:type="dxa"/>
            <w:vAlign w:val="center"/>
          </w:tcPr>
          <w:p>
            <w:pPr>
              <w:pStyle w:val="14"/>
            </w:pPr>
            <w:r>
              <w:t>支出总计</w:t>
            </w:r>
          </w:p>
        </w:tc>
        <w:tc>
          <w:tcPr>
            <w:tcW w:w="2959" w:type="dxa"/>
            <w:vAlign w:val="center"/>
          </w:tcPr>
          <w:p>
            <w:pPr>
              <w:pStyle w:val="15"/>
            </w:pPr>
            <w:r>
              <w:t>48.53</w:t>
            </w:r>
          </w:p>
        </w:tc>
      </w:tr>
    </w:tbl>
    <w:p>
      <w:pPr>
        <w:sectPr>
          <w:headerReference r:id="rId3" w:type="default"/>
          <w:footerReference r:id="rId4"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32" w:type="dxa"/>
            <w:gridSpan w:val="4"/>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032" w:type="dxa"/>
            <w:gridSpan w:val="4"/>
            <w:tcBorders>
              <w:top w:val="single" w:color="FFFFFF" w:sz="6" w:space="0"/>
              <w:left w:val="single" w:color="FFFFFF" w:sz="6" w:space="0"/>
              <w:right w:val="single" w:color="FFFFFF" w:sz="6" w:space="0"/>
            </w:tcBorders>
          </w:tcPr>
          <w:p>
            <w:pPr>
              <w:rPr>
                <w:b/>
                <w:bCs/>
              </w:rPr>
            </w:pPr>
          </w:p>
          <w:p>
            <w:r>
              <w:rPr>
                <w:b/>
                <w:bCs/>
              </w:rPr>
              <w:t>预算年度：2023</w:t>
            </w:r>
          </w:p>
        </w:tc>
        <w:tc>
          <w:tcPr>
            <w:tcW w:w="2274" w:type="dxa"/>
            <w:gridSpan w:val="3"/>
            <w:tcBorders>
              <w:top w:val="single" w:color="FFFFFF" w:sz="6" w:space="0"/>
              <w:left w:val="single" w:color="FFFFFF" w:sz="6" w:space="0"/>
              <w:right w:val="single" w:color="FFFFFF" w:sz="6" w:space="0"/>
            </w:tcBorders>
            <w:vAlign w:val="center"/>
          </w:tcPr>
          <w:p>
            <w:pPr>
              <w:rPr>
                <w:b/>
                <w:bCs/>
              </w:rPr>
            </w:pPr>
            <w:r>
              <w:rPr>
                <w:b/>
                <w:bCs/>
              </w:rPr>
              <w:t>单位：万元</w:t>
            </w:r>
          </w:p>
        </w:tc>
        <w:tc>
          <w:tcPr>
            <w:tcW w:w="758" w:type="dxa"/>
            <w:tcBorders>
              <w:top w:val="single" w:color="FFFFFF" w:sz="6" w:space="0"/>
              <w:left w:val="single" w:color="FFFFFF" w:sz="6" w:space="0"/>
              <w:right w:val="single" w:color="FFFFFF" w:sz="6" w:space="0"/>
            </w:tcBorders>
          </w:tcPr>
          <w:p/>
        </w:tc>
        <w:tc>
          <w:tcPr>
            <w:tcW w:w="758"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758" w:type="dxa"/>
            <w:vAlign w:val="center"/>
          </w:tcPr>
          <w:p>
            <w:pPr>
              <w:pStyle w:val="10"/>
            </w:pPr>
            <w:r>
              <w:t>功能分类科目</w:t>
            </w:r>
          </w:p>
        </w:tc>
        <w:tc>
          <w:tcPr>
            <w:tcW w:w="758" w:type="dxa"/>
          </w:tcPr>
          <w:p/>
        </w:tc>
        <w:tc>
          <w:tcPr>
            <w:tcW w:w="758" w:type="dxa"/>
            <w:vMerge w:val="restart"/>
            <w:vAlign w:val="center"/>
          </w:tcPr>
          <w:p>
            <w:pPr>
              <w:pStyle w:val="10"/>
            </w:pPr>
            <w:r>
              <w:t>合计</w:t>
            </w:r>
          </w:p>
        </w:tc>
        <w:tc>
          <w:tcPr>
            <w:tcW w:w="758" w:type="dxa"/>
            <w:vAlign w:val="center"/>
          </w:tcPr>
          <w:p>
            <w:pPr>
              <w:pStyle w:val="10"/>
            </w:pPr>
            <w:r>
              <w:t>本年收入</w:t>
            </w: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tcP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48.53</w:t>
            </w:r>
          </w:p>
        </w:tc>
        <w:tc>
          <w:tcPr>
            <w:tcW w:w="758" w:type="dxa"/>
            <w:vAlign w:val="center"/>
          </w:tcPr>
          <w:p>
            <w:pPr>
              <w:pStyle w:val="15"/>
            </w:pPr>
            <w:r>
              <w:t>48.53</w:t>
            </w:r>
          </w:p>
        </w:tc>
        <w:tc>
          <w:tcPr>
            <w:tcW w:w="758" w:type="dxa"/>
            <w:vAlign w:val="center"/>
          </w:tcPr>
          <w:p>
            <w:pPr>
              <w:pStyle w:val="15"/>
            </w:pPr>
            <w:r>
              <w:t>48.53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20129</w:t>
            </w:r>
          </w:p>
        </w:tc>
        <w:tc>
          <w:tcPr>
            <w:tcW w:w="758" w:type="dxa"/>
            <w:vAlign w:val="center"/>
          </w:tcPr>
          <w:p>
            <w:pPr>
              <w:pStyle w:val="12"/>
            </w:pPr>
            <w:r>
              <w:t>群众团体事务</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r>
              <w:t>38.87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2012901</w:t>
            </w:r>
          </w:p>
        </w:tc>
        <w:tc>
          <w:tcPr>
            <w:tcW w:w="758" w:type="dxa"/>
            <w:vAlign w:val="center"/>
          </w:tcPr>
          <w:p>
            <w:pPr>
              <w:pStyle w:val="12"/>
            </w:pPr>
            <w:r>
              <w:t>行政运行</w:t>
            </w:r>
          </w:p>
        </w:tc>
        <w:tc>
          <w:tcPr>
            <w:tcW w:w="758" w:type="dxa"/>
            <w:vAlign w:val="center"/>
          </w:tcPr>
          <w:p>
            <w:pPr>
              <w:pStyle w:val="13"/>
            </w:pPr>
            <w:r>
              <w:t>36.87</w:t>
            </w:r>
          </w:p>
        </w:tc>
        <w:tc>
          <w:tcPr>
            <w:tcW w:w="758" w:type="dxa"/>
            <w:vAlign w:val="center"/>
          </w:tcPr>
          <w:p>
            <w:pPr>
              <w:pStyle w:val="13"/>
            </w:pPr>
            <w:r>
              <w:t>36.87</w:t>
            </w:r>
          </w:p>
        </w:tc>
        <w:tc>
          <w:tcPr>
            <w:tcW w:w="758" w:type="dxa"/>
            <w:vAlign w:val="center"/>
          </w:tcPr>
          <w:p>
            <w:pPr>
              <w:pStyle w:val="13"/>
            </w:pPr>
            <w:r>
              <w:t>36.87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2012999</w:t>
            </w:r>
          </w:p>
        </w:tc>
        <w:tc>
          <w:tcPr>
            <w:tcW w:w="758" w:type="dxa"/>
            <w:vAlign w:val="center"/>
          </w:tcPr>
          <w:p>
            <w:pPr>
              <w:pStyle w:val="12"/>
            </w:pPr>
            <w:r>
              <w:t>其他群众团体事务支出</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r>
              <w:t>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6</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7</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r>
              <w:t>6.69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8</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3"/>
            </w:pPr>
            <w:r>
              <w:t>5.73</w:t>
            </w:r>
          </w:p>
        </w:tc>
        <w:tc>
          <w:tcPr>
            <w:tcW w:w="758" w:type="dxa"/>
            <w:vAlign w:val="center"/>
          </w:tcPr>
          <w:p>
            <w:pPr>
              <w:pStyle w:val="13"/>
            </w:pPr>
            <w:r>
              <w:t>5.73</w:t>
            </w:r>
          </w:p>
        </w:tc>
        <w:tc>
          <w:tcPr>
            <w:tcW w:w="758" w:type="dxa"/>
            <w:vAlign w:val="center"/>
          </w:tcPr>
          <w:p>
            <w:pPr>
              <w:pStyle w:val="13"/>
            </w:pPr>
            <w:r>
              <w:t>5.73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9</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r>
              <w:t>0.96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10</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11</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12</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r>
              <w:t>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2190" w:type="dxa"/>
            <w:gridSpan w:val="2"/>
            <w:tcBorders>
              <w:top w:val="single" w:color="FFFFFF" w:sz="6" w:space="0"/>
              <w:left w:val="single" w:color="FFFFFF" w:sz="6" w:space="0"/>
              <w:right w:val="single" w:color="FFFFFF" w:sz="6" w:space="0"/>
            </w:tcBorders>
            <w:vAlign w:val="center"/>
          </w:tcPr>
          <w:p>
            <w:pPr>
              <w:rPr>
                <w:b/>
                <w:bCs/>
              </w:rPr>
            </w:pPr>
            <w:r>
              <w:rPr>
                <w:b/>
                <w:bCs/>
              </w:rPr>
              <w:t>预算年度：2023</w:t>
            </w:r>
          </w:p>
        </w:tc>
        <w:tc>
          <w:tcPr>
            <w:tcW w:w="2190" w:type="dxa"/>
            <w:gridSpan w:val="2"/>
            <w:tcBorders>
              <w:top w:val="single" w:color="FFFFFF" w:sz="6" w:space="0"/>
              <w:left w:val="single" w:color="FFFFFF" w:sz="6" w:space="0"/>
              <w:right w:val="single" w:color="FFFFFF" w:sz="6" w:space="0"/>
            </w:tcBorders>
            <w:vAlign w:val="center"/>
          </w:tcPr>
          <w:p>
            <w:pPr>
              <w:rPr>
                <w:b/>
                <w:bCs/>
              </w:rPr>
            </w:pPr>
            <w:r>
              <w:rPr>
                <w:b/>
                <w:bCs/>
              </w:rPr>
              <w:t>单位：万元</w:t>
            </w:r>
          </w:p>
        </w:tc>
        <w:tc>
          <w:tcPr>
            <w:tcW w:w="1095" w:type="dxa"/>
            <w:tcBorders>
              <w:top w:val="single" w:color="FFFFFF" w:sz="6" w:space="0"/>
              <w:left w:val="single" w:color="FFFFFF" w:sz="6" w:space="0"/>
              <w:right w:val="single" w:color="FFFFFF" w:sz="6" w:space="0"/>
            </w:tcBorders>
          </w:tcPr>
          <w:p/>
        </w:tc>
        <w:tc>
          <w:tcPr>
            <w:tcW w:w="1095"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1095" w:type="dxa"/>
            <w:vAlign w:val="center"/>
          </w:tcPr>
          <w:p>
            <w:pPr>
              <w:pStyle w:val="10"/>
            </w:pPr>
            <w:r>
              <w:t>功能分类科目</w:t>
            </w:r>
          </w:p>
        </w:tc>
        <w:tc>
          <w:tcPr>
            <w:tcW w:w="1095" w:type="dxa"/>
          </w:tcP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48.53</w:t>
            </w:r>
          </w:p>
        </w:tc>
        <w:tc>
          <w:tcPr>
            <w:tcW w:w="1095" w:type="dxa"/>
            <w:vAlign w:val="center"/>
          </w:tcPr>
          <w:p>
            <w:pPr>
              <w:pStyle w:val="15"/>
            </w:pPr>
            <w:r>
              <w:t>46.53</w:t>
            </w:r>
          </w:p>
        </w:tc>
        <w:tc>
          <w:tcPr>
            <w:tcW w:w="1095" w:type="dxa"/>
            <w:vAlign w:val="center"/>
          </w:tcPr>
          <w:p>
            <w:pPr>
              <w:pStyle w:val="15"/>
            </w:pPr>
            <w:r>
              <w:t>2.00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38.87</w:t>
            </w:r>
          </w:p>
        </w:tc>
        <w:tc>
          <w:tcPr>
            <w:tcW w:w="1095" w:type="dxa"/>
            <w:vAlign w:val="center"/>
          </w:tcPr>
          <w:p>
            <w:pPr>
              <w:pStyle w:val="13"/>
            </w:pPr>
            <w:r>
              <w:t>36.87</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20129</w:t>
            </w:r>
          </w:p>
        </w:tc>
        <w:tc>
          <w:tcPr>
            <w:tcW w:w="1095" w:type="dxa"/>
            <w:vAlign w:val="center"/>
          </w:tcPr>
          <w:p>
            <w:pPr>
              <w:pStyle w:val="12"/>
            </w:pPr>
            <w:r>
              <w:t>群众团体事务</w:t>
            </w:r>
          </w:p>
        </w:tc>
        <w:tc>
          <w:tcPr>
            <w:tcW w:w="1095" w:type="dxa"/>
            <w:vAlign w:val="center"/>
          </w:tcPr>
          <w:p>
            <w:pPr>
              <w:pStyle w:val="13"/>
            </w:pPr>
            <w:r>
              <w:t>38.87</w:t>
            </w:r>
          </w:p>
        </w:tc>
        <w:tc>
          <w:tcPr>
            <w:tcW w:w="1095" w:type="dxa"/>
            <w:vAlign w:val="center"/>
          </w:tcPr>
          <w:p>
            <w:pPr>
              <w:pStyle w:val="13"/>
            </w:pPr>
            <w:r>
              <w:t>36.87</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2012901</w:t>
            </w:r>
          </w:p>
        </w:tc>
        <w:tc>
          <w:tcPr>
            <w:tcW w:w="1095" w:type="dxa"/>
            <w:vAlign w:val="center"/>
          </w:tcPr>
          <w:p>
            <w:pPr>
              <w:pStyle w:val="12"/>
            </w:pPr>
            <w:r>
              <w:t>行政运行</w:t>
            </w:r>
          </w:p>
        </w:tc>
        <w:tc>
          <w:tcPr>
            <w:tcW w:w="1095" w:type="dxa"/>
            <w:vAlign w:val="center"/>
          </w:tcPr>
          <w:p>
            <w:pPr>
              <w:pStyle w:val="13"/>
            </w:pPr>
            <w:r>
              <w:t>36.87</w:t>
            </w:r>
          </w:p>
        </w:tc>
        <w:tc>
          <w:tcPr>
            <w:tcW w:w="1095" w:type="dxa"/>
            <w:vAlign w:val="center"/>
          </w:tcPr>
          <w:p>
            <w:pPr>
              <w:pStyle w:val="13"/>
            </w:pPr>
            <w:r>
              <w:t>36.87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2012999</w:t>
            </w:r>
          </w:p>
        </w:tc>
        <w:tc>
          <w:tcPr>
            <w:tcW w:w="1095" w:type="dxa"/>
            <w:vAlign w:val="center"/>
          </w:tcPr>
          <w:p>
            <w:pPr>
              <w:pStyle w:val="12"/>
            </w:pPr>
            <w:r>
              <w:t>其他群众团体事务支出</w:t>
            </w: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3"/>
            </w:pPr>
            <w:r>
              <w:t>6.69</w:t>
            </w:r>
          </w:p>
        </w:tc>
        <w:tc>
          <w:tcPr>
            <w:tcW w:w="1095" w:type="dxa"/>
            <w:vAlign w:val="center"/>
          </w:tcPr>
          <w:p>
            <w:pPr>
              <w:pStyle w:val="13"/>
            </w:pPr>
            <w:r>
              <w:t>6.69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3"/>
            </w:pPr>
            <w:r>
              <w:t>6.69</w:t>
            </w:r>
          </w:p>
        </w:tc>
        <w:tc>
          <w:tcPr>
            <w:tcW w:w="1095" w:type="dxa"/>
            <w:vAlign w:val="center"/>
          </w:tcPr>
          <w:p>
            <w:pPr>
              <w:pStyle w:val="13"/>
            </w:pPr>
            <w:r>
              <w:t>6.69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3"/>
            </w:pPr>
            <w:r>
              <w:t>5.73</w:t>
            </w:r>
          </w:p>
        </w:tc>
        <w:tc>
          <w:tcPr>
            <w:tcW w:w="1095" w:type="dxa"/>
            <w:vAlign w:val="center"/>
          </w:tcPr>
          <w:p>
            <w:pPr>
              <w:pStyle w:val="13"/>
            </w:pPr>
            <w:r>
              <w:t>5.73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3"/>
            </w:pPr>
            <w:r>
              <w:t>0.96</w:t>
            </w:r>
          </w:p>
        </w:tc>
        <w:tc>
          <w:tcPr>
            <w:tcW w:w="1095" w:type="dxa"/>
            <w:vAlign w:val="center"/>
          </w:tcPr>
          <w:p>
            <w:pPr>
              <w:pStyle w:val="13"/>
            </w:pPr>
            <w:r>
              <w:t>0.96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3"/>
            </w:pPr>
            <w:r>
              <w:t>2.97</w:t>
            </w:r>
          </w:p>
        </w:tc>
        <w:tc>
          <w:tcPr>
            <w:tcW w:w="1095" w:type="dxa"/>
            <w:vAlign w:val="center"/>
          </w:tcPr>
          <w:p>
            <w:pPr>
              <w:pStyle w:val="13"/>
            </w:pPr>
            <w:r>
              <w:t>2.97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64"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2464" w:type="dxa"/>
            <w:gridSpan w:val="2"/>
            <w:tcBorders>
              <w:top w:val="single" w:color="FFFFFF" w:sz="6" w:space="0"/>
              <w:left w:val="single" w:color="FFFFFF" w:sz="6" w:space="0"/>
              <w:right w:val="single" w:color="FFFFFF" w:sz="6" w:space="0"/>
            </w:tcBorders>
          </w:tcPr>
          <w:p>
            <w:pPr>
              <w:pStyle w:val="8"/>
            </w:pPr>
            <w:r>
              <w:t>预算年度：2023</w:t>
            </w:r>
          </w:p>
        </w:tc>
        <w:tc>
          <w:tcPr>
            <w:tcW w:w="2464" w:type="dxa"/>
            <w:gridSpan w:val="2"/>
            <w:tcBorders>
              <w:top w:val="single" w:color="FFFFFF" w:sz="6" w:space="0"/>
              <w:left w:val="single" w:color="FFFFFF" w:sz="6" w:space="0"/>
              <w:right w:val="single" w:color="FFFFFF" w:sz="6" w:space="0"/>
            </w:tcBorders>
            <w:vAlign w:val="center"/>
          </w:tcPr>
          <w:p>
            <w:pPr>
              <w:rPr>
                <w:b/>
                <w:bCs/>
              </w:rPr>
            </w:pPr>
            <w:r>
              <w:rPr>
                <w:b/>
                <w:bCs/>
              </w:rPr>
              <w:t>单位：万元</w:t>
            </w:r>
          </w:p>
        </w:tc>
        <w:tc>
          <w:tcPr>
            <w:tcW w:w="1232" w:type="dxa"/>
            <w:tcBorders>
              <w:top w:val="single" w:color="FFFFFF" w:sz="6" w:space="0"/>
              <w:left w:val="single" w:color="FFFFFF" w:sz="6" w:space="0"/>
              <w:right w:val="single" w:color="FFFFFF" w:sz="6" w:space="0"/>
            </w:tcBorders>
          </w:tcPr>
          <w:p/>
        </w:tc>
        <w:tc>
          <w:tcPr>
            <w:tcW w:w="1232"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1232" w:type="dxa"/>
            <w:vAlign w:val="center"/>
          </w:tcPr>
          <w:p>
            <w:pPr>
              <w:pStyle w:val="10"/>
            </w:pPr>
            <w:r>
              <w:t>收入</w:t>
            </w:r>
          </w:p>
        </w:tc>
        <w:tc>
          <w:tcPr>
            <w:tcW w:w="1232" w:type="dxa"/>
          </w:tcPr>
          <w:p/>
        </w:tc>
        <w:tc>
          <w:tcPr>
            <w:tcW w:w="1232" w:type="dxa"/>
            <w:vAlign w:val="center"/>
          </w:tcPr>
          <w:p>
            <w:pPr>
              <w:pStyle w:val="10"/>
            </w:pPr>
            <w:r>
              <w:t>支出</w:t>
            </w:r>
          </w:p>
        </w:tc>
        <w:tc>
          <w:tcPr>
            <w:tcW w:w="1232" w:type="dxa"/>
          </w:tcPr>
          <w:p/>
        </w:tc>
        <w:tc>
          <w:tcPr>
            <w:tcW w:w="1232" w:type="dxa"/>
          </w:tcPr>
          <w:p/>
        </w:tc>
        <w:tc>
          <w:tcPr>
            <w:tcW w:w="1232" w:type="dxa"/>
          </w:tcPr>
          <w:p/>
        </w:tc>
        <w:tc>
          <w:tcPr>
            <w:tcW w:w="123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48.53</w:t>
            </w:r>
          </w:p>
        </w:tc>
        <w:tc>
          <w:tcPr>
            <w:tcW w:w="1232" w:type="dxa"/>
            <w:vAlign w:val="center"/>
          </w:tcPr>
          <w:p>
            <w:pPr>
              <w:pStyle w:val="12"/>
            </w:pPr>
            <w:r>
              <w:t>一、一般公共服务支出</w:t>
            </w:r>
          </w:p>
        </w:tc>
        <w:tc>
          <w:tcPr>
            <w:tcW w:w="1232" w:type="dxa"/>
            <w:vAlign w:val="center"/>
          </w:tcPr>
          <w:p>
            <w:pPr>
              <w:pStyle w:val="13"/>
            </w:pPr>
            <w:r>
              <w:t>38.87</w:t>
            </w:r>
          </w:p>
        </w:tc>
        <w:tc>
          <w:tcPr>
            <w:tcW w:w="1232" w:type="dxa"/>
            <w:vAlign w:val="center"/>
          </w:tcPr>
          <w:p>
            <w:pPr>
              <w:pStyle w:val="13"/>
            </w:pPr>
            <w:r>
              <w:t>38.87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r>
              <w:t>6.69</w:t>
            </w:r>
          </w:p>
        </w:tc>
        <w:tc>
          <w:tcPr>
            <w:tcW w:w="1232" w:type="dxa"/>
            <w:vAlign w:val="center"/>
          </w:tcPr>
          <w:p>
            <w:pPr>
              <w:pStyle w:val="13"/>
            </w:pPr>
            <w:r>
              <w:t>6.69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r>
              <w:t>2.97</w:t>
            </w:r>
          </w:p>
        </w:tc>
        <w:tc>
          <w:tcPr>
            <w:tcW w:w="1232" w:type="dxa"/>
            <w:vAlign w:val="center"/>
          </w:tcPr>
          <w:p>
            <w:pPr>
              <w:pStyle w:val="13"/>
            </w:pPr>
            <w:r>
              <w:t>2.97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48.53</w:t>
            </w:r>
          </w:p>
        </w:tc>
        <w:tc>
          <w:tcPr>
            <w:tcW w:w="1232" w:type="dxa"/>
            <w:vAlign w:val="center"/>
          </w:tcPr>
          <w:p>
            <w:pPr>
              <w:pStyle w:val="14"/>
            </w:pPr>
            <w:r>
              <w:t>本年支出合计</w:t>
            </w:r>
          </w:p>
        </w:tc>
        <w:tc>
          <w:tcPr>
            <w:tcW w:w="1232" w:type="dxa"/>
            <w:vAlign w:val="center"/>
          </w:tcPr>
          <w:p>
            <w:pPr>
              <w:pStyle w:val="15"/>
            </w:pPr>
            <w:r>
              <w:t>48.53</w:t>
            </w:r>
          </w:p>
        </w:tc>
        <w:tc>
          <w:tcPr>
            <w:tcW w:w="1232" w:type="dxa"/>
            <w:vAlign w:val="center"/>
          </w:tcPr>
          <w:p>
            <w:pPr>
              <w:pStyle w:val="15"/>
            </w:pPr>
            <w:r>
              <w:t>48.53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48.53</w:t>
            </w:r>
          </w:p>
        </w:tc>
        <w:tc>
          <w:tcPr>
            <w:tcW w:w="1232" w:type="dxa"/>
            <w:vAlign w:val="center"/>
          </w:tcPr>
          <w:p>
            <w:pPr>
              <w:pStyle w:val="14"/>
            </w:pPr>
            <w:r>
              <w:t>支出总计</w:t>
            </w:r>
          </w:p>
        </w:tc>
        <w:tc>
          <w:tcPr>
            <w:tcW w:w="1232" w:type="dxa"/>
            <w:vAlign w:val="center"/>
          </w:tcPr>
          <w:p>
            <w:pPr>
              <w:pStyle w:val="15"/>
            </w:pPr>
            <w:r>
              <w:t>48.53</w:t>
            </w:r>
          </w:p>
        </w:tc>
        <w:tc>
          <w:tcPr>
            <w:tcW w:w="1232" w:type="dxa"/>
            <w:vAlign w:val="center"/>
          </w:tcPr>
          <w:p>
            <w:pPr>
              <w:pStyle w:val="15"/>
            </w:pPr>
            <w:r>
              <w:t>48.53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286" w:type="dxa"/>
            <w:gridSpan w:val="2"/>
            <w:tcBorders>
              <w:top w:val="single" w:color="FFFFFF" w:sz="6" w:space="0"/>
              <w:left w:val="single" w:color="FFFFFF" w:sz="6" w:space="0"/>
              <w:right w:val="single" w:color="FFFFFF" w:sz="6" w:space="0"/>
            </w:tcBorders>
          </w:tcPr>
          <w:p>
            <w:pPr>
              <w:pStyle w:val="8"/>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48.53</w:t>
            </w:r>
          </w:p>
        </w:tc>
        <w:tc>
          <w:tcPr>
            <w:tcW w:w="1643" w:type="dxa"/>
            <w:vAlign w:val="center"/>
          </w:tcPr>
          <w:p>
            <w:pPr>
              <w:pStyle w:val="15"/>
            </w:pPr>
            <w:r>
              <w:t>46.53</w:t>
            </w: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38.87</w:t>
            </w:r>
          </w:p>
        </w:tc>
        <w:tc>
          <w:tcPr>
            <w:tcW w:w="1643" w:type="dxa"/>
            <w:vAlign w:val="center"/>
          </w:tcPr>
          <w:p>
            <w:pPr>
              <w:pStyle w:val="13"/>
            </w:pPr>
            <w:r>
              <w:t>36.87</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20129</w:t>
            </w:r>
          </w:p>
        </w:tc>
        <w:tc>
          <w:tcPr>
            <w:tcW w:w="1643" w:type="dxa"/>
            <w:vAlign w:val="center"/>
          </w:tcPr>
          <w:p>
            <w:pPr>
              <w:pStyle w:val="12"/>
            </w:pPr>
            <w:r>
              <w:t>群众团体事务</w:t>
            </w:r>
          </w:p>
        </w:tc>
        <w:tc>
          <w:tcPr>
            <w:tcW w:w="1643" w:type="dxa"/>
            <w:vAlign w:val="center"/>
          </w:tcPr>
          <w:p>
            <w:pPr>
              <w:pStyle w:val="13"/>
            </w:pPr>
            <w:r>
              <w:t>38.87</w:t>
            </w:r>
          </w:p>
        </w:tc>
        <w:tc>
          <w:tcPr>
            <w:tcW w:w="1643" w:type="dxa"/>
            <w:vAlign w:val="center"/>
          </w:tcPr>
          <w:p>
            <w:pPr>
              <w:pStyle w:val="13"/>
            </w:pPr>
            <w:r>
              <w:t>36.87</w:t>
            </w: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2012901</w:t>
            </w:r>
          </w:p>
        </w:tc>
        <w:tc>
          <w:tcPr>
            <w:tcW w:w="1643" w:type="dxa"/>
            <w:vAlign w:val="center"/>
          </w:tcPr>
          <w:p>
            <w:pPr>
              <w:pStyle w:val="12"/>
            </w:pPr>
            <w:r>
              <w:t>行政运行</w:t>
            </w:r>
          </w:p>
        </w:tc>
        <w:tc>
          <w:tcPr>
            <w:tcW w:w="1643" w:type="dxa"/>
            <w:vAlign w:val="center"/>
          </w:tcPr>
          <w:p>
            <w:pPr>
              <w:pStyle w:val="13"/>
            </w:pPr>
            <w:r>
              <w:t>36.87</w:t>
            </w:r>
          </w:p>
        </w:tc>
        <w:tc>
          <w:tcPr>
            <w:tcW w:w="1643" w:type="dxa"/>
            <w:vAlign w:val="center"/>
          </w:tcPr>
          <w:p>
            <w:pPr>
              <w:pStyle w:val="13"/>
            </w:pPr>
            <w:r>
              <w:t>36.87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2012999</w:t>
            </w:r>
          </w:p>
        </w:tc>
        <w:tc>
          <w:tcPr>
            <w:tcW w:w="1643" w:type="dxa"/>
            <w:vAlign w:val="center"/>
          </w:tcPr>
          <w:p>
            <w:pPr>
              <w:pStyle w:val="12"/>
            </w:pPr>
            <w:r>
              <w:t>其他群众团体事务支出</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3"/>
            </w:pPr>
            <w:r>
              <w:t>6.69</w:t>
            </w:r>
          </w:p>
        </w:tc>
        <w:tc>
          <w:tcPr>
            <w:tcW w:w="1643" w:type="dxa"/>
            <w:vAlign w:val="center"/>
          </w:tcPr>
          <w:p>
            <w:pPr>
              <w:pStyle w:val="13"/>
            </w:pPr>
            <w:r>
              <w:t>6.69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3"/>
            </w:pPr>
            <w:r>
              <w:t>6.69</w:t>
            </w:r>
          </w:p>
        </w:tc>
        <w:tc>
          <w:tcPr>
            <w:tcW w:w="1643" w:type="dxa"/>
            <w:vAlign w:val="center"/>
          </w:tcPr>
          <w:p>
            <w:pPr>
              <w:pStyle w:val="13"/>
            </w:pPr>
            <w:r>
              <w:t>6.69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3"/>
            </w:pPr>
            <w:r>
              <w:t>5.73</w:t>
            </w:r>
          </w:p>
        </w:tc>
        <w:tc>
          <w:tcPr>
            <w:tcW w:w="1643" w:type="dxa"/>
            <w:vAlign w:val="center"/>
          </w:tcPr>
          <w:p>
            <w:pPr>
              <w:pStyle w:val="13"/>
            </w:pPr>
            <w:r>
              <w:t>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286" w:type="dxa"/>
            <w:gridSpan w:val="2"/>
            <w:tcBorders>
              <w:top w:val="single" w:color="FFFFFF" w:sz="6" w:space="0"/>
              <w:left w:val="single" w:color="FFFFFF" w:sz="6" w:space="0"/>
              <w:right w:val="single" w:color="FFFFFF" w:sz="6" w:space="0"/>
            </w:tcBorders>
          </w:tcPr>
          <w:p>
            <w:pPr>
              <w:pStyle w:val="8"/>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支出部门经济分类科目</w:t>
            </w:r>
          </w:p>
        </w:tc>
        <w:tc>
          <w:tcPr>
            <w:tcW w:w="1643" w:type="dxa"/>
          </w:tcPr>
          <w:p/>
        </w:tc>
        <w:tc>
          <w:tcPr>
            <w:tcW w:w="1643" w:type="dxa"/>
            <w:vAlign w:val="center"/>
          </w:tcPr>
          <w:p>
            <w:pPr>
              <w:pStyle w:val="10"/>
            </w:pPr>
            <w:r>
              <w:t>一般公共预算基本支出</w:t>
            </w: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46.53</w:t>
            </w:r>
          </w:p>
        </w:tc>
        <w:tc>
          <w:tcPr>
            <w:tcW w:w="1643" w:type="dxa"/>
            <w:vAlign w:val="center"/>
          </w:tcPr>
          <w:p>
            <w:pPr>
              <w:pStyle w:val="15"/>
            </w:pPr>
            <w:r>
              <w:t>39.91</w:t>
            </w:r>
          </w:p>
        </w:tc>
        <w:tc>
          <w:tcPr>
            <w:tcW w:w="1643" w:type="dxa"/>
            <w:vAlign w:val="center"/>
          </w:tcPr>
          <w:p>
            <w:pPr>
              <w:pStyle w:val="15"/>
            </w:pPr>
            <w:r>
              <w:t>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39.91</w:t>
            </w:r>
          </w:p>
        </w:tc>
        <w:tc>
          <w:tcPr>
            <w:tcW w:w="1643" w:type="dxa"/>
            <w:vAlign w:val="center"/>
          </w:tcPr>
          <w:p>
            <w:pPr>
              <w:pStyle w:val="13"/>
            </w:pPr>
            <w:r>
              <w:t>39.91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13.29</w:t>
            </w:r>
          </w:p>
        </w:tc>
        <w:tc>
          <w:tcPr>
            <w:tcW w:w="1643" w:type="dxa"/>
            <w:vAlign w:val="center"/>
          </w:tcPr>
          <w:p>
            <w:pPr>
              <w:pStyle w:val="13"/>
            </w:pPr>
            <w:r>
              <w:t>13.29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8.57</w:t>
            </w:r>
          </w:p>
        </w:tc>
        <w:tc>
          <w:tcPr>
            <w:tcW w:w="1643" w:type="dxa"/>
            <w:vAlign w:val="center"/>
          </w:tcPr>
          <w:p>
            <w:pPr>
              <w:pStyle w:val="13"/>
            </w:pPr>
            <w:r>
              <w:t>8.57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8.29</w:t>
            </w:r>
          </w:p>
        </w:tc>
        <w:tc>
          <w:tcPr>
            <w:tcW w:w="1643" w:type="dxa"/>
            <w:vAlign w:val="center"/>
          </w:tcPr>
          <w:p>
            <w:pPr>
              <w:pStyle w:val="13"/>
            </w:pPr>
            <w:r>
              <w:t>8.29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5.73</w:t>
            </w:r>
          </w:p>
        </w:tc>
        <w:tc>
          <w:tcPr>
            <w:tcW w:w="1643" w:type="dxa"/>
            <w:vAlign w:val="center"/>
          </w:tcPr>
          <w:p>
            <w:pPr>
              <w:pStyle w:val="13"/>
            </w:pPr>
            <w:r>
              <w:t>5.73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3"/>
            </w:pPr>
            <w:r>
              <w:t>0.96</w:t>
            </w:r>
          </w:p>
        </w:tc>
        <w:tc>
          <w:tcPr>
            <w:tcW w:w="1643" w:type="dxa"/>
            <w:vAlign w:val="center"/>
          </w:tcPr>
          <w:p>
            <w:pPr>
              <w:pStyle w:val="13"/>
            </w:pPr>
            <w:r>
              <w:t>0.96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2.97</w:t>
            </w:r>
          </w:p>
        </w:tc>
        <w:tc>
          <w:tcPr>
            <w:tcW w:w="1643" w:type="dxa"/>
            <w:vAlign w:val="center"/>
          </w:tcPr>
          <w:p>
            <w:pPr>
              <w:pStyle w:val="13"/>
            </w:pPr>
            <w:r>
              <w:t>2.97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0.10</w:t>
            </w:r>
          </w:p>
        </w:tc>
        <w:tc>
          <w:tcPr>
            <w:tcW w:w="1643" w:type="dxa"/>
            <w:vAlign w:val="center"/>
          </w:tcPr>
          <w:p>
            <w:pPr>
              <w:pStyle w:val="13"/>
            </w:pPr>
            <w:r>
              <w:t>0.10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6.62</w:t>
            </w:r>
          </w:p>
        </w:tc>
        <w:tc>
          <w:tcPr>
            <w:tcW w:w="1643" w:type="dxa"/>
            <w:vAlign w:val="center"/>
          </w:tcPr>
          <w:p>
            <w:pPr>
              <w:pStyle w:val="13"/>
            </w:pPr>
          </w:p>
        </w:tc>
        <w:tc>
          <w:tcPr>
            <w:tcW w:w="1643" w:type="dxa"/>
            <w:vAlign w:val="center"/>
          </w:tcPr>
          <w:p>
            <w:pPr>
              <w:pStyle w:val="13"/>
            </w:pPr>
            <w:r>
              <w:t>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2.08</w:t>
            </w:r>
          </w:p>
        </w:tc>
        <w:tc>
          <w:tcPr>
            <w:tcW w:w="1643" w:type="dxa"/>
            <w:vAlign w:val="center"/>
          </w:tcPr>
          <w:p>
            <w:pPr>
              <w:pStyle w:val="13"/>
            </w:pPr>
          </w:p>
        </w:tc>
        <w:tc>
          <w:tcPr>
            <w:tcW w:w="1643" w:type="dxa"/>
            <w:vAlign w:val="center"/>
          </w:tcPr>
          <w:p>
            <w:pPr>
              <w:pStyle w:val="13"/>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2.54</w:t>
            </w:r>
          </w:p>
        </w:tc>
        <w:tc>
          <w:tcPr>
            <w:tcW w:w="1643" w:type="dxa"/>
            <w:vAlign w:val="center"/>
          </w:tcPr>
          <w:p>
            <w:pPr>
              <w:pStyle w:val="13"/>
            </w:pPr>
          </w:p>
        </w:tc>
        <w:tc>
          <w:tcPr>
            <w:tcW w:w="1643" w:type="dxa"/>
            <w:vAlign w:val="center"/>
          </w:tcPr>
          <w:p>
            <w:pPr>
              <w:pStyle w:val="13"/>
            </w:pPr>
            <w:r>
              <w:t>2.54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286" w:type="dxa"/>
            <w:gridSpan w:val="2"/>
            <w:tcBorders>
              <w:top w:val="single" w:color="FFFFFF" w:sz="6" w:space="0"/>
              <w:left w:val="single" w:color="FFFFFF" w:sz="6" w:space="0"/>
              <w:right w:val="single" w:color="FFFFFF" w:sz="6" w:space="0"/>
            </w:tcBorders>
          </w:tcPr>
          <w:p>
            <w:pPr>
              <w:pStyle w:val="8"/>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286" w:type="dxa"/>
            <w:gridSpan w:val="2"/>
            <w:tcBorders>
              <w:top w:val="single" w:color="FFFFFF" w:sz="6" w:space="0"/>
              <w:left w:val="single" w:color="FFFFFF" w:sz="6" w:space="0"/>
              <w:right w:val="single" w:color="FFFFFF" w:sz="6" w:space="0"/>
            </w:tcBorders>
          </w:tcPr>
          <w:p>
            <w:pPr>
              <w:pStyle w:val="8"/>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Align w:val="center"/>
          </w:tcPr>
          <w:p>
            <w:pPr>
              <w:pStyle w:val="10"/>
            </w:pPr>
            <w:r>
              <w:t>功能分类科目</w:t>
            </w:r>
          </w:p>
        </w:tc>
        <w:tc>
          <w:tcPr>
            <w:tcW w:w="1643" w:type="dxa"/>
          </w:tcP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6" w:type="dxa"/>
            <w:gridSpan w:val="2"/>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3286" w:type="dxa"/>
            <w:gridSpan w:val="2"/>
            <w:tcBorders>
              <w:top w:val="single" w:color="FFFFFF" w:sz="6" w:space="0"/>
              <w:left w:val="single" w:color="FFFFFF" w:sz="6" w:space="0"/>
              <w:right w:val="single" w:color="FFFFFF" w:sz="6" w:space="0"/>
            </w:tcBorders>
          </w:tcPr>
          <w:p>
            <w:pPr>
              <w:pStyle w:val="8"/>
            </w:pPr>
            <w:r>
              <w:t>预算年度：2023</w:t>
            </w:r>
          </w:p>
        </w:tc>
        <w:tc>
          <w:tcPr>
            <w:tcW w:w="1643" w:type="dxa"/>
            <w:tcBorders>
              <w:top w:val="single" w:color="FFFFFF" w:sz="6" w:space="0"/>
              <w:left w:val="single" w:color="FFFFFF" w:sz="6" w:space="0"/>
              <w:right w:val="single" w:color="FFFFFF" w:sz="6" w:space="0"/>
            </w:tcBorders>
            <w:vAlign w:val="center"/>
          </w:tcPr>
          <w:p>
            <w:pPr>
              <w:pStyle w:val="9"/>
            </w:pPr>
            <w:r>
              <w:t>单位：万元</w:t>
            </w:r>
          </w:p>
        </w:tc>
        <w:tc>
          <w:tcPr>
            <w:tcW w:w="164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1643" w:type="dxa"/>
            <w:vAlign w:val="center"/>
          </w:tcPr>
          <w:p>
            <w:pPr>
              <w:pStyle w:val="10"/>
            </w:pPr>
            <w:r>
              <w:t>资 金 性 质</w:t>
            </w:r>
          </w:p>
        </w:tc>
        <w:tc>
          <w:tcPr>
            <w:tcW w:w="1643" w:type="dxa"/>
          </w:tcPr>
          <w:p/>
        </w:tc>
        <w:tc>
          <w:tcPr>
            <w:tcW w:w="1643"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中国共产主义青年团无极县委员会本级2023年单位预算信息公开情况说明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、《地方预决算公开操作规程》和《关于进一步推进预算公开工作的实施意见》规定，现将中国共产主义青年团无极县委员会本级2023年单位预算公开如下：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1、行使共青团无极县委赋予的领导无极县共青团工作，指导全县少先队工作的职权。</w:t>
      </w:r>
    </w:p>
    <w:p>
      <w:pPr>
        <w:pStyle w:val="17"/>
      </w:pPr>
      <w:r>
        <w:t>2、参与制定全县的青少年事业发展规划和青少年工作方针、政策。对青少年活动阵地和青少年服务机构的建设等事务进行规划和管理。</w:t>
      </w:r>
    </w:p>
    <w:p>
      <w:pPr>
        <w:pStyle w:val="17"/>
      </w:pPr>
      <w:r>
        <w:t>3、参与全县有关青少年事务的法律、地方性法规的制定和实施，协助县委和县政府处理、协调与青少年利益相关的事务。</w:t>
      </w:r>
    </w:p>
    <w:p>
      <w:pPr>
        <w:pStyle w:val="17"/>
      </w:pPr>
      <w:r>
        <w:t>4、调查青少年思想动态和青少年工作状况，研究青少年工作理论和思想教育问题，提出相应对策，开展各种活动。</w:t>
      </w:r>
    </w:p>
    <w:p>
      <w:pPr>
        <w:pStyle w:val="17"/>
      </w:pPr>
      <w:r>
        <w:t>5、协助县政府教育部门做好中，小学学生的教育管理工作，维护学校稳定和社会安定团结。</w:t>
      </w:r>
    </w:p>
    <w:p>
      <w:pPr>
        <w:pStyle w:val="17"/>
      </w:pPr>
      <w:r>
        <w:t>6、在国家建设中，组织和带领青年发挥生力军和突击队作用。</w:t>
      </w:r>
    </w:p>
    <w:p>
      <w:pPr>
        <w:pStyle w:val="17"/>
      </w:pPr>
      <w:r>
        <w:t>7、参与制定有关全县的青年统战工作的政策，做好青年统战对象的团结教育工作，维护和促进祖国统一和民族团结。</w:t>
      </w:r>
    </w:p>
    <w:p>
      <w:pPr>
        <w:pStyle w:val="17"/>
      </w:pPr>
      <w:r>
        <w:t>8、承担县委、县政府和团市委交办的有关事项。</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中国共产主义青年团无极县委员会本级</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w:t>
      </w:r>
    </w:p>
    <w:p>
      <w:pPr>
        <w:pStyle w:val="18"/>
      </w:pPr>
      <w:r>
        <w:rPr>
          <w:rFonts w:hint="eastAsia"/>
          <w:lang w:val="en-US" w:eastAsia="zh-CN"/>
        </w:rPr>
        <w:t>1</w:t>
      </w:r>
      <w:r>
        <w:t>、收入说明</w:t>
      </w:r>
    </w:p>
    <w:p>
      <w:pPr>
        <w:pStyle w:val="18"/>
      </w:pPr>
      <w:r>
        <w:t>反映本</w:t>
      </w:r>
      <w:r>
        <w:rPr>
          <w:rFonts w:hint="eastAsia"/>
          <w:lang w:val="en-US" w:eastAsia="zh-CN"/>
        </w:rPr>
        <w:t>单位</w:t>
      </w:r>
      <w:r>
        <w:t>当年全部收入。2023年</w:t>
      </w:r>
      <w:r>
        <w:rPr>
          <w:rFonts w:hint="eastAsia"/>
          <w:lang w:val="en-US" w:eastAsia="zh-CN"/>
        </w:rPr>
        <w:t>单位</w:t>
      </w:r>
      <w:r>
        <w:t>预算收入48.53</w:t>
      </w:r>
      <w:r>
        <w:rPr>
          <w:rFonts w:hint="eastAsia"/>
          <w:lang w:val="en-US" w:eastAsia="zh-CN"/>
        </w:rPr>
        <w:t>万</w:t>
      </w:r>
      <w:r>
        <w:t>元，其中：一般公共预算收入48.53万元，基金预算收入0万元，财政专户核拨收入0万元，其他来源收入0万元。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收支预算总表支出栏、基本支出表、项目支出表按经济分类和支出功能分类科目编制，反映中国共产主义青年团无极县委员会</w:t>
      </w:r>
      <w:r>
        <w:rPr>
          <w:rFonts w:hint="eastAsia"/>
          <w:lang w:val="en-US" w:eastAsia="zh-CN"/>
        </w:rPr>
        <w:t>单位</w:t>
      </w:r>
      <w:r>
        <w:t>预算中支出预算的总体情况。2023年</w:t>
      </w:r>
      <w:r>
        <w:rPr>
          <w:rFonts w:hint="eastAsia"/>
          <w:lang w:val="en-US" w:eastAsia="zh-CN"/>
        </w:rPr>
        <w:t>单位</w:t>
      </w:r>
      <w:r>
        <w:t>支出预算为48.53万元，其中基本支出4</w:t>
      </w:r>
      <w:r>
        <w:rPr>
          <w:rFonts w:hint="eastAsia"/>
          <w:lang w:val="en-US" w:eastAsia="zh-CN"/>
        </w:rPr>
        <w:t>6</w:t>
      </w:r>
      <w:r>
        <w:t>.53万元，包括人员经费39.91万元和日常公用经费6.62万元；项目支出2万元，主要为五四活动和志愿服务支出2万元。</w:t>
      </w:r>
    </w:p>
    <w:p>
      <w:pPr>
        <w:pStyle w:val="18"/>
      </w:pPr>
      <w:r>
        <w:t>3、比上年增减情况</w:t>
      </w:r>
    </w:p>
    <w:p>
      <w:pPr>
        <w:pStyle w:val="19"/>
      </w:pPr>
      <w:r>
        <w:t>2023年</w:t>
      </w:r>
      <w:r>
        <w:rPr>
          <w:rFonts w:hint="eastAsia"/>
          <w:lang w:val="en-US" w:eastAsia="zh-CN"/>
        </w:rPr>
        <w:t>单位</w:t>
      </w:r>
      <w:r>
        <w:t>预算支出较2022年增加</w:t>
      </w:r>
      <w:r>
        <w:rPr>
          <w:rFonts w:hint="eastAsia"/>
          <w:lang w:val="en-US" w:eastAsia="zh-CN"/>
        </w:rPr>
        <w:t>0.24</w:t>
      </w:r>
      <w:r>
        <w:t>万元，其中：基本支出增加</w:t>
      </w:r>
      <w:r>
        <w:rPr>
          <w:rFonts w:hint="eastAsia"/>
          <w:lang w:val="en-US" w:eastAsia="zh-CN"/>
        </w:rPr>
        <w:t>0.24</w:t>
      </w:r>
      <w:r>
        <w:t>万元，主要是人员经费增加；项目支出</w:t>
      </w:r>
      <w:r>
        <w:rPr>
          <w:rFonts w:hint="eastAsia"/>
          <w:lang w:val="en-US" w:eastAsia="zh-CN"/>
        </w:rPr>
        <w:t>增加0</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ind w:left="0" w:leftChars="0" w:firstLine="560" w:firstLineChars="200"/>
      </w:pPr>
      <w:r>
        <w:t>2023年，我</w:t>
      </w:r>
      <w:r>
        <w:rPr>
          <w:rFonts w:hint="eastAsia"/>
          <w:lang w:val="en-US" w:eastAsia="zh-CN"/>
        </w:rPr>
        <w:t>单位</w:t>
      </w:r>
      <w:r>
        <w:t>机关运行经费共计安排6.62万元 ，主要用于保证机关正常运转的办公及印刷费、邮电费、差旅费、一般设备购置费、办公用房电费、日常维修费等支出。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ind w:left="0" w:leftChars="0" w:firstLine="560" w:firstLineChars="200"/>
        <w:rPr>
          <w:rFonts w:hint="eastAsia" w:eastAsia="方正仿宋_GBK"/>
          <w:lang w:val="en-US" w:eastAsia="zh-CN"/>
        </w:rPr>
      </w:pPr>
      <w:r>
        <w:t>2023年，我</w:t>
      </w:r>
      <w:r>
        <w:rPr>
          <w:rFonts w:hint="eastAsia"/>
          <w:lang w:val="en-US" w:eastAsia="zh-CN"/>
        </w:rPr>
        <w:t>单位</w:t>
      </w:r>
      <w:r>
        <w:t>财政拨款“三公”经费预算安排0万元，其中：因公出国（境）费0万元；公务用车购置及运维费0万元（其中：公务用车购置费0万元，公务用车运行维护费0万元)。其中公务接待费0万元。</w:t>
      </w:r>
      <w:r>
        <w:rPr>
          <w:rFonts w:hint="eastAsia"/>
        </w:rPr>
        <w:t>本单位因今年没有安排因公出国（境），本单位没有公车，今年也没有产生接待费，所以与202</w:t>
      </w:r>
      <w:r>
        <w:rPr>
          <w:rFonts w:hint="eastAsia"/>
          <w:lang w:val="en-US" w:eastAsia="zh-CN"/>
        </w:rPr>
        <w:t>2</w:t>
      </w:r>
      <w:r>
        <w:rPr>
          <w:rFonts w:hint="eastAsia"/>
        </w:rPr>
        <w:t>年相比持平无增减变化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1、2023年青少年工作经费绩效目标表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rPr>
                <w:rFonts w:hint="eastAsia" w:eastAsia="方正书宋_GBK"/>
                <w:lang w:val="en-US" w:eastAsia="zh-CN"/>
              </w:rPr>
            </w:pPr>
            <w:r>
              <w:t>1.目标内容</w:t>
            </w:r>
            <w:r>
              <w:rPr>
                <w:rFonts w:hint="eastAsia"/>
                <w:lang w:val="en-US" w:eastAsia="zh-CN"/>
              </w:rPr>
              <w:t>;</w:t>
            </w:r>
            <w:r>
              <w:rPr>
                <w:rFonts w:hint="eastAsia"/>
              </w:rPr>
              <w:t>推进青少年思想道德教育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团干部教育和培训覆盖率</w:t>
            </w:r>
          </w:p>
        </w:tc>
        <w:tc>
          <w:tcPr>
            <w:tcW w:w="2466" w:type="dxa"/>
            <w:vAlign w:val="center"/>
          </w:tcPr>
          <w:p>
            <w:pPr>
              <w:pStyle w:val="12"/>
            </w:pPr>
            <w:r>
              <w:t>反映对团干部培训人数占总数的比率</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青年志愿者队伍建设</w:t>
            </w:r>
          </w:p>
        </w:tc>
        <w:tc>
          <w:tcPr>
            <w:tcW w:w="2466" w:type="dxa"/>
            <w:vAlign w:val="center"/>
          </w:tcPr>
          <w:p>
            <w:pPr>
              <w:pStyle w:val="12"/>
            </w:pPr>
            <w:r>
              <w:t>反映新增注册志愿者占注册志愿者总数的比率</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及时性</w:t>
            </w:r>
          </w:p>
        </w:tc>
        <w:tc>
          <w:tcPr>
            <w:tcW w:w="2466" w:type="dxa"/>
            <w:vAlign w:val="center"/>
          </w:tcPr>
          <w:p>
            <w:pPr>
              <w:pStyle w:val="12"/>
            </w:pPr>
            <w:r>
              <w:t>及时性</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按总成本控制</w:t>
            </w:r>
          </w:p>
        </w:tc>
        <w:tc>
          <w:tcPr>
            <w:tcW w:w="2466" w:type="dxa"/>
            <w:vAlign w:val="center"/>
          </w:tcPr>
          <w:p>
            <w:pPr>
              <w:pStyle w:val="12"/>
            </w:pPr>
            <w:r>
              <w:t>按总成本控制</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青少年参加纪念“五四”、“六一”等各类思想引导类活动的满意度</w:t>
            </w:r>
          </w:p>
        </w:tc>
        <w:tc>
          <w:tcPr>
            <w:tcW w:w="2466" w:type="dxa"/>
            <w:vAlign w:val="center"/>
          </w:tcPr>
          <w:p>
            <w:pPr>
              <w:pStyle w:val="12"/>
            </w:pPr>
            <w:r>
              <w:t>反应思想引导对象满意数占总数的比例</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经济效益指标</w:t>
            </w:r>
          </w:p>
        </w:tc>
        <w:tc>
          <w:tcPr>
            <w:tcW w:w="2466" w:type="dxa"/>
            <w:vAlign w:val="center"/>
          </w:tcPr>
          <w:p>
            <w:pPr>
              <w:pStyle w:val="12"/>
            </w:pPr>
            <w:r>
              <w:t>成本利用率</w:t>
            </w:r>
          </w:p>
        </w:tc>
        <w:tc>
          <w:tcPr>
            <w:tcW w:w="2466" w:type="dxa"/>
            <w:vAlign w:val="center"/>
          </w:tcPr>
          <w:p>
            <w:pPr>
              <w:pStyle w:val="12"/>
            </w:pPr>
            <w:r>
              <w:t>成本利用率</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生态效益指标</w:t>
            </w:r>
          </w:p>
        </w:tc>
        <w:tc>
          <w:tcPr>
            <w:tcW w:w="2466" w:type="dxa"/>
            <w:vAlign w:val="center"/>
          </w:tcPr>
          <w:p>
            <w:pPr>
              <w:pStyle w:val="12"/>
            </w:pPr>
            <w:r>
              <w:t>促进生态文明建设，推动绿色发展</w:t>
            </w:r>
          </w:p>
        </w:tc>
        <w:tc>
          <w:tcPr>
            <w:tcW w:w="2466" w:type="dxa"/>
            <w:vAlign w:val="center"/>
          </w:tcPr>
          <w:p>
            <w:pPr>
              <w:pStyle w:val="12"/>
            </w:pPr>
            <w:r>
              <w:t>促进生态文明建设，推动绿色发展和绿色生活方式</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可持续影响指标</w:t>
            </w:r>
          </w:p>
        </w:tc>
        <w:tc>
          <w:tcPr>
            <w:tcW w:w="2466" w:type="dxa"/>
            <w:vAlign w:val="center"/>
          </w:tcPr>
          <w:p>
            <w:pPr>
              <w:pStyle w:val="12"/>
            </w:pPr>
            <w:r>
              <w:t>办理人群体验度(%)</w:t>
            </w:r>
          </w:p>
        </w:tc>
        <w:tc>
          <w:tcPr>
            <w:tcW w:w="2466" w:type="dxa"/>
            <w:vAlign w:val="center"/>
          </w:tcPr>
          <w:p>
            <w:pPr>
              <w:pStyle w:val="12"/>
            </w:pPr>
            <w:r>
              <w:t>办理人群体验度(%)</w:t>
            </w:r>
          </w:p>
        </w:tc>
        <w:tc>
          <w:tcPr>
            <w:tcW w:w="2466" w:type="dxa"/>
            <w:vAlign w:val="center"/>
          </w:tcPr>
          <w:p>
            <w:pPr>
              <w:pStyle w:val="12"/>
            </w:pPr>
            <w:r>
              <w:t>≥90</w:t>
            </w:r>
          </w:p>
        </w:tc>
        <w:tc>
          <w:tcPr>
            <w:tcW w:w="246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构建和完善维护青少年发展权益的机制化、社会化、专业化工作体系</w:t>
            </w:r>
          </w:p>
        </w:tc>
        <w:tc>
          <w:tcPr>
            <w:tcW w:w="2466" w:type="dxa"/>
            <w:vAlign w:val="center"/>
          </w:tcPr>
          <w:p>
            <w:pPr>
              <w:pStyle w:val="12"/>
            </w:pPr>
            <w:r>
              <w:t>≥90</w:t>
            </w:r>
          </w:p>
        </w:tc>
        <w:tc>
          <w:tcPr>
            <w:tcW w:w="246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2023年，中国共产主义青年团无极县委员会本级安排政府采购预算0.00万元。具体内容见下表。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544" w:type="dxa"/>
            <w:gridSpan w:val="6"/>
            <w:tcBorders>
              <w:top w:val="single" w:color="FFFFFF" w:sz="6" w:space="0"/>
              <w:left w:val="single" w:color="FFFFFF" w:sz="6" w:space="0"/>
              <w:right w:val="single" w:color="FFFFFF" w:sz="6" w:space="0"/>
            </w:tcBorders>
            <w:vAlign w:val="center"/>
          </w:tcPr>
          <w:p>
            <w:pPr>
              <w:rPr>
                <w:b/>
                <w:bCs/>
              </w:rPr>
            </w:pPr>
            <w:r>
              <w:rPr>
                <w:b/>
                <w:bCs/>
              </w:rPr>
              <w:t>712001中国共产主义青年团无极县委员会本级</w:t>
            </w:r>
          </w:p>
        </w:tc>
        <w:tc>
          <w:tcPr>
            <w:tcW w:w="1848" w:type="dxa"/>
            <w:gridSpan w:val="2"/>
            <w:tcBorders>
              <w:top w:val="single" w:color="FFFFFF" w:sz="6" w:space="0"/>
              <w:left w:val="single" w:color="FFFFFF" w:sz="6" w:space="0"/>
              <w:right w:val="single" w:color="FFFFFF" w:sz="6" w:space="0"/>
            </w:tcBorders>
          </w:tcPr>
          <w:p>
            <w:pPr>
              <w:pStyle w:val="22"/>
              <w:rPr>
                <w:b/>
                <w:bCs/>
              </w:rPr>
            </w:pPr>
            <w:r>
              <w:rPr>
                <w:b/>
                <w:bCs/>
              </w:rP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政府采购项目来源</w:t>
            </w:r>
          </w:p>
        </w:tc>
        <w:tc>
          <w:tcPr>
            <w:tcW w:w="924" w:type="dxa"/>
          </w:tcP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924" w:type="dxa"/>
            <w:vAlign w:val="center"/>
          </w:tcPr>
          <w:p>
            <w:pPr>
              <w:pStyle w:val="10"/>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中国共产主义青年团无极县委员会本级上年末固定资产金额为7.71万元（详见下表）。本年度拟购置固定资产总额为0.00万元。</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712001中国共产主义青年团无极县委员会本级</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2"/>
            </w:pPr>
            <w:r>
              <w:t>4、其他固定资产</w:t>
            </w:r>
          </w:p>
        </w:tc>
        <w:tc>
          <w:tcPr>
            <w:tcW w:w="4933" w:type="dxa"/>
            <w:vAlign w:val="center"/>
          </w:tcPr>
          <w:p>
            <w:pPr>
              <w:pStyle w:val="11"/>
            </w:pPr>
            <w:r>
              <w:t>30</w:t>
            </w:r>
          </w:p>
        </w:tc>
        <w:tc>
          <w:tcPr>
            <w:tcW w:w="4933" w:type="dxa"/>
            <w:vAlign w:val="center"/>
          </w:tcPr>
          <w:p>
            <w:pPr>
              <w:pStyle w:val="13"/>
            </w:pPr>
            <w:r>
              <w:t>7.71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0F543707"/>
    <w:rsid w:val="0F543707"/>
    <w:rsid w:val="13ED7B74"/>
    <w:rsid w:val="1A093BEE"/>
    <w:rsid w:val="1E21220E"/>
    <w:rsid w:val="3F771E3B"/>
    <w:rsid w:val="48A42293"/>
    <w:rsid w:val="585A518F"/>
    <w:rsid w:val="58AF280D"/>
    <w:rsid w:val="69E83A2E"/>
    <w:rsid w:val="6F187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ind w:firstLine="560"/>
    </w:pPr>
    <w:rPr>
      <w:rFonts w:eastAsia="方正仿宋_GBK" w:cs="Times New Roman"/>
      <w:color w:val="000000"/>
      <w:sz w:val="28"/>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2023-08-01T01:49:00Z</dcterms:created>
  <dc:creator>Administrator</dc:creator>
  <cp:lastModifiedBy>Administrator</cp:lastModifiedBy>
  <dcterms:modified xsi:type="dcterms:W3CDTF">2024-01-04T06:28:48Z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33E0F1E0057A4FAB9889E5FCB56F916D</vt:lpwstr>
  </property>
</Properties>
</file>