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b/>
          <w:sz w:val="44"/>
          <w:szCs w:val="44"/>
        </w:rPr>
      </w:pPr>
      <w:r>
        <w:rPr>
          <w:rFonts w:hint="eastAsia" w:ascii="宋体" w:hAnsi="宋体"/>
          <w:b/>
          <w:sz w:val="44"/>
          <w:szCs w:val="44"/>
        </w:rPr>
        <w:t>关于2020年财政预算执行情况及2021年</w:t>
      </w:r>
    </w:p>
    <w:p>
      <w:pPr>
        <w:spacing w:line="560" w:lineRule="exact"/>
        <w:jc w:val="center"/>
        <w:rPr>
          <w:rFonts w:ascii="宋体" w:hAnsi="宋体"/>
          <w:b/>
          <w:sz w:val="44"/>
          <w:szCs w:val="44"/>
        </w:rPr>
      </w:pPr>
      <w:r>
        <w:rPr>
          <w:rFonts w:hint="eastAsia" w:ascii="宋体" w:hAnsi="宋体"/>
          <w:b/>
          <w:sz w:val="44"/>
          <w:szCs w:val="44"/>
        </w:rPr>
        <w:t>财政预算草案的报告</w:t>
      </w:r>
    </w:p>
    <w:p>
      <w:pPr>
        <w:pStyle w:val="2"/>
        <w:ind w:firstLine="0" w:firstLineChars="0"/>
        <w:jc w:val="center"/>
        <w:rPr>
          <w:rFonts w:hint="default"/>
        </w:rPr>
      </w:pPr>
      <w:r>
        <w:rPr>
          <w:rFonts w:ascii="宋体" w:hAnsi="宋体"/>
          <w:b/>
          <w:sz w:val="32"/>
          <w:szCs w:val="32"/>
        </w:rPr>
        <w:t>（征求意见稿）</w:t>
      </w:r>
    </w:p>
    <w:p>
      <w:pPr>
        <w:spacing w:line="560" w:lineRule="exact"/>
        <w:jc w:val="center"/>
        <w:rPr>
          <w:rFonts w:ascii="宋体" w:hAnsi="宋体"/>
          <w:b/>
          <w:sz w:val="30"/>
          <w:szCs w:val="30"/>
        </w:rPr>
      </w:pPr>
      <w:r>
        <w:rPr>
          <w:rFonts w:hint="eastAsia" w:ascii="宋体" w:hAnsi="宋体"/>
          <w:b/>
          <w:sz w:val="30"/>
          <w:szCs w:val="30"/>
        </w:rPr>
        <w:t>-</w:t>
      </w:r>
      <w:r>
        <w:rPr>
          <w:rFonts w:hint="eastAsia" w:ascii="楷体_GB2312" w:hAnsi="宋体" w:eastAsia="楷体_GB2312"/>
          <w:sz w:val="30"/>
          <w:szCs w:val="30"/>
        </w:rPr>
        <w:t>2021年3月8日在无极县第十六届人民代表大会第六次会议上</w:t>
      </w:r>
    </w:p>
    <w:p>
      <w:pPr>
        <w:spacing w:line="560" w:lineRule="exact"/>
        <w:jc w:val="center"/>
        <w:rPr>
          <w:rFonts w:ascii="楷体_GB2312" w:hAnsi="宋体" w:eastAsia="楷体_GB2312"/>
          <w:sz w:val="32"/>
          <w:szCs w:val="32"/>
        </w:rPr>
      </w:pPr>
      <w:r>
        <w:rPr>
          <w:rFonts w:hint="eastAsia" w:ascii="楷体_GB2312" w:hAnsi="宋体" w:eastAsia="楷体_GB2312"/>
          <w:sz w:val="32"/>
          <w:szCs w:val="32"/>
        </w:rPr>
        <w:t>县财政局局长   刘亚飞</w:t>
      </w:r>
    </w:p>
    <w:p>
      <w:pPr>
        <w:spacing w:line="560" w:lineRule="exact"/>
        <w:rPr>
          <w:rFonts w:ascii="仿宋_GB2312" w:eastAsia="仿宋_GB2312"/>
          <w:sz w:val="32"/>
          <w:szCs w:val="32"/>
        </w:rPr>
      </w:pPr>
      <w:r>
        <w:rPr>
          <w:rFonts w:hint="eastAsia" w:ascii="仿宋_GB2312" w:hAnsi="宋体" w:eastAsia="仿宋_GB2312"/>
          <w:sz w:val="32"/>
          <w:szCs w:val="32"/>
        </w:rPr>
        <w:t>各位代表</w:t>
      </w:r>
      <w:r>
        <w:rPr>
          <w:rFonts w:hint="eastAsia" w:ascii="仿宋_GB2312" w:eastAsia="仿宋_GB2312"/>
          <w:sz w:val="32"/>
          <w:szCs w:val="32"/>
        </w:rPr>
        <w:t>：</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受县人民政府委托，我向大会报告2020年预算执行情况和2021年预算草案，请予审议，并请各位政协委员和列席人员提出意见。</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一、2020年预算执行情况</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2020年是全面建成小康社会、决战决胜脱贫攻坚和“十三五”规划收官之年。面对突如其来的新冠肺炎疫情，财税工作以习近平新时代中国特色社会主义思想为指导，坚决贯彻落实党的十九大和十九届二中、三中、四中、五中全会精神以及省市县决策部署，认真贯彻落实县人大各项决议，紧盯</w:t>
      </w:r>
      <w:r>
        <w:rPr>
          <w:rFonts w:hint="eastAsia" w:ascii="仿宋_GB2312" w:hAnsi="宋体" w:eastAsia="仿宋_GB2312"/>
          <w:sz w:val="32"/>
          <w:szCs w:val="32"/>
          <w:lang w:eastAsia="zh-CN"/>
        </w:rPr>
        <w:t>“六稳”、“六保”</w:t>
      </w:r>
      <w:r>
        <w:rPr>
          <w:rFonts w:hint="eastAsia" w:ascii="仿宋_GB2312" w:hAnsi="宋体" w:eastAsia="仿宋_GB2312"/>
          <w:sz w:val="32"/>
          <w:szCs w:val="32"/>
        </w:rPr>
        <w:t>重大任务，攻坚克难、砥砺奋进，继续不折不扣落实国家减税降费政策前提下，应收尽收，同时进一步优化支出结构，兜牢“三保”底线，深化财税改革，强化资金管理，着力化解财政运行风险，为无极各项事业建设和发展提供财力支撑。</w:t>
      </w:r>
    </w:p>
    <w:p>
      <w:pPr>
        <w:spacing w:line="560" w:lineRule="exact"/>
        <w:ind w:firstLine="643" w:firstLineChars="200"/>
        <w:rPr>
          <w:rFonts w:ascii="楷体_GB2312" w:hAnsi="宋体" w:eastAsia="楷体_GB2312"/>
          <w:b/>
          <w:sz w:val="32"/>
          <w:szCs w:val="32"/>
        </w:rPr>
      </w:pPr>
      <w:r>
        <w:rPr>
          <w:rFonts w:hint="eastAsia" w:ascii="楷体_GB2312" w:hAnsi="宋体" w:eastAsia="楷体_GB2312"/>
          <w:b/>
          <w:sz w:val="32"/>
          <w:szCs w:val="32"/>
        </w:rPr>
        <w:t>（一）一般公共预算执行情况</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全县一般公共预算收入完成83299万元，占年初预算104.6%，比上年增收7440万元，增长9.8%，增幅在全市排位第八名，超收3649万元，用于补充预算稳定调节基金。其中税收收入完成40523万元，占预算的73.1%，下降22.7%，主要是耕地占用税减少；非税收入完成42776万元，占年初预算的176.6 %，增长82.7%，主要是污水处理厂特许经营权转让和砂矿权出让收入增加收入较多。</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全县一般公共预算收入，加上地方政府债券收入、税收返还和转移支付补助、调入资金等，全县收入总计330709 万元；全县一般公共预算支出330709万元，其中：公教人员工资性支出70518万元，保运转经费11831万元，保基本民生81605万元，其他项目等支出166755万元，预算收支平衡。</w:t>
      </w:r>
    </w:p>
    <w:p>
      <w:pPr>
        <w:pStyle w:val="2"/>
        <w:ind w:firstLine="0" w:firstLineChars="0"/>
        <w:rPr>
          <w:rFonts w:hint="default"/>
        </w:rPr>
      </w:pPr>
    </w:p>
    <w:p>
      <w:pPr>
        <w:spacing w:line="560" w:lineRule="exact"/>
        <w:ind w:firstLine="643" w:firstLineChars="200"/>
        <w:rPr>
          <w:rFonts w:ascii="楷体_GB2312" w:hAnsi="宋体" w:eastAsia="楷体_GB2312"/>
          <w:b/>
          <w:sz w:val="32"/>
          <w:szCs w:val="32"/>
        </w:rPr>
      </w:pPr>
      <w:r>
        <w:rPr>
          <w:rFonts w:hint="eastAsia" w:ascii="楷体_GB2312" w:hAnsi="宋体" w:eastAsia="楷体_GB2312"/>
          <w:b/>
          <w:sz w:val="32"/>
          <w:szCs w:val="32"/>
        </w:rPr>
        <w:t>（二）政府性基金预算执行情况</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全县政府性基金收入完成188704万元，其中县本级收入完成125387万元，占年初预算的 98.4%，增长120.3 %，其中土地出让收入117111万元；新增政府专项债券收入56800万元；市级补助资金6455万元。</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政府性基金支出完成169881万元，其中征地拆迁补偿支出101164万元；债务还本支出3000万元；调入一般公共预算15555万元；结转下年支出268万元。全年收支平衡。</w:t>
      </w:r>
    </w:p>
    <w:p>
      <w:pPr>
        <w:spacing w:line="560" w:lineRule="exact"/>
        <w:ind w:firstLine="643" w:firstLineChars="200"/>
        <w:rPr>
          <w:rFonts w:ascii="楷体_GB2312" w:hAnsi="宋体" w:eastAsia="楷体_GB2312"/>
          <w:b/>
          <w:sz w:val="32"/>
          <w:szCs w:val="32"/>
        </w:rPr>
      </w:pPr>
      <w:r>
        <w:rPr>
          <w:rFonts w:hint="eastAsia" w:ascii="楷体_GB2312" w:hAnsi="宋体" w:eastAsia="楷体_GB2312"/>
          <w:b/>
          <w:sz w:val="32"/>
          <w:szCs w:val="32"/>
        </w:rPr>
        <w:t>（三）国有资本经营预算执行情况</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年初安排国有资本经营预算18400万元，是城市综合污水处理厂和皮革供水集中处理厂特许经营权出让收入，当年列入一般公共预算未在国有资本经营预算中反映。</w:t>
      </w:r>
    </w:p>
    <w:p>
      <w:pPr>
        <w:spacing w:line="560" w:lineRule="exact"/>
        <w:ind w:firstLine="643" w:firstLineChars="200"/>
        <w:rPr>
          <w:rFonts w:ascii="楷体_GB2312" w:hAnsi="宋体" w:eastAsia="楷体_GB2312"/>
          <w:b/>
          <w:sz w:val="32"/>
          <w:szCs w:val="32"/>
        </w:rPr>
      </w:pPr>
      <w:r>
        <w:rPr>
          <w:rFonts w:hint="eastAsia" w:ascii="楷体_GB2312" w:hAnsi="宋体" w:eastAsia="楷体_GB2312"/>
          <w:b/>
          <w:sz w:val="32"/>
          <w:szCs w:val="32"/>
        </w:rPr>
        <w:t>（四）社会保险基金预算执行情况</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全县收入完成80257万元（主要包括职工基本医疗保险、城乡居民基本养老保险、机关事业单位基本养老保险、城乡居民基本医疗保险），增长9.2%；支出完成69053万元，下降8%。收支相抵，年末滚存结余63427万元。</w:t>
      </w:r>
    </w:p>
    <w:p>
      <w:pPr>
        <w:spacing w:line="56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（五）举借债务规模、结构、使用、偿还情况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2020年债务总限额337382万元，其中一般债务限额218689万元，专项债务限额118693万元。</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截止2020年底，全县政府债务余额293043万元，其中一般债券180343万元，专项债券112700万元。比上年新增加80600万元，其中一般债券23800万元，专项债券56800万元。主要用于</w:t>
      </w:r>
      <w:r>
        <w:rPr>
          <w:rFonts w:hint="eastAsia" w:ascii="仿宋_GB2312" w:hAnsi="仿宋" w:eastAsia="仿宋_GB2312" w:cs="仿宋"/>
          <w:sz w:val="32"/>
          <w:szCs w:val="32"/>
        </w:rPr>
        <w:t>基础设施、城区综合整治、污染治理、医疗健康、滹沱河河道村庄防洪和</w:t>
      </w:r>
      <w:r>
        <w:rPr>
          <w:rFonts w:hint="eastAsia" w:ascii="仿宋_GB2312" w:eastAsia="仿宋_GB2312"/>
          <w:sz w:val="32"/>
          <w:szCs w:val="32"/>
        </w:rPr>
        <w:t>滹沱河生态修复二期工程。</w:t>
      </w:r>
    </w:p>
    <w:p>
      <w:pPr>
        <w:spacing w:line="560" w:lineRule="exact"/>
        <w:ind w:firstLine="640" w:firstLineChars="200"/>
        <w:rPr>
          <w:rFonts w:hint="eastAsia" w:ascii="仿宋_GB2312" w:hAnsi="宋体" w:eastAsia="仿宋_GB2312"/>
          <w:sz w:val="32"/>
          <w:szCs w:val="32"/>
        </w:rPr>
      </w:pPr>
      <w:r>
        <w:rPr>
          <w:rFonts w:hint="eastAsia" w:ascii="仿宋_GB2312" w:eastAsia="仿宋_GB2312"/>
          <w:sz w:val="32"/>
          <w:szCs w:val="32"/>
        </w:rPr>
        <w:t>2020年偿还本金8600万元，利息9366万元</w:t>
      </w:r>
      <w:r>
        <w:rPr>
          <w:rFonts w:hint="eastAsia" w:ascii="仿宋_GB2312" w:hAnsi="宋体" w:eastAsia="仿宋_GB2312"/>
          <w:sz w:val="32"/>
          <w:szCs w:val="32"/>
        </w:rPr>
        <w:t>。</w:t>
      </w:r>
    </w:p>
    <w:p>
      <w:pPr>
        <w:spacing w:line="560" w:lineRule="exact"/>
        <w:ind w:firstLine="640" w:firstLineChars="200"/>
        <w:rPr>
          <w:rFonts w:ascii="仿宋_GB2312" w:hAnsi="宋体" w:eastAsia="仿宋_GB2312"/>
          <w:sz w:val="32"/>
          <w:szCs w:val="32"/>
        </w:rPr>
      </w:pPr>
      <w:r>
        <w:rPr>
          <w:rFonts w:hint="eastAsia" w:ascii="仿宋_GB2312" w:eastAsia="仿宋_GB2312"/>
          <w:sz w:val="32"/>
          <w:szCs w:val="32"/>
        </w:rPr>
        <w:t>需要说明的是，根据河北省财政厅关于《2020年提前下达政府专项债券限额的通知》（冀财债[2020]10号），已显示我县成为政府专项债券风险提示地区，已无专项债券举债空间。</w:t>
      </w:r>
      <w:r>
        <w:rPr>
          <w:rFonts w:hint="eastAsia" w:ascii="仿宋_GB2312" w:hAnsi="宋体" w:eastAsia="仿宋_GB2312"/>
          <w:sz w:val="32"/>
          <w:szCs w:val="32"/>
        </w:rPr>
        <w:t>但总体来看我县债务风险可控。</w:t>
      </w:r>
    </w:p>
    <w:p>
      <w:pPr>
        <w:spacing w:line="560" w:lineRule="exact"/>
        <w:ind w:firstLine="640" w:firstLineChars="200"/>
      </w:pPr>
      <w:r>
        <w:rPr>
          <w:rFonts w:hint="eastAsia" w:ascii="黑体" w:hAnsi="黑体" w:eastAsia="黑体" w:cs="黑体"/>
          <w:sz w:val="32"/>
          <w:szCs w:val="32"/>
        </w:rPr>
        <w:t>二、落实县人大预算决议情况</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2020年以来，财税部门紧紧围绕县委、县人大的决策部署及工作要求，做好防疫、抗疫，助力企业复工复产，各项工作有序开展，并取得了较好成绩。</w:t>
      </w:r>
    </w:p>
    <w:p>
      <w:pPr>
        <w:spacing w:line="560" w:lineRule="exact"/>
        <w:ind w:firstLine="479" w:firstLineChars="149"/>
        <w:rPr>
          <w:rFonts w:ascii="楷体" w:hAnsi="楷体" w:eastAsia="楷体"/>
          <w:b/>
          <w:bCs/>
          <w:sz w:val="32"/>
          <w:szCs w:val="32"/>
        </w:rPr>
      </w:pPr>
      <w:r>
        <w:rPr>
          <w:rFonts w:hint="eastAsia" w:ascii="楷体" w:hAnsi="楷体" w:eastAsia="楷体"/>
          <w:b/>
          <w:bCs/>
          <w:sz w:val="32"/>
          <w:szCs w:val="32"/>
        </w:rPr>
        <w:t>（一）扎实做好“六稳”工作，落实“六保”任务</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深入贯彻党中央、国务院及省市做好疫情期间工作的重要部署，扎实做好“六稳”、“六保”工作。</w:t>
      </w:r>
    </w:p>
    <w:p>
      <w:pPr>
        <w:numPr>
          <w:ilvl w:val="0"/>
          <w:numId w:val="1"/>
        </w:num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进一步减轻企业负担。全力推进省市县各项减税降费政策落地见效，帮助企业保存量、保资金链、保就业岗位。一是加大创业担保贷款财政贴息力度，符合条件的个人最高申请创业担保贷款额度由15万元提高至20万元；二是对县内“四上”企业以及运用再贷款再贴现资金获得融资的企业，分别给予贷款金额1%及2%的一年期财政贴息，并对支持县域企业发展的金融机构进行奖补，</w:t>
      </w:r>
      <w:r>
        <w:rPr>
          <w:rFonts w:hint="eastAsia" w:ascii="仿宋_GB2312" w:hAnsi="仿宋" w:eastAsia="仿宋_GB2312"/>
          <w:sz w:val="32"/>
          <w:szCs w:val="32"/>
          <w:lang w:val="en-US" w:eastAsia="zh-CN"/>
        </w:rPr>
        <w:t>截至</w:t>
      </w:r>
      <w:r>
        <w:rPr>
          <w:rFonts w:hint="eastAsia" w:ascii="仿宋_GB2312" w:hAnsi="仿宋" w:eastAsia="仿宋_GB2312"/>
          <w:sz w:val="32"/>
          <w:szCs w:val="32"/>
        </w:rPr>
        <w:t>目前拨付贴息和奖补资金74万元；三是将减税降费落到实处，全年全县为企业减税7362万元，减少社保缴费3924万元。</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加大基层运转支持力度。缓解收入增长放缓带来的支出压力，兜牢兜实“三保”支出底线，累计拨付资金5996万元，用于村干部补贴由半年改为月度及时足额发放，保障乡镇办公经费、乡镇工作补贴和防疫相关资金需求。</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3、加大对饮水安全、居民供暖、低保五保和临时价格补贴的支持力度，累计拨付资金81605万元，用于了农业、环保、困难群众、义务教育、医疗保障等基本民生相关支出需求。</w:t>
      </w:r>
    </w:p>
    <w:p>
      <w:pPr>
        <w:spacing w:line="560" w:lineRule="exact"/>
        <w:ind w:firstLine="479" w:firstLineChars="149"/>
        <w:rPr>
          <w:rFonts w:ascii="楷体" w:hAnsi="楷体" w:eastAsia="楷体"/>
          <w:b/>
          <w:bCs/>
          <w:sz w:val="32"/>
          <w:szCs w:val="32"/>
        </w:rPr>
      </w:pPr>
      <w:r>
        <w:rPr>
          <w:rFonts w:hint="eastAsia" w:ascii="楷体" w:hAnsi="楷体" w:eastAsia="楷体"/>
          <w:b/>
          <w:bCs/>
          <w:sz w:val="32"/>
          <w:szCs w:val="32"/>
        </w:rPr>
        <w:t>（二）认真开展“问计”活动，积极争取上级资金</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依据国家继续实施积极财政政策和疫情期间特殊转移支付政策，积极问计省财政厅。一是全力争取政府债券资金8.06亿元，用于滹沱河生态修复二期工程、</w:t>
      </w:r>
      <w:r>
        <w:rPr>
          <w:rFonts w:hint="eastAsia" w:ascii="仿宋_GB2312" w:hAnsi="仿宋" w:eastAsia="仿宋_GB2312" w:cs="仿宋"/>
          <w:sz w:val="32"/>
          <w:szCs w:val="32"/>
        </w:rPr>
        <w:t>体育公园建设工程等城区建设、新区四条道路建设和滹沱河河道内村庄防洪整治工程</w:t>
      </w:r>
      <w:r>
        <w:rPr>
          <w:rFonts w:hint="eastAsia" w:ascii="仿宋_GB2312" w:hAnsi="仿宋" w:eastAsia="仿宋_GB2312"/>
          <w:sz w:val="32"/>
          <w:szCs w:val="32"/>
        </w:rPr>
        <w:t>；二是积极争取财力性补助资金1.4亿元，全部是县级基本财力保障奖补增量和特殊转移支付资金，极大地缓解了财政收支矛盾；三是积极争取往来资金17.2亿元，确保全县公教人员工资及时足额发放和各项事业的资金需求。</w:t>
      </w:r>
    </w:p>
    <w:p>
      <w:pPr>
        <w:spacing w:line="56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（三）优化支出结构，切实保障和改善民生</w:t>
      </w:r>
    </w:p>
    <w:p>
      <w:pPr>
        <w:spacing w:line="560" w:lineRule="exact"/>
        <w:ind w:firstLine="640" w:firstLineChars="200"/>
        <w:rPr>
          <w:rFonts w:hint="eastAsia" w:ascii="仿宋_GB2312" w:hAnsi="仿宋" w:eastAsia="仿宋_GB2312"/>
          <w:sz w:val="32"/>
          <w:szCs w:val="32"/>
        </w:rPr>
      </w:pPr>
      <w:r>
        <w:rPr>
          <w:rFonts w:hint="eastAsia" w:ascii="仿宋_GB2312" w:eastAsia="仿宋_GB2312"/>
          <w:sz w:val="32"/>
          <w:szCs w:val="32"/>
        </w:rPr>
        <w:t>全县民生支出257107万元，占一般公共预算总支出的77.7 %。教育、医疗卫生、社会保障和扶贫等与人民群众切身利益相关的支出得到了较好保障。</w:t>
      </w:r>
      <w:r>
        <w:rPr>
          <w:rFonts w:hint="eastAsia" w:ascii="仿宋_GB2312" w:eastAsia="仿宋_GB2312"/>
          <w:b/>
          <w:bCs/>
          <w:sz w:val="32"/>
          <w:szCs w:val="32"/>
        </w:rPr>
        <w:t>教育事业长足发展，</w:t>
      </w:r>
      <w:r>
        <w:rPr>
          <w:rFonts w:hint="eastAsia" w:ascii="仿宋_GB2312" w:hAnsi="仿宋_GB2312" w:eastAsia="仿宋_GB2312" w:cs="仿宋_GB2312"/>
          <w:sz w:val="32"/>
          <w:szCs w:val="32"/>
        </w:rPr>
        <w:t>坚持教育优先发展战略，办学条件、教师队伍、教学质量稳步提高。</w:t>
      </w:r>
      <w:r>
        <w:rPr>
          <w:rFonts w:hint="eastAsia" w:ascii="仿宋_GB2312" w:hAnsi="仿宋_GB2312" w:eastAsia="仿宋_GB2312"/>
          <w:sz w:val="32"/>
        </w:rPr>
        <w:t>教育资助、专项扶贫以及对营养餐和普惠幼儿园补助标准进一步提高，范围进一步扩大，全年共惠及</w:t>
      </w:r>
      <w:r>
        <w:rPr>
          <w:rFonts w:hint="eastAsia" w:ascii="仿宋_GB2312" w:eastAsia="仿宋_GB2312"/>
          <w:sz w:val="32"/>
          <w:szCs w:val="32"/>
        </w:rPr>
        <w:t>学生31070人次</w:t>
      </w:r>
      <w:r>
        <w:rPr>
          <w:rFonts w:hint="eastAsia" w:ascii="仿宋_GB2312" w:hAnsi="仿宋_GB2312" w:eastAsia="仿宋_GB2312" w:cs="仿宋_GB2312"/>
          <w:kern w:val="0"/>
          <w:sz w:val="32"/>
          <w:szCs w:val="32"/>
        </w:rPr>
        <w:t>；</w:t>
      </w:r>
      <w:r>
        <w:rPr>
          <w:rFonts w:hint="eastAsia" w:ascii="仿宋_GB2312" w:eastAsia="仿宋_GB2312"/>
          <w:sz w:val="32"/>
          <w:szCs w:val="32"/>
        </w:rPr>
        <w:t>改建52所薄弱学校相关设施，极大地改善了办学条件，消除了事故隐患。</w:t>
      </w:r>
      <w:r>
        <w:rPr>
          <w:rFonts w:hint="eastAsia" w:ascii="仿宋_GB2312" w:eastAsia="仿宋_GB2312"/>
          <w:b/>
          <w:bCs/>
          <w:sz w:val="32"/>
          <w:szCs w:val="32"/>
        </w:rPr>
        <w:t>社会保障稳步提高</w:t>
      </w:r>
      <w:r>
        <w:rPr>
          <w:rFonts w:hint="eastAsia" w:ascii="仿宋_GB2312" w:eastAsia="仿宋_GB2312"/>
          <w:sz w:val="32"/>
          <w:szCs w:val="32"/>
        </w:rPr>
        <w:t>，</w:t>
      </w:r>
      <w:r>
        <w:rPr>
          <w:rFonts w:hint="eastAsia" w:ascii="仿宋_GB2312" w:hAnsi="宋体" w:eastAsia="仿宋_GB2312" w:cs="宋体"/>
          <w:sz w:val="32"/>
          <w:szCs w:val="32"/>
        </w:rPr>
        <w:t>企业退休人员养老金连年提高，城乡低保、五保供养人均分别提高22元和185元，</w:t>
      </w:r>
      <w:r>
        <w:rPr>
          <w:rFonts w:hint="eastAsia" w:ascii="仿宋_GB2312" w:eastAsia="仿宋_GB2312"/>
          <w:sz w:val="32"/>
          <w:szCs w:val="32"/>
        </w:rPr>
        <w:t>城乡低收入人群基本生活得到了保障；城乡居民</w:t>
      </w:r>
      <w:r>
        <w:rPr>
          <w:rFonts w:hint="eastAsia" w:ascii="仿宋_GB2312" w:hAnsi="宋体" w:eastAsia="仿宋_GB2312" w:cs="宋体"/>
          <w:sz w:val="32"/>
          <w:szCs w:val="32"/>
        </w:rPr>
        <w:t>医疗保险人均补助标准由520元提高到550元；基本公共卫生服务补助标准由69元提高到74元</w:t>
      </w:r>
      <w:r>
        <w:rPr>
          <w:rFonts w:hint="eastAsia" w:ascii="仿宋_GB2312" w:hAnsi="仿宋_GB2312" w:eastAsia="仿宋_GB2312" w:cs="仿宋_GB2312"/>
          <w:color w:val="000000"/>
          <w:kern w:val="0"/>
          <w:sz w:val="32"/>
          <w:szCs w:val="32"/>
          <w:shd w:val="clear" w:color="auto" w:fill="FFFFFF"/>
        </w:rPr>
        <w:t>。</w:t>
      </w:r>
      <w:r>
        <w:rPr>
          <w:rFonts w:hint="eastAsia" w:ascii="仿宋_GB2312" w:hAnsi="仿宋_GB2312" w:eastAsia="仿宋_GB2312" w:cs="仿宋_GB2312"/>
          <w:b/>
          <w:bCs/>
          <w:color w:val="000000"/>
          <w:kern w:val="0"/>
          <w:sz w:val="32"/>
          <w:szCs w:val="32"/>
          <w:shd w:val="clear" w:color="auto" w:fill="FFFFFF"/>
        </w:rPr>
        <w:t>扶贫政策全面落实，</w:t>
      </w:r>
      <w:r>
        <w:rPr>
          <w:rFonts w:hint="eastAsia" w:ascii="仿宋_GB2312" w:hAnsi="仿宋_GB2312" w:eastAsia="仿宋_GB2312" w:cs="仿宋_GB2312"/>
          <w:color w:val="000000"/>
          <w:kern w:val="0"/>
          <w:sz w:val="32"/>
          <w:szCs w:val="32"/>
          <w:shd w:val="clear" w:color="auto" w:fill="FFFFFF"/>
        </w:rPr>
        <w:t>全年筹资12910万元用于社保、教育和专项扶贫；发放扶贫项目收益金605万元，用于巩固扶贫成果。</w:t>
      </w:r>
      <w:r>
        <w:rPr>
          <w:rFonts w:hint="eastAsia" w:ascii="仿宋_GB2312" w:eastAsia="仿宋_GB2312"/>
          <w:b/>
          <w:bCs/>
          <w:sz w:val="32"/>
          <w:szCs w:val="32"/>
        </w:rPr>
        <w:t>农村投入力度不断增强，</w:t>
      </w:r>
      <w:r>
        <w:rPr>
          <w:rFonts w:hint="eastAsia" w:ascii="仿宋_GB2312" w:eastAsia="仿宋_GB2312"/>
          <w:sz w:val="32"/>
          <w:szCs w:val="32"/>
        </w:rPr>
        <w:t>农业综合开发、高标准农田建设、大棚菜基地建设等重点工程扎实推进，促进了农民增收；革命老区建设和一事一议投入资金1827万元，建设</w:t>
      </w:r>
      <w:r>
        <w:rPr>
          <w:rFonts w:hint="eastAsia" w:ascii="仿宋_GB2312" w:hAnsi="仿宋_GB2312" w:eastAsia="仿宋_GB2312" w:cs="仿宋_GB2312"/>
          <w:sz w:val="32"/>
          <w:szCs w:val="32"/>
        </w:rPr>
        <w:t>项目49个</w:t>
      </w:r>
      <w:r>
        <w:rPr>
          <w:rFonts w:hint="eastAsia" w:ascii="仿宋_GB2312" w:hAnsi="仿宋_GB2312" w:eastAsia="仿宋_GB2312" w:cs="仿宋_GB2312"/>
          <w:b/>
          <w:bCs/>
          <w:sz w:val="32"/>
          <w:szCs w:val="32"/>
        </w:rPr>
        <w:t>，</w:t>
      </w:r>
      <w:r>
        <w:rPr>
          <w:rFonts w:hint="eastAsia" w:ascii="仿宋_GB2312" w:eastAsia="仿宋_GB2312"/>
          <w:sz w:val="32"/>
          <w:szCs w:val="32"/>
        </w:rPr>
        <w:t>有效改善了农村道路等基础设施状况。</w:t>
      </w:r>
      <w:r>
        <w:rPr>
          <w:rFonts w:hint="eastAsia" w:ascii="仿宋_GB2312" w:eastAsia="仿宋_GB2312"/>
          <w:b/>
          <w:bCs/>
          <w:sz w:val="32"/>
          <w:szCs w:val="32"/>
        </w:rPr>
        <w:t>污染防控力度持续加大，</w:t>
      </w:r>
      <w:r>
        <w:rPr>
          <w:rFonts w:hint="eastAsia" w:ascii="仿宋_GB2312" w:eastAsia="仿宋_GB2312"/>
          <w:sz w:val="32"/>
          <w:szCs w:val="32"/>
        </w:rPr>
        <w:t>积极推进“双代”工作、淘汰“国三”及以下柴油货车、污水处理厂提升改造、滹沱河生态修复、老磁河等污染专项治理工作。投入资金3440万元，提升环境监测能力建设，实现了对空气、水质量的实时监测和预警。</w:t>
      </w:r>
      <w:r>
        <w:rPr>
          <w:rFonts w:hint="eastAsia" w:ascii="仿宋_GB2312" w:eastAsia="仿宋_GB2312"/>
          <w:b/>
          <w:bCs/>
          <w:sz w:val="32"/>
          <w:szCs w:val="32"/>
        </w:rPr>
        <w:t>完善非税收入管理制度，基层待遇稳步提高，</w:t>
      </w:r>
      <w:r>
        <w:rPr>
          <w:rFonts w:hint="eastAsia" w:ascii="仿宋_GB2312" w:eastAsia="仿宋_GB2312"/>
          <w:sz w:val="32"/>
          <w:szCs w:val="32"/>
        </w:rPr>
        <w:t>结合单位实际安排公用和专项经费，并全额保障了自收自支人员工资待遇；积极推进乡镇工资制度改革，在职乡镇人员月人均基础工资标准提高了149元，增长20%；落实了乡镇事业编制人员公车补贴，激发了基层和一线人员的工作热情。</w:t>
      </w:r>
      <w:r>
        <w:rPr>
          <w:rFonts w:hint="eastAsia" w:ascii="仿宋_GB2312" w:eastAsia="仿宋_GB2312"/>
          <w:b/>
          <w:bCs/>
          <w:sz w:val="32"/>
          <w:szCs w:val="32"/>
        </w:rPr>
        <w:t>全面保障疫情防控，</w:t>
      </w:r>
      <w:r>
        <w:rPr>
          <w:rFonts w:hint="eastAsia" w:ascii="仿宋_GB2312" w:eastAsia="仿宋_GB2312"/>
          <w:sz w:val="32"/>
          <w:szCs w:val="32"/>
        </w:rPr>
        <w:t>筹措</w:t>
      </w:r>
      <w:r>
        <w:rPr>
          <w:rFonts w:hint="eastAsia" w:ascii="仿宋_GB2312" w:hAnsi="仿宋" w:eastAsia="仿宋_GB2312"/>
          <w:sz w:val="32"/>
          <w:szCs w:val="32"/>
        </w:rPr>
        <w:t>抗疫防疫资金5049万元，有力地支持了我县抗疫防疫工作，确保零确诊、零疑似。</w:t>
      </w:r>
    </w:p>
    <w:p>
      <w:pPr>
        <w:spacing w:line="560" w:lineRule="exact"/>
        <w:ind w:firstLine="643" w:firstLineChars="200"/>
        <w:rPr>
          <w:rFonts w:ascii="楷体" w:hAnsi="楷体" w:eastAsia="楷体"/>
          <w:b/>
          <w:bCs/>
          <w:sz w:val="32"/>
          <w:szCs w:val="32"/>
        </w:rPr>
      </w:pPr>
      <w:r>
        <w:rPr>
          <w:rFonts w:hint="eastAsia" w:ascii="楷体" w:hAnsi="楷体" w:eastAsia="楷体"/>
          <w:b/>
          <w:bCs/>
          <w:sz w:val="32"/>
          <w:szCs w:val="32"/>
        </w:rPr>
        <w:t>（四）深化财政改革，推进各项工作有序进行</w:t>
      </w:r>
    </w:p>
    <w:p>
      <w:pPr>
        <w:widowControl/>
        <w:shd w:val="clear" w:color="auto" w:fill="FFFFFF"/>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是继续深入开展综合治税，加强涉税信息采集，确保信息采集质量，开展“以电控税”工作，对辖区内的商品房契税进行清查，在关键的时间节点，督促政府工程项目的各施工单位及时测算工程量，确认工程项目进度并开具发票，核算纳税。二是进一步完善投资评审，坚持科学化、规范化、高效化原则，不断完善工作机制，优化工作流程，严把审核关口。当年送审项目232个、金额145518万元，审定128302万元，审减17216万元，审减率11.83 %；同时，规范机关事业单位政府采购行为，2020年完成政府采购金额68054万元，节约资金626万元。三是加强预算绩效评价管理工作，提高财政资金使用效益和财政管理科学化、精细化水平，布置完成了2019年度县级预算项目绩效自评价工作，</w:t>
      </w:r>
      <w:r>
        <w:rPr>
          <w:rFonts w:hint="eastAsia" w:ascii="仿宋_GB2312" w:hAnsi="仿宋" w:eastAsia="仿宋_GB2312"/>
          <w:color w:val="000000"/>
          <w:sz w:val="32"/>
          <w:szCs w:val="32"/>
        </w:rPr>
        <w:t>评价全年所有的项目支出资金266906万元，实现了财政项目资金绩效自评全覆盖。自</w:t>
      </w:r>
      <w:r>
        <w:rPr>
          <w:rFonts w:hint="eastAsia" w:ascii="仿宋_GB2312" w:hAnsi="仿宋" w:eastAsia="仿宋_GB2312" w:cs="仿宋_GB2312"/>
          <w:kern w:val="0"/>
          <w:sz w:val="32"/>
          <w:szCs w:val="32"/>
          <w:shd w:val="clear" w:color="auto" w:fill="FFFFFF"/>
          <w:lang w:bidi="ar"/>
        </w:rPr>
        <w:t>3月份开始，选取确定具有代表性的资金“大、中、小”24个重点项目，会同第三方开展重点绩效评价，完成16个绩效评价项目和一个期间费用审核项目，评价资金16944万元，及时向社会公开9个项目绩效评价报告，并在2021年预算安排中得以运用。</w:t>
      </w:r>
    </w:p>
    <w:p>
      <w:pPr>
        <w:widowControl/>
        <w:shd w:val="clear" w:color="auto" w:fill="FFFFFF"/>
        <w:spacing w:line="560" w:lineRule="exact"/>
        <w:ind w:firstLine="643" w:firstLineChars="200"/>
        <w:rPr>
          <w:rFonts w:ascii="楷体" w:hAnsi="楷体" w:eastAsia="楷体"/>
          <w:b/>
          <w:sz w:val="32"/>
          <w:szCs w:val="32"/>
        </w:rPr>
      </w:pPr>
      <w:r>
        <w:rPr>
          <w:rFonts w:hint="eastAsia" w:ascii="楷体" w:hAnsi="楷体" w:eastAsia="楷体"/>
          <w:b/>
          <w:sz w:val="32"/>
          <w:szCs w:val="32"/>
        </w:rPr>
        <w:t>（五）防控财政运行风险，保障财政可持续发展</w:t>
      </w:r>
    </w:p>
    <w:p>
      <w:pPr>
        <w:spacing w:line="560" w:lineRule="exact"/>
        <w:ind w:firstLine="640" w:firstLineChars="200"/>
        <w:rPr>
          <w:rFonts w:ascii="仿宋_GB2312" w:hAnsi="宋体" w:eastAsia="仿宋_GB2312"/>
          <w:sz w:val="32"/>
          <w:szCs w:val="32"/>
        </w:rPr>
      </w:pPr>
      <w:r>
        <w:rPr>
          <w:rFonts w:hint="eastAsia" w:ascii="仿宋_GB2312" w:hAnsi="仿宋" w:eastAsia="仿宋_GB2312"/>
          <w:sz w:val="32"/>
          <w:szCs w:val="32"/>
        </w:rPr>
        <w:t>一是从紧安排预算，按照保工资、保运转的要求，年度预算只安排人员支出和基本运转支出，其他费用原则上全部取消，各部门如有非办不可事项，逐个向政府申请；二是严控预算追加，全年临时追加预算实行总额控制，依据全年财力情况安排定额。必需要办的立即办，可办可不办的暂缓，能不办的坚决压缩，把好钢用在刀刃上；三是</w:t>
      </w:r>
      <w:r>
        <w:rPr>
          <w:rFonts w:hint="eastAsia" w:ascii="仿宋_GB2312" w:hAnsi="宋体" w:eastAsia="仿宋_GB2312"/>
          <w:sz w:val="32"/>
          <w:szCs w:val="32"/>
        </w:rPr>
        <w:t>严格执行地方政府债务限额管理和预算管理制度，压实偿债主体责任。合理控制政府债务规模，兜牢不发生系统性区域性债务风险底线。严格控制地方政府隐性债务，规范举债融资行为，严禁违规融资担保。进一步规范财政暂存暂付款管理，坚决杜绝违规新增暂付款。</w:t>
      </w:r>
    </w:p>
    <w:p>
      <w:pPr>
        <w:spacing w:line="560" w:lineRule="exact"/>
        <w:ind w:firstLine="643" w:firstLineChars="200"/>
        <w:rPr>
          <w:rFonts w:ascii="楷体" w:hAnsi="楷体" w:eastAsia="楷体"/>
          <w:b/>
          <w:sz w:val="32"/>
          <w:szCs w:val="32"/>
        </w:rPr>
      </w:pPr>
      <w:r>
        <w:rPr>
          <w:rFonts w:hint="eastAsia" w:ascii="楷体" w:hAnsi="楷体" w:eastAsia="楷体"/>
          <w:b/>
          <w:sz w:val="32"/>
          <w:szCs w:val="32"/>
        </w:rPr>
        <w:t>（六）建立特殊转移支付监控机制，确保惠企利民</w:t>
      </w:r>
    </w:p>
    <w:p>
      <w:pPr>
        <w:spacing w:line="560" w:lineRule="exact"/>
        <w:ind w:firstLine="645"/>
        <w:rPr>
          <w:rFonts w:hint="eastAsia" w:ascii="仿宋_GB2312" w:hAnsi="仿宋" w:eastAsia="仿宋_GB2312"/>
          <w:sz w:val="32"/>
          <w:szCs w:val="32"/>
        </w:rPr>
      </w:pPr>
      <w:r>
        <w:rPr>
          <w:rFonts w:hint="eastAsia" w:ascii="仿宋_GB2312" w:hAnsi="仿宋" w:eastAsia="仿宋_GB2312"/>
          <w:sz w:val="32"/>
          <w:szCs w:val="32"/>
        </w:rPr>
        <w:t>坚决贯彻落实党中央、国务院决策部署，确保资金直达基层、直接惠企利民。建立统筹协调、统分结合、衔接顺畅、运行高效的直达资金监控机制，成立中央直达资金工作领导小组，明确各方职责分工，统筹推进监控工作；制定中央直达资金监督管理办法，加强直达资金监管，提高财政资金使用的规范性、安全性、有效性。</w:t>
      </w:r>
      <w:r>
        <w:rPr>
          <w:rFonts w:hint="eastAsia" w:ascii="仿宋_GB2312" w:hAnsi="仿宋" w:eastAsia="仿宋_GB2312"/>
          <w:sz w:val="32"/>
          <w:szCs w:val="32"/>
          <w:lang w:val="en-US" w:eastAsia="zh-CN"/>
        </w:rPr>
        <w:t>截至</w:t>
      </w:r>
      <w:r>
        <w:rPr>
          <w:rFonts w:hint="eastAsia" w:ascii="仿宋_GB2312" w:hAnsi="仿宋" w:eastAsia="仿宋_GB2312"/>
          <w:sz w:val="32"/>
          <w:szCs w:val="32"/>
        </w:rPr>
        <w:t>12月底，县级财政分配下达直达、支付资金3.2亿元，并全部支出，均直接拨付个人和相关企业，并将数据及时导入监控系统。在驻县审计中未出问题。</w:t>
      </w:r>
    </w:p>
    <w:p>
      <w:pPr>
        <w:spacing w:line="560" w:lineRule="exact"/>
        <w:ind w:firstLine="640" w:firstLineChars="200"/>
        <w:rPr>
          <w:rFonts w:ascii="仿宋_GB2312" w:eastAsia="仿宋_GB2312" w:cs="仿宋_GB2312"/>
          <w:color w:val="000000"/>
          <w:kern w:val="0"/>
          <w:sz w:val="32"/>
          <w:szCs w:val="32"/>
        </w:rPr>
      </w:pPr>
      <w:r>
        <w:rPr>
          <w:rFonts w:hint="eastAsia" w:ascii="仿宋_GB2312" w:eastAsia="仿宋_GB2312"/>
          <w:sz w:val="32"/>
          <w:szCs w:val="32"/>
        </w:rPr>
        <w:t>各位代表，2020年是“十三五”规划的最后一年，回顾过去的五年，全县各部门迎难而上，奋力攻坚，推动了财政事业的发展，财政收支规模快速增加，合理举债助力城市建设，财政综合实力大幅提升。</w:t>
      </w:r>
      <w:r>
        <w:rPr>
          <w:rFonts w:hint="eastAsia" w:ascii="仿宋_GB2312" w:eastAsia="仿宋_GB2312"/>
          <w:b/>
          <w:sz w:val="32"/>
          <w:szCs w:val="32"/>
        </w:rPr>
        <w:t>五年间</w:t>
      </w:r>
      <w:r>
        <w:rPr>
          <w:rFonts w:hint="eastAsia" w:ascii="仿宋_GB2312" w:eastAsia="仿宋_GB2312"/>
          <w:sz w:val="32"/>
          <w:szCs w:val="32"/>
        </w:rPr>
        <w:t>，一般公共预算收入由2016年的52350万元增加到2020年的83299万元，年均增长11.8%，是“十二五”末的1.75倍</w:t>
      </w:r>
      <w:r>
        <w:rPr>
          <w:rFonts w:hint="eastAsia" w:ascii="仿宋_GB2312" w:eastAsia="仿宋_GB2312"/>
          <w:bCs/>
          <w:sz w:val="32"/>
          <w:szCs w:val="44"/>
        </w:rPr>
        <w:t>。</w:t>
      </w:r>
      <w:r>
        <w:rPr>
          <w:rFonts w:hint="eastAsia" w:ascii="仿宋_GB2312" w:eastAsia="仿宋_GB2312"/>
          <w:b/>
          <w:sz w:val="32"/>
          <w:szCs w:val="32"/>
        </w:rPr>
        <w:t>五年间</w:t>
      </w:r>
      <w:r>
        <w:rPr>
          <w:rFonts w:hint="eastAsia" w:ascii="仿宋_GB2312" w:eastAsia="仿宋_GB2312"/>
          <w:sz w:val="32"/>
          <w:szCs w:val="32"/>
        </w:rPr>
        <w:t>，</w:t>
      </w:r>
      <w:r>
        <w:rPr>
          <w:rFonts w:hint="eastAsia" w:ascii="仿宋_GB2312" w:hAnsi="仿宋_GB2312" w:eastAsia="仿宋_GB2312" w:cs="仿宋_GB2312"/>
          <w:sz w:val="32"/>
          <w:szCs w:val="32"/>
        </w:rPr>
        <w:t>民生保障持续加强，</w:t>
      </w:r>
      <w:r>
        <w:rPr>
          <w:rFonts w:hint="eastAsia" w:ascii="仿宋_GB2312" w:eastAsia="仿宋_GB2312"/>
          <w:sz w:val="32"/>
          <w:szCs w:val="32"/>
        </w:rPr>
        <w:t>全县用于民生的支出五年累计119.3亿元，占一般公共预算支出的比重达到80%以上。</w:t>
      </w:r>
      <w:r>
        <w:rPr>
          <w:rFonts w:hint="eastAsia" w:ascii="仿宋_GB2312" w:eastAsia="仿宋_GB2312" w:cs="仿宋_GB2312"/>
          <w:color w:val="000000"/>
          <w:kern w:val="0"/>
          <w:sz w:val="32"/>
          <w:szCs w:val="32"/>
        </w:rPr>
        <w:t>无极中学新校区、实验中学、敬老院改造等一大批惠民工程顺利落地，8248名建档立卡贫困人口全部实现稳定脱贫，低保、五保标准连年提高，企业退休金实现14年连涨；筹集资金8734万元，用于军队退役人员集中攻坚落实相关待遇3346人次、安置94名人员再就业。</w:t>
      </w:r>
      <w:r>
        <w:rPr>
          <w:rFonts w:hint="eastAsia" w:ascii="仿宋_GB2312" w:eastAsia="仿宋_GB2312"/>
          <w:b/>
          <w:sz w:val="32"/>
          <w:szCs w:val="32"/>
        </w:rPr>
        <w:t>五年间</w:t>
      </w:r>
      <w:r>
        <w:rPr>
          <w:rFonts w:hint="eastAsia" w:ascii="仿宋_GB2312" w:eastAsia="仿宋_GB2312"/>
          <w:sz w:val="32"/>
          <w:szCs w:val="32"/>
        </w:rPr>
        <w:t>，全面实施</w:t>
      </w:r>
      <w:r>
        <w:rPr>
          <w:rFonts w:hint="default" w:ascii="仿宋_GB2312" w:eastAsia="仿宋_GB2312"/>
          <w:sz w:val="32"/>
          <w:szCs w:val="32"/>
          <w:lang w:val="en-US"/>
        </w:rPr>
        <w:t>《中华人民共和国预算法》</w:t>
      </w:r>
      <w:r>
        <w:rPr>
          <w:rFonts w:hint="eastAsia" w:ascii="仿宋_GB2312" w:eastAsia="仿宋_GB2312"/>
          <w:sz w:val="32"/>
          <w:szCs w:val="32"/>
        </w:rPr>
        <w:t>，强化预算约束，预算体系不断完善，全面规范、公开透明的预算制度更加健全；县人大与县财政实施联网，全方位全过程对政府预算执行情况实时进行管理和监督。</w:t>
      </w:r>
      <w:r>
        <w:rPr>
          <w:rFonts w:hint="eastAsia" w:ascii="仿宋_GB2312" w:hAnsi="仿宋_GB2312" w:eastAsia="仿宋_GB2312" w:cs="仿宋_GB2312"/>
          <w:b/>
          <w:bCs/>
          <w:sz w:val="32"/>
          <w:szCs w:val="32"/>
        </w:rPr>
        <w:t>五年间，</w:t>
      </w:r>
      <w:r>
        <w:rPr>
          <w:rFonts w:hint="eastAsia" w:ascii="仿宋_GB2312" w:hAnsi="仿宋_GB2312" w:eastAsia="仿宋_GB2312" w:cs="仿宋_GB2312"/>
          <w:sz w:val="32"/>
          <w:szCs w:val="32"/>
        </w:rPr>
        <w:t>合理举借债务助推城市功能日臻完善，</w:t>
      </w:r>
      <w:r>
        <w:rPr>
          <w:rFonts w:hint="eastAsia" w:ascii="仿宋_GB2312" w:eastAsia="仿宋_GB2312" w:cs="仿宋_GB2312"/>
          <w:color w:val="000000"/>
          <w:kern w:val="0"/>
          <w:sz w:val="32"/>
          <w:szCs w:val="32"/>
        </w:rPr>
        <w:t>县城大外环、新城路、研学路等重点路网工程加快实施，发展空间迅速拉开。大力实施道路提升改造工程，11条城区主干道全部实现“白变黑”，</w:t>
      </w:r>
      <w:r>
        <w:rPr>
          <w:rFonts w:ascii="仿宋_GB2312" w:eastAsia="仿宋_GB2312" w:cs="仿宋_GB2312"/>
          <w:color w:val="000000"/>
          <w:kern w:val="0"/>
          <w:sz w:val="32"/>
          <w:szCs w:val="32"/>
        </w:rPr>
        <w:t>千山路西延、中昌路西延、规划二街南段等重点城建项目</w:t>
      </w:r>
      <w:r>
        <w:rPr>
          <w:rFonts w:hint="eastAsia" w:ascii="仿宋_GB2312" w:eastAsia="仿宋_GB2312" w:cs="仿宋_GB2312"/>
          <w:color w:val="000000"/>
          <w:kern w:val="0"/>
          <w:sz w:val="32"/>
          <w:szCs w:val="32"/>
        </w:rPr>
        <w:t>竣工。高标准建设了木刀沟滨河公园、无极公园等7个公园绿地，完成了民俗公园、平安公园等4个公园星级提标改造，城区公园绿地面积大幅增加，2017年成功创建省级园林县城。</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各位代表，尽管财税工作取得了很大成绩，同时我们也清醒地认识到，财政工作面临着很大的困难、压力和问题，在紧平衡下负重前行。县域经济发展不快，税收增收难度持续加大，税收占比下降严重，财政收入质量降低，同时临时预算追加和刚性支出双重叠加，财政预算平衡困难；预算执行责任落实不够到位，债券投资的一些项目前期准备不充分，开工不及时，“资金等项目”导致资金闲置浪费；反过来，一些项目对资金来源预判不足后期资金不到位，“项目等资金”面临债务风险；政府隐性债务还款压力增加，潜在风险防控任务较重。对此，我们将认真对待高度重视，采取有力措施加以解决。</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三、2021年预算安排情况</w:t>
      </w:r>
    </w:p>
    <w:p>
      <w:pPr>
        <w:spacing w:line="560" w:lineRule="exact"/>
        <w:ind w:firstLine="640" w:firstLineChars="200"/>
        <w:rPr>
          <w:rFonts w:ascii="仿宋" w:hAnsi="仿宋" w:eastAsia="仿宋" w:cs="仿宋_GB2312"/>
          <w:b/>
          <w:bCs/>
          <w:sz w:val="32"/>
          <w:szCs w:val="32"/>
        </w:rPr>
      </w:pPr>
      <w:r>
        <w:rPr>
          <w:rFonts w:hint="eastAsia" w:ascii="仿宋_GB2312" w:hAnsi="宋体" w:eastAsia="仿宋_GB2312"/>
          <w:sz w:val="32"/>
          <w:szCs w:val="32"/>
        </w:rPr>
        <w:t>今年是“十四五”规划的开局之年，也是中国共产党成立100周年的大庆之年。编制执行好2021年度预算，做好全年财税工作意义深远。2021年预算编制和财税工作的指导思想是：</w:t>
      </w:r>
      <w:r>
        <w:rPr>
          <w:rFonts w:hint="eastAsia" w:ascii="仿宋_GB2312" w:hAnsi="宋体" w:eastAsia="仿宋_GB2312"/>
          <w:b/>
          <w:bCs/>
          <w:sz w:val="32"/>
          <w:szCs w:val="32"/>
        </w:rPr>
        <w:t>以习近平新时代中国特色社会主义思想为指导，</w:t>
      </w:r>
      <w:r>
        <w:rPr>
          <w:rFonts w:hint="eastAsia" w:ascii="仿宋" w:hAnsi="仿宋" w:eastAsia="仿宋" w:cs="仿宋_GB2312"/>
          <w:b/>
          <w:bCs/>
          <w:sz w:val="32"/>
          <w:szCs w:val="32"/>
        </w:rPr>
        <w:t>全面贯彻党的十九大和十九届二中、三中、四中、五中全会精神，坚定不移贯彻创新、协调、绿色、开放、共享的新发展理念，坚持稳中求进工作总基调，以推动高质量发展为主题，以深化供给侧结构性改革为主线，以改革创新为根本动力，以满足人民日益增长的美好生活需要为根本目的，统筹发展和安全，全面落实县委第十一届第九次全会的部署要求，以传统产业转型升级统领实体经济高质量发展，以新型城镇化带动城乡协调发展，以城北教育新区引领无极开放发展、创新发展，着力</w:t>
      </w:r>
      <w:bookmarkStart w:id="0" w:name="_GoBack"/>
      <w:bookmarkEnd w:id="0"/>
      <w:r>
        <w:rPr>
          <w:rFonts w:hint="eastAsia" w:ascii="仿宋" w:hAnsi="仿宋" w:eastAsia="仿宋" w:cs="仿宋_GB2312"/>
          <w:b/>
          <w:bCs/>
          <w:sz w:val="32"/>
          <w:szCs w:val="32"/>
          <w:lang w:eastAsia="zh-CN"/>
        </w:rPr>
        <w:t>推进国家治理体系和治理能力现代化</w:t>
      </w:r>
      <w:r>
        <w:rPr>
          <w:rFonts w:hint="eastAsia" w:ascii="仿宋" w:hAnsi="仿宋" w:eastAsia="仿宋" w:cs="仿宋_GB2312"/>
          <w:b/>
          <w:bCs/>
          <w:sz w:val="32"/>
          <w:szCs w:val="32"/>
        </w:rPr>
        <w:t>，努力实现“十四五”良好开局，实现经济行稳致远、社会安定和谐，不断增强人民群众获得感、幸福感、安全感，为推动“生态新城、魅力无极”建设跨上新台阶提供财力保障。</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基于以上指导思想，2021年预算草案总体安排如下：</w:t>
      </w:r>
    </w:p>
    <w:p>
      <w:pPr>
        <w:spacing w:line="560" w:lineRule="exact"/>
        <w:ind w:firstLine="643" w:firstLineChars="200"/>
        <w:rPr>
          <w:rFonts w:ascii="仿宋_GB2312" w:hAnsi="宋体" w:eastAsia="仿宋_GB2312"/>
          <w:sz w:val="32"/>
          <w:szCs w:val="32"/>
        </w:rPr>
      </w:pPr>
      <w:r>
        <w:rPr>
          <w:rFonts w:hint="eastAsia" w:ascii="仿宋_GB2312" w:hAnsi="宋体" w:eastAsia="仿宋_GB2312"/>
          <w:b/>
          <w:bCs/>
          <w:sz w:val="32"/>
          <w:szCs w:val="32"/>
        </w:rPr>
        <w:t>（一）一般公共预算。</w:t>
      </w:r>
      <w:r>
        <w:rPr>
          <w:rFonts w:hint="eastAsia" w:ascii="仿宋_GB2312" w:hAnsi="宋体" w:eastAsia="仿宋_GB2312"/>
          <w:sz w:val="32"/>
          <w:szCs w:val="32"/>
        </w:rPr>
        <w:t>一般公共预算收入安排89130万元，增长7%。按照现行财政体制测算，加上税收返还、转移支付、调入资金等145990万元，收入总计235120万元。</w:t>
      </w:r>
      <w:r>
        <w:rPr>
          <w:rFonts w:hint="eastAsia" w:ascii="仿宋_GB2312" w:eastAsia="仿宋_GB2312"/>
          <w:sz w:val="32"/>
          <w:szCs w:val="32"/>
        </w:rPr>
        <w:t>按照收支平衡的原则，2021年全县一般公共预算支出安排235120万元，比上年预算增长3.6%。一是基本支出安排186617万元，占总支出的79.4 %；二是专项项目支出安排45503万元，占总支出的19.3%；三是预备费安排3000万元，占总支出的1.3%。</w:t>
      </w:r>
      <w:r>
        <w:rPr>
          <w:rFonts w:hint="eastAsia" w:ascii="仿宋_GB2312" w:hAnsi="宋体" w:eastAsia="仿宋_GB2312"/>
          <w:sz w:val="32"/>
          <w:szCs w:val="32"/>
        </w:rPr>
        <w:t>预算安排收支平衡。</w:t>
      </w:r>
    </w:p>
    <w:p>
      <w:pPr>
        <w:spacing w:line="560" w:lineRule="exact"/>
        <w:ind w:firstLine="643" w:firstLineChars="200"/>
        <w:rPr>
          <w:rFonts w:ascii="仿宋_GB2312" w:hAnsi="宋体" w:eastAsia="仿宋_GB2312"/>
          <w:sz w:val="32"/>
          <w:szCs w:val="32"/>
        </w:rPr>
      </w:pPr>
      <w:r>
        <w:rPr>
          <w:rFonts w:hint="eastAsia" w:ascii="仿宋_GB2312" w:hAnsi="宋体" w:eastAsia="仿宋_GB2312"/>
          <w:b/>
          <w:bCs/>
          <w:sz w:val="32"/>
          <w:szCs w:val="32"/>
        </w:rPr>
        <w:t>（二）政府性基金预算。</w:t>
      </w:r>
      <w:r>
        <w:rPr>
          <w:rFonts w:hint="eastAsia" w:ascii="仿宋_GB2312" w:hAnsi="宋体" w:eastAsia="仿宋_GB2312"/>
          <w:sz w:val="32"/>
          <w:szCs w:val="32"/>
        </w:rPr>
        <w:t>收入预算安排90080万元，其中县本级安排87750万元，下降29.4%，主要原因是协昌公司购买土地出让收入减少，上级转移支付收入2330万元。支出预算安排70080万元，下降34.8%，加上调入一般公共预算20000万元，支出总计90080万元，收支平衡。</w:t>
      </w:r>
    </w:p>
    <w:p>
      <w:pPr>
        <w:spacing w:line="560" w:lineRule="exact"/>
        <w:ind w:firstLine="482" w:firstLineChars="150"/>
        <w:rPr>
          <w:rFonts w:ascii="仿宋_GB2312" w:hAnsi="宋体" w:eastAsia="仿宋_GB2312"/>
          <w:sz w:val="32"/>
          <w:szCs w:val="32"/>
        </w:rPr>
      </w:pPr>
      <w:r>
        <w:rPr>
          <w:rFonts w:hint="eastAsia" w:ascii="仿宋" w:hAnsi="仿宋" w:eastAsia="仿宋" w:cs="仿宋"/>
          <w:b/>
          <w:bCs/>
          <w:sz w:val="32"/>
          <w:szCs w:val="32"/>
        </w:rPr>
        <w:t>3、国有资本经营预算。</w:t>
      </w:r>
      <w:r>
        <w:rPr>
          <w:rFonts w:hint="eastAsia" w:ascii="仿宋_GB2312" w:hAnsi="宋体" w:eastAsia="仿宋_GB2312"/>
          <w:sz w:val="32"/>
          <w:szCs w:val="32"/>
        </w:rPr>
        <w:t>收入安排14490万元，是污水处理厂特许经营转让收入，年终调入一般公共预算。</w:t>
      </w:r>
    </w:p>
    <w:p>
      <w:pPr>
        <w:spacing w:line="560" w:lineRule="exact"/>
        <w:ind w:firstLine="482" w:firstLineChars="150"/>
        <w:rPr>
          <w:rFonts w:ascii="仿宋_GB2312" w:hAnsi="宋体" w:eastAsia="仿宋_GB2312"/>
          <w:sz w:val="32"/>
          <w:szCs w:val="32"/>
        </w:rPr>
      </w:pPr>
      <w:r>
        <w:rPr>
          <w:rFonts w:hint="eastAsia" w:ascii="仿宋" w:hAnsi="仿宋" w:eastAsia="仿宋" w:cs="仿宋"/>
          <w:b/>
          <w:bCs/>
          <w:sz w:val="32"/>
          <w:szCs w:val="32"/>
        </w:rPr>
        <w:t>4、社会保险基金预算。</w:t>
      </w:r>
      <w:r>
        <w:rPr>
          <w:rFonts w:hint="eastAsia" w:ascii="仿宋_GB2312" w:hAnsi="仿宋" w:eastAsia="仿宋_GB2312" w:cs="仿宋"/>
          <w:sz w:val="32"/>
          <w:szCs w:val="32"/>
        </w:rPr>
        <w:t>2021年社会保险基金预算中不再安排已省级统筹的企业职工基本养老保险基金和城乡居民医疗保险基金。全年社会保险基金预算</w:t>
      </w:r>
      <w:r>
        <w:rPr>
          <w:rFonts w:hint="eastAsia" w:ascii="仿宋_GB2312" w:hAnsi="宋体" w:eastAsia="仿宋_GB2312"/>
          <w:sz w:val="32"/>
          <w:szCs w:val="32"/>
        </w:rPr>
        <w:t>收入安排45541万元（包括城乡居民养老保险、机关事业养老保险和职工医疗保险，与上年预算安排有大幅度下降，剔除不可比因素后），增长6.2%，其中，参保人员缴纳的保险费收入23955万元，财政补贴收入18635万元，保险基金存款利息和其他收益收入1135万元。支出安排43019万元，增长18.4%，年末滚存结余51439万元。</w:t>
      </w:r>
    </w:p>
    <w:p>
      <w:pPr>
        <w:spacing w:line="560" w:lineRule="exact"/>
        <w:ind w:firstLine="640" w:firstLineChars="200"/>
        <w:rPr>
          <w:rFonts w:ascii="黑体" w:eastAsia="黑体"/>
          <w:sz w:val="32"/>
          <w:szCs w:val="32"/>
        </w:rPr>
      </w:pPr>
      <w:r>
        <w:rPr>
          <w:rFonts w:hint="eastAsia" w:ascii="黑体" w:hAnsi="黑体" w:eastAsia="黑体" w:cs="黑体"/>
          <w:sz w:val="32"/>
          <w:szCs w:val="32"/>
        </w:rPr>
        <w:t>四、</w:t>
      </w:r>
      <w:r>
        <w:rPr>
          <w:rFonts w:hint="eastAsia" w:ascii="黑体" w:eastAsia="黑体"/>
          <w:sz w:val="32"/>
          <w:szCs w:val="32"/>
        </w:rPr>
        <w:t>认真做好2021年预算管理工作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2021年，我们将认真落实县委、县人大各项决策部署和工作要求，围绕上述预算安排，坚持依法理财，落实减税降费，深化财税改革，强化预算约束，严控债务风险，树立长期过紧日子思想，努力完成全年预算任务。</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（一）依法理财，强化预算约束</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严格执行</w:t>
      </w:r>
      <w:r>
        <w:rPr>
          <w:rFonts w:hint="default" w:ascii="仿宋_GB2312" w:eastAsia="仿宋_GB2312"/>
          <w:sz w:val="32"/>
          <w:szCs w:val="32"/>
          <w:lang w:val="en-US"/>
        </w:rPr>
        <w:t>《中华人民共和国预算法》</w:t>
      </w:r>
      <w:r>
        <w:rPr>
          <w:rFonts w:hint="eastAsia" w:ascii="仿宋_GB2312" w:eastAsia="仿宋_GB2312"/>
          <w:sz w:val="32"/>
          <w:szCs w:val="32"/>
        </w:rPr>
        <w:t>和修订后《中华人民共和国预算法实施条例》以及相关的法律法规，强化预算约束，加强预算管理。收入方面，坚决把该减的税减到位，把该降的费降到位，依法组织财政收入，不搞虚收空转、不收过头税费，切实提高收入质量；支出方面，严格执行人大批准的财政预算，真正做到无预算不支出。对确需追加的临时预算，财政部门把细把严把实第一关，并严格按审批程序报人大批准后予以执行。</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（二）精准有效，实施积极的财政政策</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坚持精准、高效，使积极的财政政策提质增效、更可持续。一方面，建立实施常态化的财政资金直达机制，提高财政支出效率，进一步突出绩效导向；另一方面，持续推进减税降费保持连续性，全面落实各项惠企政策措施，进一步加大帮扶力度，着力解决企业经营上的痛点、堵点和难点，支持企业轻装发展。继续实施财政贴息和对金融机构支持企业发展贷款奖励政策，着力解决企业融资难、融资贵的难题。</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（三）乘势而上，加强基本民生保障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民生保障事关经济社会高质量发展和社会稳定大局，在当前经济形势复杂严峻、财政收支矛盾突出的情况下，我们将进一步优化支出结构，提高资金配置效率，在预算安排上优先保障和重点支持国家和省出台的统一民生政策和标准，尤其是教育、养老、医疗卫生、住房保障等做到应保尽保、全面落实。</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认真落实国家民生资金直达机制工作要求，严格按照国家规定的范围将涉及民生保障的中央财政补助资金纳入直达管理，确保资金精准直达受益对象，有效保障和改善民生。充分利用直达资金管理监控系统，强化直达资金管理，实现全覆盖、全链条监控，加强直达资金拨付使用监督，确保直达资金下达和资金监管同步“一竿子插到底”。</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明确重点民生领域管理要求，切实加强支出管理。一是全面强化就业优先政策，加强对重点行业、重点群体就业支持；二是推进城乡义务教育一体化发展，完善家庭经济困难学生资助体系，全面落实免杂费政策；三是强化低保制度的兜底保障作用，健全城乡低保标准调整机制，落实社会救助和保障标准与物价上涨挂钩的联动机制；四是结合疫情防控形势，进一步加强公共卫生体系建设。</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（四）健全机制，强化财政管理和监督</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全面推进预算管理一体化，贯通各级财政预算管理，将县级预算数据集中到省级财政，并与财政部联网对接，通过嵌入系统的控制规则规范预算管理和硬化预算约束。进一步提高投资评审和政府采购工作效率，使节约资金与规范化、高效化有机结合。推动实施新增政府债券项目申报事前绩效评估机制，将评价结果做为申报项目的主要依据，项目成熟一个申报一个，有效解决资金等项目造成资金闲置的问题。有序扩大政务公开范围，将扶贫项目资金分配使用、重点项目绩效评价报告纳入政务公开范畴，自觉接受人大和社会各界监督。搭建更加完善的人大预算联网监督平台，确保县人大常委会的实时监督常态化。</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（五）合理适度，推进重点项目建设</w:t>
      </w:r>
    </w:p>
    <w:p>
      <w:pPr>
        <w:pStyle w:val="2"/>
        <w:spacing w:line="560" w:lineRule="exact"/>
        <w:ind w:firstLine="640"/>
        <w:rPr>
          <w:rFonts w:ascii="仿宋_GB2312" w:hAnsi="仿宋" w:eastAsia="仿宋_GB2312" w:cs="仿宋"/>
          <w:sz w:val="32"/>
          <w:szCs w:val="28"/>
        </w:rPr>
      </w:pPr>
      <w:r>
        <w:rPr>
          <w:rFonts w:ascii="仿宋_GB2312" w:hAnsi="仿宋" w:eastAsia="仿宋_GB2312" w:cs="仿宋"/>
          <w:sz w:val="32"/>
          <w:szCs w:val="28"/>
        </w:rPr>
        <w:t>积极向上争取债券资金并统筹县级财力，全面助力打造魅力“新”无极。一是推进新外环建设和城区路网建设，并全力推进津石高速连接线和高速口建设，为县域经济发展提速增效；二是合理布局建设高标准新区，以城北科教新城作为县城建设的爆发点，全面提升公共服务功能，把建筑群雕琢成无极的文化符号；三是加大高品质改造旧城力度，进一步完善给排水、供暖、供气、照明等设施，加快推进综合文化展馆、新客运站等项目投用，稳步推进老旧小区整治，尽快完成姚村棚户区改造，推进县城西部连片开发，建设一批高端社区。</w:t>
      </w:r>
    </w:p>
    <w:p>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（六）严格管控，降低财政运行风险。</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一是要切实防范财政平衡风险，坚决兜牢“三保”底线，处理好吃饭与建设的关系，充分考虑财政承受能力，合理有序实施项目建设，不搞政绩工程、形象工程；不收过头税、不吃探头粮，树立长期过“紧日子”思想，把好钢用在刀刃上，确保财政紧平衡状态下能负重前行。二是要切实防范债务风险，严格执行政府债务限额管理制度，压实偿债主体责任，将还本付息资金列入年度预算，保证如期偿还本息的良好信誉。三是要切实防范隐性债务风险，加强项目建设审核把关，在落实资金的前提下充分论证项目建设的必要性、可行性，严禁无资金通过各种方式举借隐性债务新增建设项目；同时认真落实政府隐性债务化解方案，如期完成化解任务，确保不发生区域性系统性债务风险。</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各位代表，“实业强县”是我县“十四五”最鲜明的特征，2021年是“十四五”开局之年，开好头、起好步尤其重要。我们要坚持以习近平新时代中国特色社会主义思想为指导，全面落实中央和省市会议精神，在县委的领导下，认真落实人大会议的决议，切实增强全局观念，以推动高质量发展为主题，坚持“全面跃升、力争上游”，朝着“实业强县、幸福无极”迈出坚实的一步，以优异的成绩庆祝建党100周年。</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14</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14</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30C03D"/>
    <w:multiLevelType w:val="singleLevel"/>
    <w:tmpl w:val="DC30C03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1B4D47"/>
    <w:rsid w:val="002746A8"/>
    <w:rsid w:val="005920C9"/>
    <w:rsid w:val="00623CB7"/>
    <w:rsid w:val="00715B28"/>
    <w:rsid w:val="00FF6122"/>
    <w:rsid w:val="02E73113"/>
    <w:rsid w:val="03A31242"/>
    <w:rsid w:val="04600638"/>
    <w:rsid w:val="0518160C"/>
    <w:rsid w:val="06283906"/>
    <w:rsid w:val="06882B4D"/>
    <w:rsid w:val="0797207B"/>
    <w:rsid w:val="09613817"/>
    <w:rsid w:val="0A734438"/>
    <w:rsid w:val="0BD37367"/>
    <w:rsid w:val="0E0634D6"/>
    <w:rsid w:val="0E1C0505"/>
    <w:rsid w:val="0E5711FE"/>
    <w:rsid w:val="0EE72299"/>
    <w:rsid w:val="0F4A1A6D"/>
    <w:rsid w:val="0FC35B97"/>
    <w:rsid w:val="10D530FE"/>
    <w:rsid w:val="121749D0"/>
    <w:rsid w:val="12682E1C"/>
    <w:rsid w:val="12B16C71"/>
    <w:rsid w:val="1347230E"/>
    <w:rsid w:val="176A19F7"/>
    <w:rsid w:val="17851B85"/>
    <w:rsid w:val="1810318C"/>
    <w:rsid w:val="197A206A"/>
    <w:rsid w:val="1A607494"/>
    <w:rsid w:val="1BD12547"/>
    <w:rsid w:val="1C241858"/>
    <w:rsid w:val="1EB75F98"/>
    <w:rsid w:val="1F95236E"/>
    <w:rsid w:val="201D0409"/>
    <w:rsid w:val="233E1277"/>
    <w:rsid w:val="23F03DE6"/>
    <w:rsid w:val="25FD7EF5"/>
    <w:rsid w:val="262C3F83"/>
    <w:rsid w:val="27085988"/>
    <w:rsid w:val="27935D9F"/>
    <w:rsid w:val="2822459F"/>
    <w:rsid w:val="29FD0B4B"/>
    <w:rsid w:val="2AAF3148"/>
    <w:rsid w:val="2BA83F86"/>
    <w:rsid w:val="2BAF7A6E"/>
    <w:rsid w:val="2EC60A86"/>
    <w:rsid w:val="30BF35E0"/>
    <w:rsid w:val="317C44A2"/>
    <w:rsid w:val="31A12A92"/>
    <w:rsid w:val="383F4E3D"/>
    <w:rsid w:val="38DD69C0"/>
    <w:rsid w:val="390736E9"/>
    <w:rsid w:val="39B536D0"/>
    <w:rsid w:val="3B685DE7"/>
    <w:rsid w:val="3B6E6A73"/>
    <w:rsid w:val="3B8D30E9"/>
    <w:rsid w:val="3B9C18AC"/>
    <w:rsid w:val="3D264E46"/>
    <w:rsid w:val="3DC03186"/>
    <w:rsid w:val="3DCA7C82"/>
    <w:rsid w:val="40A930BD"/>
    <w:rsid w:val="421164D1"/>
    <w:rsid w:val="448C0BC2"/>
    <w:rsid w:val="45411219"/>
    <w:rsid w:val="46DE494D"/>
    <w:rsid w:val="47EA4039"/>
    <w:rsid w:val="49F6626B"/>
    <w:rsid w:val="4A303F4C"/>
    <w:rsid w:val="4A8850F1"/>
    <w:rsid w:val="4D5C7860"/>
    <w:rsid w:val="4E006BCF"/>
    <w:rsid w:val="4EA5021E"/>
    <w:rsid w:val="50621F54"/>
    <w:rsid w:val="5089023B"/>
    <w:rsid w:val="51062CBB"/>
    <w:rsid w:val="51464E0C"/>
    <w:rsid w:val="51D50191"/>
    <w:rsid w:val="5230778A"/>
    <w:rsid w:val="532468FD"/>
    <w:rsid w:val="54750084"/>
    <w:rsid w:val="549E1726"/>
    <w:rsid w:val="552F3EAE"/>
    <w:rsid w:val="56B717A2"/>
    <w:rsid w:val="56CD3118"/>
    <w:rsid w:val="57197707"/>
    <w:rsid w:val="57A656CC"/>
    <w:rsid w:val="57B10D2E"/>
    <w:rsid w:val="5AAF7208"/>
    <w:rsid w:val="5B062970"/>
    <w:rsid w:val="5B1A1EDD"/>
    <w:rsid w:val="5E5F56F4"/>
    <w:rsid w:val="5F4B2615"/>
    <w:rsid w:val="5FE55361"/>
    <w:rsid w:val="6007393F"/>
    <w:rsid w:val="601B1AFF"/>
    <w:rsid w:val="624C661F"/>
    <w:rsid w:val="66A12CFC"/>
    <w:rsid w:val="683C6923"/>
    <w:rsid w:val="6E461EE4"/>
    <w:rsid w:val="70055E6D"/>
    <w:rsid w:val="711B4D47"/>
    <w:rsid w:val="73E52D27"/>
    <w:rsid w:val="758B7AEB"/>
    <w:rsid w:val="76C42729"/>
    <w:rsid w:val="77194276"/>
    <w:rsid w:val="786C04B4"/>
    <w:rsid w:val="7927611E"/>
    <w:rsid w:val="7978663D"/>
    <w:rsid w:val="79905971"/>
    <w:rsid w:val="7C3B73D7"/>
    <w:rsid w:val="7CE16E95"/>
    <w:rsid w:val="7FDB05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line="360" w:lineRule="auto"/>
      <w:ind w:firstLine="200" w:firstLineChars="200"/>
      <w:textAlignment w:val="baseline"/>
    </w:pPr>
    <w:rPr>
      <w:rFonts w:hint="eastAsia"/>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14</Pages>
  <Words>1217</Words>
  <Characters>6943</Characters>
  <Lines>57</Lines>
  <Paragraphs>16</Paragraphs>
  <TotalTime>21</TotalTime>
  <ScaleCrop>false</ScaleCrop>
  <LinksUpToDate>false</LinksUpToDate>
  <CharactersWithSpaces>8144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2020-12-27T15:21:00Z</dcterms:created>
  <dc:creator>8</dc:creator>
  <cp:lastModifiedBy>Administrator</cp:lastModifiedBy>
  <cp:lastPrinted>2021-02-18T09:10:00Z</cp:lastPrinted>
  <dcterms:modified xsi:type="dcterms:W3CDTF">2024-05-15T08:29:23Z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E2F08A6C39114FC29F7DC6C131FC553F</vt:lpwstr>
  </property>
</Properties>
</file>