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52"/>
        </w:rPr>
      </w:pPr>
      <w:bookmarkStart w:id="8" w:name="_GoBack"/>
      <w:bookmarkEnd w:id="8"/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72"/>
        </w:rPr>
      </w:pPr>
      <w:r>
        <w:rPr>
          <w:rFonts w:hint="eastAsia" w:ascii="方正小标宋_GBK" w:eastAsia="方正小标宋_GBK"/>
          <w:sz w:val="72"/>
        </w:rPr>
        <w:t>2016年县级部门预算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hint="eastAsia" w:ascii="方正小标宋_GBK" w:eastAsia="方正小标宋_GBK"/>
          <w:sz w:val="52"/>
        </w:rPr>
        <w:t>（草案）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方正楷体_GBK" w:eastAsia="方正楷体_GBK"/>
          <w:b/>
          <w:sz w:val="52"/>
        </w:rPr>
      </w:pPr>
      <w:r>
        <w:rPr>
          <w:rFonts w:hint="eastAsia" w:ascii="方正楷体_GBK" w:eastAsia="方正楷体_GBK"/>
          <w:b/>
          <w:sz w:val="52"/>
        </w:rPr>
        <w:t>人大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人大编制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无极县财政局审核</w:t>
      </w:r>
    </w:p>
    <w:p>
      <w:pPr>
        <w:widowControl/>
        <w:jc w:val="left"/>
      </w:pPr>
      <w:r>
        <w:br w:type="page"/>
      </w:r>
    </w:p>
    <w:p>
      <w:pPr>
        <w:jc w:val="center"/>
      </w:pPr>
    </w:p>
    <w:p>
      <w:pPr>
        <w:jc w:val="center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hint="eastAsia" w:ascii="方正小标宋_GBK" w:eastAsia="方正小标宋_GBK"/>
          <w:sz w:val="36"/>
        </w:rPr>
        <w:t>目    录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第一部分 部门预算情况</w:t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"1-1"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年度目标及保障措施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_Toc447120370 \h </w:instrText>
      </w:r>
      <w:r>
        <w:rPr>
          <w:sz w:val="28"/>
        </w:rPr>
        <w:fldChar w:fldCharType="separate"/>
      </w:r>
      <w:r>
        <w:rPr>
          <w:sz w:val="28"/>
        </w:rPr>
        <w:t>4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部门职责</w:t>
      </w:r>
      <w:r>
        <w:rPr>
          <w:rFonts w:ascii="方正小标宋_GBK" w:eastAsia="方正小标宋_GBK"/>
          <w:sz w:val="28"/>
        </w:rPr>
        <w:t>-</w:t>
      </w:r>
      <w:r>
        <w:rPr>
          <w:rFonts w:hint="eastAsia" w:ascii="方正小标宋_GBK" w:eastAsia="方正小标宋_GBK"/>
          <w:sz w:val="28"/>
        </w:rPr>
        <w:t>工作活动绩效目标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_Toc447120371 \h </w:instrText>
      </w:r>
      <w:r>
        <w:rPr>
          <w:sz w:val="28"/>
        </w:rPr>
        <w:fldChar w:fldCharType="separate"/>
      </w:r>
      <w:r>
        <w:rPr>
          <w:sz w:val="28"/>
        </w:rPr>
        <w:t>7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部门收支预算总表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_Toc447120372 \h </w:instrText>
      </w:r>
      <w:r>
        <w:rPr>
          <w:sz w:val="28"/>
        </w:rPr>
        <w:fldChar w:fldCharType="separate"/>
      </w:r>
      <w:r>
        <w:rPr>
          <w:sz w:val="28"/>
        </w:rPr>
        <w:t>9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_Toc447120373 \h </w:instrText>
      </w:r>
      <w:r>
        <w:rPr>
          <w:sz w:val="28"/>
        </w:rPr>
        <w:fldChar w:fldCharType="separate"/>
      </w:r>
      <w:r>
        <w:rPr>
          <w:sz w:val="28"/>
        </w:rPr>
        <w:t>10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部门项目支出预算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_Toc447120374 \h </w:instrText>
      </w:r>
      <w:r>
        <w:rPr>
          <w:sz w:val="28"/>
        </w:rPr>
        <w:fldChar w:fldCharType="separate"/>
      </w:r>
      <w:r>
        <w:rPr>
          <w:sz w:val="28"/>
        </w:rPr>
        <w:t>18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部门“三公”及会议培训经费预算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_Toc447120375 \h </w:instrText>
      </w:r>
      <w:r>
        <w:rPr>
          <w:sz w:val="28"/>
        </w:rPr>
        <w:fldChar w:fldCharType="separate"/>
      </w:r>
      <w:r>
        <w:rPr>
          <w:sz w:val="28"/>
        </w:rPr>
        <w:t>19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部门基本情况表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_Toc447120376 \h </w:instrText>
      </w:r>
      <w:r>
        <w:rPr>
          <w:sz w:val="28"/>
        </w:rPr>
        <w:fldChar w:fldCharType="separate"/>
      </w:r>
      <w:r>
        <w:rPr>
          <w:sz w:val="28"/>
        </w:rPr>
        <w:t>20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第二部分 预算单位收支预算情况</w:t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"2-2"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一、无极县人民代表大会常务委员会办公室收支预算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_Toc447120377 \h </w:instrText>
      </w:r>
      <w:r>
        <w:rPr>
          <w:sz w:val="28"/>
        </w:rPr>
        <w:fldChar w:fldCharType="separate"/>
      </w:r>
      <w:r>
        <w:rPr>
          <w:sz w:val="28"/>
        </w:rPr>
        <w:t>22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第一部分 部门预算情况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outlineLvl w:val="0"/>
        <w:rPr>
          <w:rFonts w:ascii="方正小标宋_GBK" w:eastAsia="方正小标宋_GBK"/>
          <w:sz w:val="36"/>
        </w:rPr>
      </w:pPr>
      <w:bookmarkStart w:id="0" w:name="_Toc447120370"/>
      <w:r>
        <w:rPr>
          <w:rFonts w:hint="eastAsia" w:ascii="方正小标宋_GBK" w:eastAsia="方正小标宋_GBK"/>
          <w:sz w:val="36"/>
        </w:rPr>
        <w:t>年度目标及保障措施</w:t>
      </w:r>
      <w:bookmarkEnd w:id="0"/>
    </w:p>
    <w:p>
      <w:pPr>
        <w:jc w:val="center"/>
        <w:outlineLvl w:val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一、年度发展规划目标</w:t>
      </w: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总体目标：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紧紧围绕“工业强县、城建靓县、商贸活县、民生惠县、文化育县”五大战略，推进全县重大决策工作的落实。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围绕人民群众关心的重要民生问题进行监督，践行为民履职，保障民生福祉。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职责分类绩效目标：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1、监督宪法和法律在我县县行政区域内正确实施。2、监督一府两院依法开展工作。3、监督县本级预算按照县代会通过的预算有效实施。4、监督经济和社会发展计划有效实施。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1、在人大代表和县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人民代表大会常务委员会</w:t>
      </w:r>
      <w:r>
        <w:rPr>
          <w:rFonts w:ascii="方正仿宋_GBK" w:hAnsi="Calibri" w:eastAsia="方正仿宋_GBK" w:cs="Times New Roman"/>
          <w:sz w:val="28"/>
        </w:rPr>
        <w:t>充分发表审议意见的基础上，作出我县县经济社会发展计划、县总预算和县本级预算等决议。2、通过听取和审议一府两院等工作报告，作出有关报告的决议。3、通过质询、专题询问和工作评议的方式就一府两院的工作进行监督。4、为保证我县重大决策的科学性和法定性，实施作出有关我县重大问题的决定。5、高效、精细的筹备县人大会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二、实现年度发展规划目标的保障措施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2016年主要工作任务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 一、以坚持工作创新为原则，在提高人大工作科学化水平上积极作为。深入学习党的十八届三中、四中全会精神，深刻领会党对人大工作提出的新要求，力求学习更加深入、领会更加透彻、贯彻更加自觉。坚持把做好人大工作与推进县委重大决策落实结合起来，自觉在大局下定位，主动在大局中作为，使人大工作始终与党同心同德、与人民同忧同乐、与时代同行同进。牢固树立法治思维方式，善于运用改革的办法和创新的举措，有效解决履职中的重点难点问题，进一步提高人大工作的科学化水平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二、以增强监督实效为核心，在服务转型发展上积极作为。围绕绿色崛起、跨越赶超的新目标，听取县政府关于主导产业转型升级、项目建设、经济开发区建设、“十二五”规划完成情况等工作情况的报告，督促支持“一府两院”全面落实县委的决策部署。围绕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“三农”工作</w:t>
      </w:r>
      <w:r>
        <w:rPr>
          <w:rFonts w:ascii="方正仿宋_GBK" w:hAnsi="Calibri" w:eastAsia="方正仿宋_GBK" w:cs="Times New Roman"/>
          <w:sz w:val="28"/>
        </w:rPr>
        <w:t xml:space="preserve">，听取农业产业化、农田水利、植树造林、“美丽乡村”建设等专项工作报告。创新监督方式，使满意度测评、专题询问、法官检察官履职评议等“刚性”监督方式常态化，增强监督实效。探索创新对政府全口径预决算审查监督的工作机制，完善预算管理制度。加强重大事项监督，依法作出决议决定，努力把县委的决策部署转化为全县人民的共同意志。认真行使人事任免权，切实加强干部任前考察、任中依法、任后监督。认真落实县委重大项目分工责任制，在监督中支持发展，在参与中服务发展，在发展中有所作为。    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三、以落实人民意愿为宗旨，在促进民生改善上积极作为。听取县政府关于大气和水污染治理、城市管理、交通运输、行政审批、社会养老服务、卫生医疗、文化教育等方面工作情况报告，积极推进解决人民群众关注的难点、热点问题。深入开展</w:t>
      </w:r>
      <w:r>
        <w:rPr>
          <w:rFonts w:ascii="方正仿宋_GBK" w:hAnsi="Calibri" w:eastAsia="方正仿宋_GBK" w:cs="Times New Roman"/>
          <w:sz w:val="28"/>
          <w:lang w:val="en-US"/>
        </w:rPr>
        <w:t>《中华人民共和国安全生产法》</w:t>
      </w:r>
      <w:r>
        <w:rPr>
          <w:rFonts w:ascii="方正仿宋_GBK" w:hAnsi="Calibri" w:eastAsia="方正仿宋_GBK" w:cs="Times New Roman"/>
          <w:sz w:val="28"/>
        </w:rPr>
        <w:t>、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《中华人民共和国食品安全法》</w:t>
      </w:r>
      <w:r>
        <w:rPr>
          <w:rFonts w:ascii="方正仿宋_GBK" w:hAnsi="Calibri" w:eastAsia="方正仿宋_GBK" w:cs="Times New Roman"/>
          <w:sz w:val="28"/>
        </w:rPr>
        <w:t>、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《中华人民共和国法官法》</w:t>
      </w:r>
      <w:r>
        <w:rPr>
          <w:rFonts w:ascii="方正仿宋_GBK" w:hAnsi="Calibri" w:eastAsia="方正仿宋_GBK" w:cs="Times New Roman"/>
          <w:sz w:val="28"/>
        </w:rPr>
        <w:t>、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《中华人民共和国检察官法》</w:t>
      </w:r>
      <w:r>
        <w:rPr>
          <w:rFonts w:ascii="方正仿宋_GBK" w:hAnsi="Calibri" w:eastAsia="方正仿宋_GBK" w:cs="Times New Roman"/>
          <w:sz w:val="28"/>
        </w:rPr>
        <w:t>、《警察法》等法律法规实施情况执法检查，督促协解群众关注的突出问题，维护法制尊严，促进公平正义。认真处理群众来信来访，努力化解社会矛盾，增进社会和谐。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四、以丰富闭会期间活动为重点，在保障代表依法履职上积极作为。</w:t>
      </w:r>
      <w:r>
        <w:rPr>
          <w:rFonts w:hint="eastAsia" w:ascii="方正仿宋_GBK" w:hAnsi="宋体" w:eastAsia="方正仿宋_GBK" w:cs="宋体"/>
          <w:sz w:val="28"/>
        </w:rPr>
        <w:t>以创建</w:t>
      </w:r>
      <w:r>
        <w:rPr>
          <w:rFonts w:ascii="方正仿宋_GBK" w:hAnsi="Calibri" w:eastAsia="方正仿宋_GBK" w:cs="Times New Roman"/>
          <w:sz w:val="28"/>
        </w:rPr>
        <w:t>“</w:t>
      </w:r>
      <w:r>
        <w:rPr>
          <w:rFonts w:hint="eastAsia" w:ascii="方正仿宋_GBK" w:hAnsi="宋体" w:eastAsia="方正仿宋_GBK" w:cs="宋体"/>
          <w:sz w:val="28"/>
        </w:rPr>
        <w:t>人大代表之家（站）</w:t>
      </w:r>
      <w:r>
        <w:rPr>
          <w:rFonts w:ascii="方正仿宋_GBK" w:hAnsi="Calibri" w:eastAsia="方正仿宋_GBK" w:cs="Times New Roman"/>
          <w:sz w:val="28"/>
        </w:rPr>
        <w:t>”</w:t>
      </w:r>
      <w:r>
        <w:rPr>
          <w:rFonts w:hint="eastAsia" w:ascii="方正仿宋_GBK" w:hAnsi="宋体" w:eastAsia="方正仿宋_GBK" w:cs="宋体"/>
          <w:sz w:val="28"/>
        </w:rPr>
        <w:t>为抓手，搭建代表学习培训、联系选民、沟通交流和展示形象的坚实平台；以促进代表发挥作用为目标，坚持和完善常委会组成人员联系代表制度，引导代表走访选区、联系选民、维护民利；以激发代表履职热情为目的，加大代表建议督办力度，不断提高代表建议的落实率、解决率和代表满意率。</w:t>
      </w:r>
    </w:p>
    <w:p>
      <w:pPr>
        <w:jc w:val="left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1" w:name="_Toc447120371"/>
      <w:r>
        <w:rPr>
          <w:rFonts w:hint="eastAsia" w:ascii="方正小标宋_GBK" w:eastAsia="方正小标宋_GBK"/>
          <w:sz w:val="32"/>
        </w:rPr>
        <w:t>部门职责-工作活动绩效目标</w:t>
      </w:r>
      <w:bookmarkEnd w:id="1"/>
    </w:p>
    <w:tbl>
      <w:tblPr>
        <w:tblStyle w:val="4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3934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</w:t>
            </w:r>
            <w:r>
              <w:rPr>
                <w:rFonts w:hint="eastAsia" w:ascii="方正小标宋_GBK" w:eastAsia="方正小标宋_GBK"/>
                <w:sz w:val="24"/>
              </w:rPr>
              <w:t>人大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41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人大监督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进行执法检查；围绕政府工作报告内容开展调查研究，开展专题询问和工作评议；对</w:t>
            </w:r>
            <w:r>
              <w:rPr>
                <w:rFonts w:hint="cs" w:ascii="方正书宋_GBK" w:eastAsia="方正书宋_GBK"/>
              </w:rPr>
              <w:t>“</w:t>
            </w:r>
            <w:r>
              <w:rPr>
                <w:rFonts w:hint="eastAsia" w:ascii="方正书宋_GBK" w:eastAsia="方正书宋_GBK"/>
              </w:rPr>
              <w:t>一府两院</w:t>
            </w:r>
            <w:r>
              <w:rPr>
                <w:rFonts w:hint="cs" w:ascii="方正书宋_GBK" w:eastAsia="方正书宋_GBK"/>
              </w:rPr>
              <w:t>”</w:t>
            </w:r>
            <w:r>
              <w:rPr>
                <w:rFonts w:hint="eastAsia" w:ascii="方正书宋_GBK" w:eastAsia="方正书宋_GBK"/>
              </w:rPr>
              <w:t>进行监督。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、监督宪法和法律在我县县行政区域内正确实施。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、监督一府两院依法开展工作。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、监督县本级预算按照县代会通过的预算有效实施。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、监督经济和社会发展计划有效实施。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专门委员会、常委及人大代表活动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组织专门委员会委员对法律实施情况进行检查；组织县</w:t>
            </w:r>
            <w:r>
              <w:rPr>
                <w:rFonts w:hint="eastAsia" w:ascii="方正书宋_GBK" w:eastAsia="方正书宋_GBK"/>
                <w:lang w:eastAsia="zh-CN"/>
              </w:rPr>
              <w:t>人民代表大会常务委员会</w:t>
            </w:r>
            <w:r>
              <w:rPr>
                <w:rFonts w:hint="eastAsia" w:ascii="方正书宋_GBK" w:eastAsia="方正书宋_GBK"/>
              </w:rPr>
              <w:t>及县人大代表进行执法检查和集中视察；开展代表建议督办；组织对常委及代表培训。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提高法规质量，保障其有效实施；发挥常委及代表的桥梁纽带作用，集中反映民意，促进依法履职。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培训计划完成率</w:t>
            </w:r>
            <w:r>
              <w:rPr>
                <w:rFonts w:ascii="方正书宋_GBK" w:eastAsia="方正书宋_GBK"/>
              </w:rPr>
              <w:t xml:space="preserve"> </w:t>
            </w:r>
            <w:r>
              <w:rPr>
                <w:rFonts w:hint="eastAsia" w:ascii="方正书宋_GBK" w:eastAsia="方正书宋_GBK"/>
              </w:rPr>
              <w:t>执法检查和集中视察完成率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85%</w:t>
            </w:r>
            <w:r>
              <w:rPr>
                <w:rFonts w:hint="eastAsia" w:ascii="方正书宋_GBK" w:eastAsia="方正书宋_GBK"/>
              </w:rPr>
              <w:t>以上</w:t>
            </w:r>
            <w:r>
              <w:rPr>
                <w:rFonts w:ascii="方正书宋_GBK" w:eastAsia="方正书宋_GBK"/>
              </w:rPr>
              <w:t xml:space="preserve"> 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75%</w:t>
            </w:r>
            <w:r>
              <w:rPr>
                <w:rFonts w:hint="eastAsia" w:ascii="方正书宋_GBK" w:eastAsia="方正书宋_GBK"/>
              </w:rPr>
              <w:t>以上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75%</w:t>
            </w:r>
            <w:r>
              <w:rPr>
                <w:rFonts w:hint="eastAsia" w:ascii="方正书宋_GBK" w:eastAsia="方正书宋_GBK"/>
              </w:rPr>
              <w:t>以下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人大会议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县人民代表大会和常务委员会各种会议的筹备、会务工作，负责常委会文件起草、审核把关，常委会会议、主任会议及常委会党组会议决定事项、工作部署、重要文件及领导批示的传达和督办。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、在人大代表和县</w:t>
            </w:r>
            <w:r>
              <w:rPr>
                <w:rFonts w:hint="eastAsia" w:ascii="方正书宋_GBK" w:eastAsia="方正书宋_GBK"/>
                <w:lang w:eastAsia="zh-CN"/>
              </w:rPr>
              <w:t>人民代表大会常务委员会</w:t>
            </w:r>
            <w:r>
              <w:rPr>
                <w:rFonts w:hint="eastAsia" w:ascii="方正书宋_GBK" w:eastAsia="方正书宋_GBK"/>
              </w:rPr>
              <w:t>充分发表审议意见的基础上，作出我县县经济社会发展计划、县总预算和县本级预算等决议。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、通过听取和审议一府两院等工作报告，作出有关报告的决议。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、通过质询、专题询问和工作评议的方式就一府两院的工作进行监督。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、为保证我县重大决策的科学性和法定性，实施作出有关我县重大问题的决定。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、高效、精细的筹备县人大会。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人大会议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承担县人民代表大会和常务委员会各种会议的筹备、会务工作，负责常委会文件起草、审核把关，常委会会议、主任会议及常委会党组会议决定事项、工作部署、重要文件及领导批示的传达和督办。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保障会议顺利召开，完成会议议程。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会议活动完成率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85%</w:t>
            </w:r>
            <w:r>
              <w:rPr>
                <w:rFonts w:hint="eastAsia" w:ascii="方正书宋_GBK" w:eastAsia="方正书宋_GBK"/>
              </w:rPr>
              <w:t>以上</w:t>
            </w:r>
            <w:r>
              <w:rPr>
                <w:rFonts w:ascii="方正书宋_GBK" w:eastAsia="方正书宋_GBK"/>
              </w:rPr>
              <w:t xml:space="preserve"> 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75%</w:t>
            </w:r>
            <w:r>
              <w:rPr>
                <w:rFonts w:hint="eastAsia" w:ascii="方正书宋_GBK" w:eastAsia="方正书宋_GBK"/>
              </w:rPr>
              <w:t>以上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75%</w:t>
            </w:r>
            <w:r>
              <w:rPr>
                <w:rFonts w:hint="eastAsia" w:ascii="方正书宋_GBK" w:eastAsia="方正书宋_GBK"/>
              </w:rPr>
              <w:t>以下</w:t>
            </w: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2" w:name="_Toc447120372"/>
      <w:r>
        <w:rPr>
          <w:rFonts w:hint="eastAsia" w:ascii="方正小标宋_GBK" w:eastAsia="方正小标宋_GBK"/>
          <w:sz w:val="32"/>
        </w:rPr>
        <w:t>部门收支预算总表</w:t>
      </w:r>
      <w:bookmarkEnd w:id="2"/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</w:t>
            </w:r>
            <w:r>
              <w:rPr>
                <w:rFonts w:hint="eastAsia" w:ascii="方正小标宋_GBK" w:eastAsia="方正小标宋_GBK"/>
                <w:sz w:val="24"/>
              </w:rPr>
              <w:t>人大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306.03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267.03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其中：本级支出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对下补助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1907" w:h="16839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3" w:name="_Toc447120373"/>
      <w:r>
        <w:rPr>
          <w:rFonts w:hint="eastAsia" w:ascii="方正小标宋_GBK" w:eastAsia="方正小标宋_GBK"/>
          <w:sz w:val="32"/>
        </w:rPr>
        <w:t>部门基本支出预算</w:t>
      </w:r>
      <w:bookmarkEnd w:id="3"/>
    </w:p>
    <w:tbl>
      <w:tblPr>
        <w:tblStyle w:val="4"/>
        <w:tblW w:w="468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5668"/>
        <w:gridCol w:w="1434"/>
        <w:gridCol w:w="1434"/>
        <w:gridCol w:w="1434"/>
        <w:gridCol w:w="1434"/>
        <w:gridCol w:w="14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450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</w:t>
            </w:r>
            <w:r>
              <w:rPr>
                <w:rFonts w:hint="eastAsia" w:ascii="方正小标宋_GBK" w:eastAsia="方正小标宋_GBK"/>
                <w:sz w:val="24"/>
              </w:rPr>
              <w:t>人大</w:t>
            </w:r>
          </w:p>
        </w:tc>
        <w:tc>
          <w:tcPr>
            <w:tcW w:w="2550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201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550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01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基本支出总计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306.03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306.03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人员经费合计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267.03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267.03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138.29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138.29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64.66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64.66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5.34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5.34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29.67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29.67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20.82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20.82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128.74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128.74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9.72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9.72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100.42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100.42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2.48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2.48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  2</w:t>
            </w:r>
            <w:r>
              <w:rPr>
                <w:rFonts w:hint="eastAsia" w:ascii="方正书宋_GBK" w:eastAsia="方正书宋_GBK"/>
                <w:b/>
              </w:rPr>
              <w:t>）离休住宅取暖费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0.12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0.12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4" w:name="_Toc447120374"/>
      <w:r>
        <w:rPr>
          <w:rFonts w:hint="eastAsia" w:ascii="方正小标宋_GBK" w:eastAsia="方正小标宋_GBK"/>
          <w:sz w:val="32"/>
        </w:rPr>
        <w:t>部门项目支出预算</w:t>
      </w:r>
      <w:bookmarkEnd w:id="4"/>
    </w:p>
    <w:tbl>
      <w:tblPr>
        <w:tblStyle w:val="4"/>
        <w:tblW w:w="484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0"/>
        <w:gridCol w:w="1598"/>
        <w:gridCol w:w="1007"/>
        <w:gridCol w:w="1202"/>
        <w:gridCol w:w="1202"/>
        <w:gridCol w:w="702"/>
        <w:gridCol w:w="1028"/>
        <w:gridCol w:w="1138"/>
        <w:gridCol w:w="1138"/>
        <w:gridCol w:w="1135"/>
        <w:gridCol w:w="1135"/>
        <w:gridCol w:w="113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blHeader/>
          <w:jc w:val="center"/>
        </w:trPr>
        <w:tc>
          <w:tcPr>
            <w:tcW w:w="2697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</w:t>
            </w:r>
            <w:r>
              <w:rPr>
                <w:rFonts w:hint="eastAsia" w:ascii="方正小标宋_GBK" w:eastAsia="方正小标宋_GBK"/>
                <w:sz w:val="24"/>
              </w:rPr>
              <w:t>人大</w:t>
            </w:r>
          </w:p>
        </w:tc>
        <w:tc>
          <w:tcPr>
            <w:tcW w:w="2303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项目承担单位</w:t>
            </w:r>
          </w:p>
        </w:tc>
        <w:tc>
          <w:tcPr>
            <w:tcW w:w="34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6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41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项目级次</w:t>
            </w:r>
          </w:p>
        </w:tc>
        <w:tc>
          <w:tcPr>
            <w:tcW w:w="2303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4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4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241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人大会议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人大会议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、会议费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无极县人民代表大会常务委员会办公室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2010104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5" w:name="_Toc447120375"/>
      <w:r>
        <w:rPr>
          <w:rFonts w:hint="eastAsia" w:ascii="方正小标宋_GBK" w:eastAsia="方正小标宋_GBK"/>
          <w:sz w:val="32"/>
        </w:rPr>
        <w:t>部门“三公”及会议培训经费预算</w:t>
      </w:r>
      <w:bookmarkEnd w:id="5"/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</w:t>
            </w:r>
            <w:r>
              <w:rPr>
                <w:rFonts w:hint="eastAsia" w:ascii="方正小标宋_GBK" w:eastAsia="方正小标宋_GBK"/>
                <w:sz w:val="24"/>
              </w:rPr>
              <w:t>人大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45.80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45.80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6" w:name="_Toc447120376"/>
      <w:r>
        <w:rPr>
          <w:rFonts w:hint="eastAsia" w:ascii="方正小标宋_GBK" w:eastAsia="方正小标宋_GBK"/>
          <w:sz w:val="32"/>
        </w:rPr>
        <w:t>部门基本情况表</w:t>
      </w:r>
      <w:bookmarkEnd w:id="6"/>
    </w:p>
    <w:tbl>
      <w:tblPr>
        <w:tblStyle w:val="4"/>
        <w:tblW w:w="1426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00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</w:t>
            </w:r>
            <w:r>
              <w:rPr>
                <w:rFonts w:hint="eastAsia" w:ascii="方正小标宋_GBK" w:eastAsia="方正小标宋_GBK"/>
                <w:sz w:val="24"/>
              </w:rPr>
              <w:t>人大</w:t>
            </w:r>
          </w:p>
        </w:tc>
        <w:tc>
          <w:tcPr>
            <w:tcW w:w="425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2353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车辆编制数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2127" w:type="dxa"/>
            <w:gridSpan w:val="3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35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无极县人民代表大会常务委员会办公室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0"/>
      </w:pP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第二部分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预算单位收支预算情况</w:t>
      </w:r>
    </w:p>
    <w:p>
      <w:pPr>
        <w:jc w:val="center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7" w:name="_Toc447120377"/>
      <w:r>
        <w:rPr>
          <w:rFonts w:hint="eastAsia" w:ascii="方正小标宋_GBK" w:eastAsia="方正小标宋_GBK"/>
          <w:sz w:val="44"/>
        </w:rPr>
        <w:t>一、无极县人民代表大会常务委员会办公室收支预算</w:t>
      </w:r>
      <w:bookmarkEnd w:id="7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101002</w:t>
            </w:r>
            <w:r>
              <w:rPr>
                <w:rFonts w:hint="eastAsia" w:ascii="方正小标宋_GBK" w:eastAsia="方正小标宋_GBK"/>
                <w:sz w:val="24"/>
              </w:rPr>
              <w:t>无极县人民代表大会常务委员会办公室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331.03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267.03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101002</w:t>
            </w:r>
            <w:r>
              <w:rPr>
                <w:rFonts w:hint="eastAsia" w:ascii="方正小标宋_GBK" w:eastAsia="方正小标宋_GBK"/>
                <w:sz w:val="24"/>
              </w:rPr>
              <w:t>无极县人民代表大会常务委员会办公室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267.03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267.03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138.29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138.29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64.66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64.66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38.62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38.62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34.62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34.62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5.34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5.34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29.67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29.67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20.82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20.82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128.74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128.74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9.72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9.72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100.42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100.42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56.62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56.62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2.48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2.48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101002</w:t>
            </w:r>
            <w:r>
              <w:rPr>
                <w:rFonts w:hint="eastAsia" w:ascii="方正小标宋_GBK" w:eastAsia="方正小标宋_GBK"/>
                <w:sz w:val="24"/>
              </w:rPr>
              <w:t>无极县人民代表大会常务委员会办公室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39.00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39.00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项目支出预算</w:t>
      </w:r>
    </w:p>
    <w:tbl>
      <w:tblPr>
        <w:tblStyle w:val="4"/>
        <w:tblW w:w="488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7"/>
        <w:gridCol w:w="1112"/>
        <w:gridCol w:w="1206"/>
        <w:gridCol w:w="1203"/>
        <w:gridCol w:w="1418"/>
        <w:gridCol w:w="1418"/>
        <w:gridCol w:w="1418"/>
        <w:gridCol w:w="1415"/>
        <w:gridCol w:w="1415"/>
        <w:gridCol w:w="14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101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101002</w:t>
            </w:r>
            <w:r>
              <w:rPr>
                <w:rFonts w:hint="eastAsia" w:ascii="方正小标宋_GBK" w:eastAsia="方正小标宋_GBK"/>
                <w:sz w:val="24"/>
              </w:rPr>
              <w:t>无极县人民代表大会常务委员会办公室</w:t>
            </w:r>
          </w:p>
        </w:tc>
        <w:tc>
          <w:tcPr>
            <w:tcW w:w="2899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899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37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　计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会议费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2010104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101002</w:t>
            </w:r>
            <w:r>
              <w:rPr>
                <w:rFonts w:hint="eastAsia" w:ascii="方正小标宋_GBK" w:eastAsia="方正小标宋_GBK"/>
                <w:sz w:val="24"/>
              </w:rPr>
              <w:t>无极县人民代表大会常务委员会办公室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45.80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45.80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/>
    <w:sectPr>
      <w:pgSz w:w="11907" w:h="16839"/>
      <w:pgMar w:top="1020" w:right="1134" w:bottom="102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9B0"/>
    <w:rsid w:val="00075F7A"/>
    <w:rsid w:val="000A58A5"/>
    <w:rsid w:val="001210EF"/>
    <w:rsid w:val="001A29B0"/>
    <w:rsid w:val="001A6C15"/>
    <w:rsid w:val="001D053F"/>
    <w:rsid w:val="001E27E9"/>
    <w:rsid w:val="001F6F68"/>
    <w:rsid w:val="00246B44"/>
    <w:rsid w:val="00272DC5"/>
    <w:rsid w:val="002811DA"/>
    <w:rsid w:val="002948C3"/>
    <w:rsid w:val="002A016F"/>
    <w:rsid w:val="002E0A5F"/>
    <w:rsid w:val="002F3F0A"/>
    <w:rsid w:val="002F566F"/>
    <w:rsid w:val="003A6E02"/>
    <w:rsid w:val="00433BF0"/>
    <w:rsid w:val="005113D2"/>
    <w:rsid w:val="00533F42"/>
    <w:rsid w:val="00536D8E"/>
    <w:rsid w:val="00571EF2"/>
    <w:rsid w:val="0057316C"/>
    <w:rsid w:val="00585535"/>
    <w:rsid w:val="0059300E"/>
    <w:rsid w:val="005942EF"/>
    <w:rsid w:val="00604CB3"/>
    <w:rsid w:val="00624FDF"/>
    <w:rsid w:val="0064452C"/>
    <w:rsid w:val="00665A8A"/>
    <w:rsid w:val="006A7D74"/>
    <w:rsid w:val="00740BD2"/>
    <w:rsid w:val="007D1481"/>
    <w:rsid w:val="007E7BFF"/>
    <w:rsid w:val="007E7E1C"/>
    <w:rsid w:val="007F0CAD"/>
    <w:rsid w:val="00805EE0"/>
    <w:rsid w:val="00826A0A"/>
    <w:rsid w:val="00872489"/>
    <w:rsid w:val="00945B12"/>
    <w:rsid w:val="0096058F"/>
    <w:rsid w:val="009E7DEE"/>
    <w:rsid w:val="00A5059B"/>
    <w:rsid w:val="00A85CA4"/>
    <w:rsid w:val="00A94E97"/>
    <w:rsid w:val="00AC30FE"/>
    <w:rsid w:val="00B04108"/>
    <w:rsid w:val="00B15F34"/>
    <w:rsid w:val="00B21EFF"/>
    <w:rsid w:val="00B260AB"/>
    <w:rsid w:val="00B41681"/>
    <w:rsid w:val="00B66C63"/>
    <w:rsid w:val="00B85C55"/>
    <w:rsid w:val="00BC5408"/>
    <w:rsid w:val="00BD15A3"/>
    <w:rsid w:val="00C11A08"/>
    <w:rsid w:val="00C322E6"/>
    <w:rsid w:val="00C33968"/>
    <w:rsid w:val="00C53DD7"/>
    <w:rsid w:val="00C964F7"/>
    <w:rsid w:val="00CB448D"/>
    <w:rsid w:val="00D41AAA"/>
    <w:rsid w:val="00D45B5E"/>
    <w:rsid w:val="00D63411"/>
    <w:rsid w:val="00D85AAA"/>
    <w:rsid w:val="00D90BF9"/>
    <w:rsid w:val="00DB0C0B"/>
    <w:rsid w:val="00E97AEC"/>
    <w:rsid w:val="00EC4BCC"/>
    <w:rsid w:val="00EF0279"/>
    <w:rsid w:val="00F302C6"/>
    <w:rsid w:val="00F44749"/>
    <w:rsid w:val="00FB380C"/>
    <w:rsid w:val="00FD1296"/>
    <w:rsid w:val="00FE21A4"/>
    <w:rsid w:val="0D2823D3"/>
    <w:rsid w:val="0E58646B"/>
    <w:rsid w:val="4E6C2F13"/>
    <w:rsid w:val="7EFBE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  <w:style w:type="paragraph" w:styleId="3">
    <w:name w:val="toc 2"/>
    <w:basedOn w:val="1"/>
    <w:next w:val="1"/>
    <w:semiHidden/>
    <w:unhideWhenUsed/>
    <w:qFormat/>
    <w:uiPriority w:val="39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32</Pages>
  <Words>1892</Words>
  <Characters>10791</Characters>
  <Lines>89</Lines>
  <Paragraphs>25</Paragraphs>
  <TotalTime>1</TotalTime>
  <ScaleCrop>false</ScaleCrop>
  <LinksUpToDate>false</LinksUpToDate>
  <CharactersWithSpaces>12658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2016-03-30T16:57:00Z</dcterms:created>
  <dc:creator>PC</dc:creator>
  <cp:lastModifiedBy>浮生</cp:lastModifiedBy>
  <dcterms:modified xsi:type="dcterms:W3CDTF">2025-05-21T01:35:35Z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5BA21B64CA57431288F878FDFF3D2E8B</vt:lpwstr>
  </property>
</Properties>
</file>