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6</w:t>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2</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0"/>
      </w:pPr>
      <w:r>
        <w:rPr>
          <w:rFonts w:ascii="黑体" w:hAnsi="黑体" w:eastAsia="黑体" w:cs="黑体"/>
          <w:b/>
          <w:color w:val="000000"/>
          <w:sz w:val="44"/>
        </w:rPr>
        <w:t>2023年部门预算信息公开</w:t>
      </w:r>
      <w:r>
        <w:rPr>
          <w:rFonts w:hint="eastAsia" w:ascii="黑体" w:hAnsi="黑体" w:eastAsia="黑体" w:cs="黑体"/>
          <w:b/>
          <w:color w:val="000000"/>
          <w:sz w:val="44"/>
          <w:lang w:val="en-US" w:eastAsia="zh-CN"/>
        </w:rPr>
        <w:t>表</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931无极县七汲镇人民政府</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1640.49</w:t>
            </w:r>
          </w:p>
        </w:tc>
        <w:tc>
          <w:tcPr>
            <w:tcW w:w="4535" w:type="dxa"/>
            <w:vAlign w:val="center"/>
          </w:tcPr>
          <w:p>
            <w:pPr>
              <w:pStyle w:val="16"/>
            </w:pPr>
            <w:r>
              <w:t>一、一般公共服务支出</w:t>
            </w:r>
          </w:p>
        </w:tc>
        <w:tc>
          <w:tcPr>
            <w:tcW w:w="2126" w:type="dxa"/>
            <w:vAlign w:val="center"/>
          </w:tcPr>
          <w:p>
            <w:pPr>
              <w:pStyle w:val="15"/>
            </w:pPr>
            <w:r>
              <w:t>1292.03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171.09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67.37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1640.49</w:t>
            </w:r>
          </w:p>
        </w:tc>
        <w:tc>
          <w:tcPr>
            <w:tcW w:w="4535" w:type="dxa"/>
            <w:vAlign w:val="center"/>
          </w:tcPr>
          <w:p>
            <w:pPr>
              <w:pStyle w:val="18"/>
            </w:pPr>
            <w:r>
              <w:t>本年支出合计</w:t>
            </w:r>
          </w:p>
        </w:tc>
        <w:tc>
          <w:tcPr>
            <w:tcW w:w="2126" w:type="dxa"/>
            <w:vAlign w:val="center"/>
          </w:tcPr>
          <w:p>
            <w:pPr>
              <w:pStyle w:val="19"/>
            </w:pPr>
            <w:r>
              <w:t>1640.49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1640.49</w:t>
            </w:r>
          </w:p>
        </w:tc>
        <w:tc>
          <w:tcPr>
            <w:tcW w:w="4535" w:type="dxa"/>
            <w:vAlign w:val="center"/>
          </w:tcPr>
          <w:p>
            <w:pPr>
              <w:pStyle w:val="18"/>
            </w:pPr>
            <w:r>
              <w:t>支出总计</w:t>
            </w:r>
          </w:p>
        </w:tc>
        <w:tc>
          <w:tcPr>
            <w:tcW w:w="2126" w:type="dxa"/>
            <w:vAlign w:val="center"/>
          </w:tcPr>
          <w:p>
            <w:pPr>
              <w:pStyle w:val="19"/>
            </w:pPr>
            <w:r>
              <w:t>1640.49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931无极县七汲镇人民政府</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1640.49</w:t>
            </w:r>
          </w:p>
        </w:tc>
        <w:tc>
          <w:tcPr>
            <w:tcW w:w="1134" w:type="dxa"/>
            <w:vAlign w:val="center"/>
          </w:tcPr>
          <w:p>
            <w:pPr>
              <w:pStyle w:val="19"/>
            </w:pPr>
            <w:r>
              <w:t>1640.49</w:t>
            </w:r>
          </w:p>
        </w:tc>
        <w:tc>
          <w:tcPr>
            <w:tcW w:w="1134" w:type="dxa"/>
            <w:vAlign w:val="center"/>
          </w:tcPr>
          <w:p>
            <w:pPr>
              <w:pStyle w:val="19"/>
            </w:pPr>
            <w:r>
              <w:t>1640.49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1292.03</w:t>
            </w:r>
          </w:p>
        </w:tc>
        <w:tc>
          <w:tcPr>
            <w:tcW w:w="1134" w:type="dxa"/>
            <w:vAlign w:val="center"/>
          </w:tcPr>
          <w:p>
            <w:pPr>
              <w:pStyle w:val="15"/>
            </w:pPr>
            <w:r>
              <w:t>1292.03</w:t>
            </w:r>
          </w:p>
        </w:tc>
        <w:tc>
          <w:tcPr>
            <w:tcW w:w="1134" w:type="dxa"/>
            <w:vAlign w:val="center"/>
          </w:tcPr>
          <w:p>
            <w:pPr>
              <w:pStyle w:val="15"/>
            </w:pPr>
            <w:r>
              <w:t>1292.03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1292.03</w:t>
            </w:r>
          </w:p>
        </w:tc>
        <w:tc>
          <w:tcPr>
            <w:tcW w:w="1134" w:type="dxa"/>
            <w:vAlign w:val="center"/>
          </w:tcPr>
          <w:p>
            <w:pPr>
              <w:pStyle w:val="15"/>
            </w:pPr>
            <w:r>
              <w:t>1292.03</w:t>
            </w:r>
          </w:p>
        </w:tc>
        <w:tc>
          <w:tcPr>
            <w:tcW w:w="1134" w:type="dxa"/>
            <w:vAlign w:val="center"/>
          </w:tcPr>
          <w:p>
            <w:pPr>
              <w:pStyle w:val="15"/>
            </w:pPr>
            <w:r>
              <w:t>1292.03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1292.03</w:t>
            </w:r>
          </w:p>
        </w:tc>
        <w:tc>
          <w:tcPr>
            <w:tcW w:w="1134" w:type="dxa"/>
            <w:vAlign w:val="center"/>
          </w:tcPr>
          <w:p>
            <w:pPr>
              <w:pStyle w:val="15"/>
            </w:pPr>
            <w:r>
              <w:t>1292.03</w:t>
            </w:r>
          </w:p>
        </w:tc>
        <w:tc>
          <w:tcPr>
            <w:tcW w:w="1134" w:type="dxa"/>
            <w:vAlign w:val="center"/>
          </w:tcPr>
          <w:p>
            <w:pPr>
              <w:pStyle w:val="15"/>
            </w:pPr>
            <w:r>
              <w:t>1292.03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171.09</w:t>
            </w:r>
          </w:p>
        </w:tc>
        <w:tc>
          <w:tcPr>
            <w:tcW w:w="1134" w:type="dxa"/>
            <w:vAlign w:val="center"/>
          </w:tcPr>
          <w:p>
            <w:pPr>
              <w:pStyle w:val="15"/>
            </w:pPr>
            <w:r>
              <w:t>171.09</w:t>
            </w:r>
          </w:p>
        </w:tc>
        <w:tc>
          <w:tcPr>
            <w:tcW w:w="1134" w:type="dxa"/>
            <w:vAlign w:val="center"/>
          </w:tcPr>
          <w:p>
            <w:pPr>
              <w:pStyle w:val="15"/>
            </w:pPr>
            <w:r>
              <w:t>171.09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171.09</w:t>
            </w:r>
          </w:p>
        </w:tc>
        <w:tc>
          <w:tcPr>
            <w:tcW w:w="1134" w:type="dxa"/>
            <w:vAlign w:val="center"/>
          </w:tcPr>
          <w:p>
            <w:pPr>
              <w:pStyle w:val="15"/>
            </w:pPr>
            <w:r>
              <w:t>171.09</w:t>
            </w:r>
          </w:p>
        </w:tc>
        <w:tc>
          <w:tcPr>
            <w:tcW w:w="1134" w:type="dxa"/>
            <w:vAlign w:val="center"/>
          </w:tcPr>
          <w:p>
            <w:pPr>
              <w:pStyle w:val="15"/>
            </w:pPr>
            <w:r>
              <w:t>171.09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146.60</w:t>
            </w:r>
          </w:p>
        </w:tc>
        <w:tc>
          <w:tcPr>
            <w:tcW w:w="1134" w:type="dxa"/>
            <w:vAlign w:val="center"/>
          </w:tcPr>
          <w:p>
            <w:pPr>
              <w:pStyle w:val="15"/>
            </w:pPr>
            <w:r>
              <w:t>146.60</w:t>
            </w:r>
          </w:p>
        </w:tc>
        <w:tc>
          <w:tcPr>
            <w:tcW w:w="1134" w:type="dxa"/>
            <w:vAlign w:val="center"/>
          </w:tcPr>
          <w:p>
            <w:pPr>
              <w:pStyle w:val="15"/>
            </w:pPr>
            <w:r>
              <w:t>146.60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24.49</w:t>
            </w:r>
          </w:p>
        </w:tc>
        <w:tc>
          <w:tcPr>
            <w:tcW w:w="1134" w:type="dxa"/>
            <w:vAlign w:val="center"/>
          </w:tcPr>
          <w:p>
            <w:pPr>
              <w:pStyle w:val="15"/>
            </w:pPr>
            <w:r>
              <w:t>24.49</w:t>
            </w:r>
          </w:p>
        </w:tc>
        <w:tc>
          <w:tcPr>
            <w:tcW w:w="1134" w:type="dxa"/>
            <w:vAlign w:val="center"/>
          </w:tcPr>
          <w:p>
            <w:pPr>
              <w:pStyle w:val="15"/>
            </w:pPr>
            <w:r>
              <w:t>24.49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67.37</w:t>
            </w:r>
          </w:p>
        </w:tc>
        <w:tc>
          <w:tcPr>
            <w:tcW w:w="1134" w:type="dxa"/>
            <w:vAlign w:val="center"/>
          </w:tcPr>
          <w:p>
            <w:pPr>
              <w:pStyle w:val="15"/>
            </w:pPr>
            <w:r>
              <w:t>67.37</w:t>
            </w:r>
          </w:p>
        </w:tc>
        <w:tc>
          <w:tcPr>
            <w:tcW w:w="1134" w:type="dxa"/>
            <w:vAlign w:val="center"/>
          </w:tcPr>
          <w:p>
            <w:pPr>
              <w:pStyle w:val="15"/>
            </w:pPr>
            <w:r>
              <w:t>67.37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67.37</w:t>
            </w:r>
          </w:p>
        </w:tc>
        <w:tc>
          <w:tcPr>
            <w:tcW w:w="1134" w:type="dxa"/>
            <w:vAlign w:val="center"/>
          </w:tcPr>
          <w:p>
            <w:pPr>
              <w:pStyle w:val="15"/>
            </w:pPr>
            <w:r>
              <w:t>67.37</w:t>
            </w:r>
          </w:p>
        </w:tc>
        <w:tc>
          <w:tcPr>
            <w:tcW w:w="1134" w:type="dxa"/>
            <w:vAlign w:val="center"/>
          </w:tcPr>
          <w:p>
            <w:pPr>
              <w:pStyle w:val="15"/>
            </w:pPr>
            <w:r>
              <w:t>67.37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67.37</w:t>
            </w:r>
          </w:p>
        </w:tc>
        <w:tc>
          <w:tcPr>
            <w:tcW w:w="1134" w:type="dxa"/>
            <w:vAlign w:val="center"/>
          </w:tcPr>
          <w:p>
            <w:pPr>
              <w:pStyle w:val="15"/>
            </w:pPr>
            <w:r>
              <w:t>67.37</w:t>
            </w:r>
          </w:p>
        </w:tc>
        <w:tc>
          <w:tcPr>
            <w:tcW w:w="1134" w:type="dxa"/>
            <w:vAlign w:val="center"/>
          </w:tcPr>
          <w:p>
            <w:pPr>
              <w:pStyle w:val="15"/>
            </w:pPr>
            <w:r>
              <w:t>67.37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22999</w:t>
            </w:r>
          </w:p>
        </w:tc>
        <w:tc>
          <w:tcPr>
            <w:tcW w:w="1559" w:type="dxa"/>
            <w:vAlign w:val="center"/>
          </w:tcPr>
          <w:p>
            <w:pPr>
              <w:pStyle w:val="16"/>
            </w:pPr>
            <w:r>
              <w:t>其他支出</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2299999</w:t>
            </w:r>
          </w:p>
        </w:tc>
        <w:tc>
          <w:tcPr>
            <w:tcW w:w="1559" w:type="dxa"/>
            <w:vAlign w:val="center"/>
          </w:tcPr>
          <w:p>
            <w:pPr>
              <w:pStyle w:val="16"/>
            </w:pPr>
            <w:r>
              <w:t>其他支出</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931无极县七汲镇人民政府</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1640.49</w:t>
            </w:r>
          </w:p>
        </w:tc>
        <w:tc>
          <w:tcPr>
            <w:tcW w:w="1361" w:type="dxa"/>
            <w:vAlign w:val="center"/>
          </w:tcPr>
          <w:p>
            <w:pPr>
              <w:pStyle w:val="19"/>
            </w:pPr>
            <w:r>
              <w:t>1530.49</w:t>
            </w:r>
          </w:p>
        </w:tc>
        <w:tc>
          <w:tcPr>
            <w:tcW w:w="1361" w:type="dxa"/>
            <w:vAlign w:val="center"/>
          </w:tcPr>
          <w:p>
            <w:pPr>
              <w:pStyle w:val="19"/>
            </w:pPr>
            <w:r>
              <w:t>110.00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1292.03</w:t>
            </w:r>
          </w:p>
        </w:tc>
        <w:tc>
          <w:tcPr>
            <w:tcW w:w="1361" w:type="dxa"/>
            <w:vAlign w:val="center"/>
          </w:tcPr>
          <w:p>
            <w:pPr>
              <w:pStyle w:val="15"/>
            </w:pPr>
            <w:r>
              <w:t>1292.03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1292.03</w:t>
            </w:r>
          </w:p>
        </w:tc>
        <w:tc>
          <w:tcPr>
            <w:tcW w:w="1361" w:type="dxa"/>
            <w:vAlign w:val="center"/>
          </w:tcPr>
          <w:p>
            <w:pPr>
              <w:pStyle w:val="15"/>
            </w:pPr>
            <w:r>
              <w:t>1292.03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1292.03</w:t>
            </w:r>
          </w:p>
        </w:tc>
        <w:tc>
          <w:tcPr>
            <w:tcW w:w="1361" w:type="dxa"/>
            <w:vAlign w:val="center"/>
          </w:tcPr>
          <w:p>
            <w:pPr>
              <w:pStyle w:val="15"/>
            </w:pPr>
            <w:r>
              <w:t>1292.03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171.09</w:t>
            </w:r>
          </w:p>
        </w:tc>
        <w:tc>
          <w:tcPr>
            <w:tcW w:w="1361" w:type="dxa"/>
            <w:vAlign w:val="center"/>
          </w:tcPr>
          <w:p>
            <w:pPr>
              <w:pStyle w:val="15"/>
            </w:pPr>
            <w:r>
              <w:t>171.09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171.09</w:t>
            </w:r>
          </w:p>
        </w:tc>
        <w:tc>
          <w:tcPr>
            <w:tcW w:w="1361" w:type="dxa"/>
            <w:vAlign w:val="center"/>
          </w:tcPr>
          <w:p>
            <w:pPr>
              <w:pStyle w:val="15"/>
            </w:pPr>
            <w:r>
              <w:t>171.09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146.60</w:t>
            </w:r>
          </w:p>
        </w:tc>
        <w:tc>
          <w:tcPr>
            <w:tcW w:w="1361" w:type="dxa"/>
            <w:vAlign w:val="center"/>
          </w:tcPr>
          <w:p>
            <w:pPr>
              <w:pStyle w:val="15"/>
            </w:pPr>
            <w:r>
              <w:t>146.60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24.49</w:t>
            </w:r>
          </w:p>
        </w:tc>
        <w:tc>
          <w:tcPr>
            <w:tcW w:w="1361" w:type="dxa"/>
            <w:vAlign w:val="center"/>
          </w:tcPr>
          <w:p>
            <w:pPr>
              <w:pStyle w:val="15"/>
            </w:pPr>
            <w:r>
              <w:t>24.49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67.37</w:t>
            </w:r>
          </w:p>
        </w:tc>
        <w:tc>
          <w:tcPr>
            <w:tcW w:w="1361" w:type="dxa"/>
            <w:vAlign w:val="center"/>
          </w:tcPr>
          <w:p>
            <w:pPr>
              <w:pStyle w:val="15"/>
            </w:pPr>
            <w:r>
              <w:t>67.37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67.37</w:t>
            </w:r>
          </w:p>
        </w:tc>
        <w:tc>
          <w:tcPr>
            <w:tcW w:w="1361" w:type="dxa"/>
            <w:vAlign w:val="center"/>
          </w:tcPr>
          <w:p>
            <w:pPr>
              <w:pStyle w:val="15"/>
            </w:pPr>
            <w:r>
              <w:t>67.37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67.37</w:t>
            </w:r>
          </w:p>
        </w:tc>
        <w:tc>
          <w:tcPr>
            <w:tcW w:w="1361" w:type="dxa"/>
            <w:vAlign w:val="center"/>
          </w:tcPr>
          <w:p>
            <w:pPr>
              <w:pStyle w:val="15"/>
            </w:pPr>
            <w:r>
              <w:t>67.37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22999</w:t>
            </w:r>
          </w:p>
        </w:tc>
        <w:tc>
          <w:tcPr>
            <w:tcW w:w="4535" w:type="dxa"/>
            <w:vAlign w:val="center"/>
          </w:tcPr>
          <w:p>
            <w:pPr>
              <w:pStyle w:val="16"/>
            </w:pPr>
            <w:r>
              <w:t>其他支出</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2299999</w:t>
            </w:r>
          </w:p>
        </w:tc>
        <w:tc>
          <w:tcPr>
            <w:tcW w:w="4535" w:type="dxa"/>
            <w:vAlign w:val="center"/>
          </w:tcPr>
          <w:p>
            <w:pPr>
              <w:pStyle w:val="16"/>
            </w:pPr>
            <w:r>
              <w:t>其他支出</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931无极县七汲镇人民政府</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1640.49</w:t>
            </w:r>
          </w:p>
        </w:tc>
        <w:tc>
          <w:tcPr>
            <w:tcW w:w="3402" w:type="dxa"/>
            <w:vAlign w:val="center"/>
          </w:tcPr>
          <w:p>
            <w:pPr>
              <w:pStyle w:val="16"/>
            </w:pPr>
            <w:r>
              <w:t>一、一般公共服务支出</w:t>
            </w:r>
          </w:p>
        </w:tc>
        <w:tc>
          <w:tcPr>
            <w:tcW w:w="1474" w:type="dxa"/>
            <w:vAlign w:val="center"/>
          </w:tcPr>
          <w:p>
            <w:pPr>
              <w:pStyle w:val="15"/>
            </w:pPr>
            <w:r>
              <w:t>1292.03</w:t>
            </w:r>
          </w:p>
        </w:tc>
        <w:tc>
          <w:tcPr>
            <w:tcW w:w="1474" w:type="dxa"/>
            <w:vAlign w:val="center"/>
          </w:tcPr>
          <w:p>
            <w:pPr>
              <w:pStyle w:val="15"/>
            </w:pPr>
            <w:r>
              <w:t>1292.03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171.09</w:t>
            </w:r>
          </w:p>
        </w:tc>
        <w:tc>
          <w:tcPr>
            <w:tcW w:w="1474" w:type="dxa"/>
            <w:vAlign w:val="center"/>
          </w:tcPr>
          <w:p>
            <w:pPr>
              <w:pStyle w:val="15"/>
            </w:pPr>
            <w:r>
              <w:t>171.09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67.37</w:t>
            </w:r>
          </w:p>
        </w:tc>
        <w:tc>
          <w:tcPr>
            <w:tcW w:w="1474" w:type="dxa"/>
            <w:vAlign w:val="center"/>
          </w:tcPr>
          <w:p>
            <w:pPr>
              <w:pStyle w:val="15"/>
            </w:pPr>
            <w:r>
              <w:t>67.37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110.00</w:t>
            </w:r>
          </w:p>
        </w:tc>
        <w:tc>
          <w:tcPr>
            <w:tcW w:w="1474" w:type="dxa"/>
            <w:vAlign w:val="center"/>
          </w:tcPr>
          <w:p>
            <w:pPr>
              <w:pStyle w:val="15"/>
            </w:pPr>
            <w:r>
              <w:t>110.00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1640.49</w:t>
            </w:r>
          </w:p>
        </w:tc>
        <w:tc>
          <w:tcPr>
            <w:tcW w:w="3402" w:type="dxa"/>
            <w:vAlign w:val="center"/>
          </w:tcPr>
          <w:p>
            <w:pPr>
              <w:pStyle w:val="18"/>
            </w:pPr>
            <w:r>
              <w:t>本年支出合计</w:t>
            </w:r>
          </w:p>
        </w:tc>
        <w:tc>
          <w:tcPr>
            <w:tcW w:w="1474" w:type="dxa"/>
            <w:vAlign w:val="center"/>
          </w:tcPr>
          <w:p>
            <w:pPr>
              <w:pStyle w:val="19"/>
            </w:pPr>
            <w:r>
              <w:t>1640.49</w:t>
            </w:r>
          </w:p>
        </w:tc>
        <w:tc>
          <w:tcPr>
            <w:tcW w:w="1474" w:type="dxa"/>
            <w:vAlign w:val="center"/>
          </w:tcPr>
          <w:p>
            <w:pPr>
              <w:pStyle w:val="19"/>
            </w:pPr>
            <w:r>
              <w:t>1640.49</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1640.49</w:t>
            </w:r>
          </w:p>
        </w:tc>
        <w:tc>
          <w:tcPr>
            <w:tcW w:w="3402" w:type="dxa"/>
            <w:vAlign w:val="center"/>
          </w:tcPr>
          <w:p>
            <w:pPr>
              <w:pStyle w:val="18"/>
            </w:pPr>
            <w:r>
              <w:t>支出总计</w:t>
            </w:r>
          </w:p>
        </w:tc>
        <w:tc>
          <w:tcPr>
            <w:tcW w:w="1474" w:type="dxa"/>
            <w:vAlign w:val="center"/>
          </w:tcPr>
          <w:p>
            <w:pPr>
              <w:pStyle w:val="19"/>
            </w:pPr>
            <w:r>
              <w:t>1640.49</w:t>
            </w:r>
          </w:p>
        </w:tc>
        <w:tc>
          <w:tcPr>
            <w:tcW w:w="1474" w:type="dxa"/>
            <w:vAlign w:val="center"/>
          </w:tcPr>
          <w:p>
            <w:pPr>
              <w:pStyle w:val="19"/>
            </w:pPr>
            <w:r>
              <w:t>1640.49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1640.49</w:t>
            </w:r>
          </w:p>
        </w:tc>
        <w:tc>
          <w:tcPr>
            <w:tcW w:w="2551" w:type="dxa"/>
            <w:vAlign w:val="center"/>
          </w:tcPr>
          <w:p>
            <w:pPr>
              <w:pStyle w:val="19"/>
            </w:pPr>
            <w:r>
              <w:t>1530.49</w:t>
            </w:r>
          </w:p>
        </w:tc>
        <w:tc>
          <w:tcPr>
            <w:tcW w:w="2551" w:type="dxa"/>
            <w:vAlign w:val="center"/>
          </w:tcPr>
          <w:p>
            <w:pPr>
              <w:pStyle w:val="19"/>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1292.03</w:t>
            </w:r>
          </w:p>
        </w:tc>
        <w:tc>
          <w:tcPr>
            <w:tcW w:w="2551" w:type="dxa"/>
            <w:vAlign w:val="center"/>
          </w:tcPr>
          <w:p>
            <w:pPr>
              <w:pStyle w:val="15"/>
            </w:pPr>
            <w:r>
              <w:t>1292.03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1292.03</w:t>
            </w:r>
          </w:p>
        </w:tc>
        <w:tc>
          <w:tcPr>
            <w:tcW w:w="2551" w:type="dxa"/>
            <w:vAlign w:val="center"/>
          </w:tcPr>
          <w:p>
            <w:pPr>
              <w:pStyle w:val="15"/>
            </w:pPr>
            <w:r>
              <w:t>1292.03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1292.03</w:t>
            </w:r>
          </w:p>
        </w:tc>
        <w:tc>
          <w:tcPr>
            <w:tcW w:w="2551" w:type="dxa"/>
            <w:vAlign w:val="center"/>
          </w:tcPr>
          <w:p>
            <w:pPr>
              <w:pStyle w:val="15"/>
            </w:pPr>
            <w:r>
              <w:t>1292.03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171.09</w:t>
            </w:r>
          </w:p>
        </w:tc>
        <w:tc>
          <w:tcPr>
            <w:tcW w:w="2551" w:type="dxa"/>
            <w:vAlign w:val="center"/>
          </w:tcPr>
          <w:p>
            <w:pPr>
              <w:pStyle w:val="15"/>
            </w:pPr>
            <w:r>
              <w:t>171.09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171.09</w:t>
            </w:r>
          </w:p>
        </w:tc>
        <w:tc>
          <w:tcPr>
            <w:tcW w:w="2551" w:type="dxa"/>
            <w:vAlign w:val="center"/>
          </w:tcPr>
          <w:p>
            <w:pPr>
              <w:pStyle w:val="15"/>
            </w:pPr>
            <w:r>
              <w:t>171.09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146.60</w:t>
            </w:r>
          </w:p>
        </w:tc>
        <w:tc>
          <w:tcPr>
            <w:tcW w:w="2551" w:type="dxa"/>
            <w:vAlign w:val="center"/>
          </w:tcPr>
          <w:p>
            <w:pPr>
              <w:pStyle w:val="15"/>
            </w:pPr>
            <w:r>
              <w:t>146.60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24.49</w:t>
            </w:r>
          </w:p>
        </w:tc>
        <w:tc>
          <w:tcPr>
            <w:tcW w:w="2551" w:type="dxa"/>
            <w:vAlign w:val="center"/>
          </w:tcPr>
          <w:p>
            <w:pPr>
              <w:pStyle w:val="15"/>
            </w:pPr>
            <w:r>
              <w:t>24.49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67.37</w:t>
            </w:r>
          </w:p>
        </w:tc>
        <w:tc>
          <w:tcPr>
            <w:tcW w:w="2551" w:type="dxa"/>
            <w:vAlign w:val="center"/>
          </w:tcPr>
          <w:p>
            <w:pPr>
              <w:pStyle w:val="15"/>
            </w:pPr>
            <w:r>
              <w:t>67.37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67.37</w:t>
            </w:r>
          </w:p>
        </w:tc>
        <w:tc>
          <w:tcPr>
            <w:tcW w:w="2551" w:type="dxa"/>
            <w:vAlign w:val="center"/>
          </w:tcPr>
          <w:p>
            <w:pPr>
              <w:pStyle w:val="15"/>
            </w:pPr>
            <w:r>
              <w:t>67.37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67.37</w:t>
            </w:r>
          </w:p>
        </w:tc>
        <w:tc>
          <w:tcPr>
            <w:tcW w:w="2551" w:type="dxa"/>
            <w:vAlign w:val="center"/>
          </w:tcPr>
          <w:p>
            <w:pPr>
              <w:pStyle w:val="15"/>
            </w:pPr>
            <w:r>
              <w:t>67.37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110.00</w:t>
            </w:r>
          </w:p>
        </w:tc>
        <w:tc>
          <w:tcPr>
            <w:tcW w:w="2551" w:type="dxa"/>
            <w:vAlign w:val="center"/>
          </w:tcPr>
          <w:p>
            <w:pPr>
              <w:pStyle w:val="15"/>
            </w:pPr>
          </w:p>
        </w:tc>
        <w:tc>
          <w:tcPr>
            <w:tcW w:w="2551"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22999</w:t>
            </w:r>
          </w:p>
        </w:tc>
        <w:tc>
          <w:tcPr>
            <w:tcW w:w="4535" w:type="dxa"/>
            <w:vAlign w:val="center"/>
          </w:tcPr>
          <w:p>
            <w:pPr>
              <w:pStyle w:val="16"/>
            </w:pPr>
            <w:r>
              <w:t>其他支出</w:t>
            </w:r>
          </w:p>
        </w:tc>
        <w:tc>
          <w:tcPr>
            <w:tcW w:w="2551" w:type="dxa"/>
            <w:vAlign w:val="center"/>
          </w:tcPr>
          <w:p>
            <w:pPr>
              <w:pStyle w:val="15"/>
            </w:pPr>
            <w:r>
              <w:t>110.00</w:t>
            </w:r>
          </w:p>
        </w:tc>
        <w:tc>
          <w:tcPr>
            <w:tcW w:w="2551" w:type="dxa"/>
            <w:vAlign w:val="center"/>
          </w:tcPr>
          <w:p>
            <w:pPr>
              <w:pStyle w:val="15"/>
            </w:pPr>
          </w:p>
        </w:tc>
        <w:tc>
          <w:tcPr>
            <w:tcW w:w="2551"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2299999</w:t>
            </w:r>
          </w:p>
        </w:tc>
        <w:tc>
          <w:tcPr>
            <w:tcW w:w="4535" w:type="dxa"/>
            <w:vAlign w:val="center"/>
          </w:tcPr>
          <w:p>
            <w:pPr>
              <w:pStyle w:val="16"/>
            </w:pPr>
            <w:r>
              <w:t>其他支出</w:t>
            </w:r>
          </w:p>
        </w:tc>
        <w:tc>
          <w:tcPr>
            <w:tcW w:w="2551" w:type="dxa"/>
            <w:vAlign w:val="center"/>
          </w:tcPr>
          <w:p>
            <w:pPr>
              <w:pStyle w:val="15"/>
            </w:pPr>
            <w:r>
              <w:t>110.00</w:t>
            </w:r>
          </w:p>
        </w:tc>
        <w:tc>
          <w:tcPr>
            <w:tcW w:w="2551" w:type="dxa"/>
            <w:vAlign w:val="center"/>
          </w:tcPr>
          <w:p>
            <w:pPr>
              <w:pStyle w:val="15"/>
            </w:pPr>
          </w:p>
        </w:tc>
        <w:tc>
          <w:tcPr>
            <w:tcW w:w="2551" w:type="dxa"/>
            <w:vAlign w:val="center"/>
          </w:tcPr>
          <w:p>
            <w:pPr>
              <w:pStyle w:val="15"/>
            </w:pPr>
            <w:r>
              <w:t>110.00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1530.49</w:t>
            </w:r>
          </w:p>
        </w:tc>
        <w:tc>
          <w:tcPr>
            <w:tcW w:w="2551" w:type="dxa"/>
            <w:vAlign w:val="center"/>
          </w:tcPr>
          <w:p>
            <w:pPr>
              <w:pStyle w:val="19"/>
            </w:pPr>
            <w:r>
              <w:t>1163.80</w:t>
            </w:r>
          </w:p>
        </w:tc>
        <w:tc>
          <w:tcPr>
            <w:tcW w:w="2551" w:type="dxa"/>
            <w:vAlign w:val="center"/>
          </w:tcPr>
          <w:p>
            <w:pPr>
              <w:pStyle w:val="19"/>
            </w:pPr>
            <w:r>
              <w:t>366.69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1102.53</w:t>
            </w:r>
          </w:p>
        </w:tc>
        <w:tc>
          <w:tcPr>
            <w:tcW w:w="2551" w:type="dxa"/>
            <w:vAlign w:val="center"/>
          </w:tcPr>
          <w:p>
            <w:pPr>
              <w:pStyle w:val="15"/>
            </w:pPr>
            <w:r>
              <w:t>1102.53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436.40</w:t>
            </w:r>
          </w:p>
        </w:tc>
        <w:tc>
          <w:tcPr>
            <w:tcW w:w="2551" w:type="dxa"/>
            <w:vAlign w:val="center"/>
          </w:tcPr>
          <w:p>
            <w:pPr>
              <w:pStyle w:val="15"/>
            </w:pPr>
            <w:r>
              <w:t>436.40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166.18</w:t>
            </w:r>
          </w:p>
        </w:tc>
        <w:tc>
          <w:tcPr>
            <w:tcW w:w="2551" w:type="dxa"/>
            <w:vAlign w:val="center"/>
          </w:tcPr>
          <w:p>
            <w:pPr>
              <w:pStyle w:val="15"/>
            </w:pPr>
            <w:r>
              <w:t>166.18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113.16</w:t>
            </w:r>
          </w:p>
        </w:tc>
        <w:tc>
          <w:tcPr>
            <w:tcW w:w="2551" w:type="dxa"/>
            <w:vAlign w:val="center"/>
          </w:tcPr>
          <w:p>
            <w:pPr>
              <w:pStyle w:val="15"/>
            </w:pPr>
            <w:r>
              <w:t>113.16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135.12</w:t>
            </w:r>
          </w:p>
        </w:tc>
        <w:tc>
          <w:tcPr>
            <w:tcW w:w="2551" w:type="dxa"/>
            <w:vAlign w:val="center"/>
          </w:tcPr>
          <w:p>
            <w:pPr>
              <w:pStyle w:val="15"/>
            </w:pPr>
            <w:r>
              <w:t>135.12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146.60</w:t>
            </w:r>
          </w:p>
        </w:tc>
        <w:tc>
          <w:tcPr>
            <w:tcW w:w="2551" w:type="dxa"/>
            <w:vAlign w:val="center"/>
          </w:tcPr>
          <w:p>
            <w:pPr>
              <w:pStyle w:val="15"/>
            </w:pPr>
            <w:r>
              <w:t>146.60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24.49</w:t>
            </w:r>
          </w:p>
        </w:tc>
        <w:tc>
          <w:tcPr>
            <w:tcW w:w="2551" w:type="dxa"/>
            <w:vAlign w:val="center"/>
          </w:tcPr>
          <w:p>
            <w:pPr>
              <w:pStyle w:val="15"/>
            </w:pPr>
            <w:r>
              <w:t>24.49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67.37</w:t>
            </w:r>
          </w:p>
        </w:tc>
        <w:tc>
          <w:tcPr>
            <w:tcW w:w="2551" w:type="dxa"/>
            <w:vAlign w:val="center"/>
          </w:tcPr>
          <w:p>
            <w:pPr>
              <w:pStyle w:val="15"/>
            </w:pPr>
            <w:r>
              <w:t>67.37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13.21</w:t>
            </w:r>
          </w:p>
        </w:tc>
        <w:tc>
          <w:tcPr>
            <w:tcW w:w="2551" w:type="dxa"/>
            <w:vAlign w:val="center"/>
          </w:tcPr>
          <w:p>
            <w:pPr>
              <w:pStyle w:val="15"/>
            </w:pPr>
            <w:r>
              <w:t>13.21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366.69</w:t>
            </w:r>
          </w:p>
        </w:tc>
        <w:tc>
          <w:tcPr>
            <w:tcW w:w="2551" w:type="dxa"/>
            <w:vAlign w:val="center"/>
          </w:tcPr>
          <w:p>
            <w:pPr>
              <w:pStyle w:val="15"/>
            </w:pPr>
          </w:p>
        </w:tc>
        <w:tc>
          <w:tcPr>
            <w:tcW w:w="2551" w:type="dxa"/>
            <w:vAlign w:val="center"/>
          </w:tcPr>
          <w:p>
            <w:pPr>
              <w:pStyle w:val="15"/>
            </w:pPr>
            <w:r>
              <w:t>366.69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300.00</w:t>
            </w:r>
          </w:p>
        </w:tc>
        <w:tc>
          <w:tcPr>
            <w:tcW w:w="2551" w:type="dxa"/>
            <w:vAlign w:val="center"/>
          </w:tcPr>
          <w:p>
            <w:pPr>
              <w:pStyle w:val="15"/>
            </w:pPr>
          </w:p>
        </w:tc>
        <w:tc>
          <w:tcPr>
            <w:tcW w:w="2551"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16.89</w:t>
            </w:r>
          </w:p>
        </w:tc>
        <w:tc>
          <w:tcPr>
            <w:tcW w:w="2551" w:type="dxa"/>
            <w:vAlign w:val="center"/>
          </w:tcPr>
          <w:p>
            <w:pPr>
              <w:pStyle w:val="15"/>
            </w:pPr>
          </w:p>
        </w:tc>
        <w:tc>
          <w:tcPr>
            <w:tcW w:w="2551" w:type="dxa"/>
            <w:vAlign w:val="center"/>
          </w:tcPr>
          <w:p>
            <w:pPr>
              <w:pStyle w:val="15"/>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0.30</w:t>
            </w:r>
          </w:p>
        </w:tc>
        <w:tc>
          <w:tcPr>
            <w:tcW w:w="2551" w:type="dxa"/>
            <w:vAlign w:val="center"/>
          </w:tcPr>
          <w:p>
            <w:pPr>
              <w:pStyle w:val="15"/>
            </w:pPr>
          </w:p>
        </w:tc>
        <w:tc>
          <w:tcPr>
            <w:tcW w:w="2551"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0.50</w:t>
            </w:r>
          </w:p>
        </w:tc>
        <w:tc>
          <w:tcPr>
            <w:tcW w:w="2551" w:type="dxa"/>
            <w:vAlign w:val="center"/>
          </w:tcPr>
          <w:p>
            <w:pPr>
              <w:pStyle w:val="15"/>
            </w:pPr>
          </w:p>
        </w:tc>
        <w:tc>
          <w:tcPr>
            <w:tcW w:w="2551"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9.00</w:t>
            </w:r>
          </w:p>
        </w:tc>
        <w:tc>
          <w:tcPr>
            <w:tcW w:w="2551" w:type="dxa"/>
            <w:vAlign w:val="center"/>
          </w:tcPr>
          <w:p>
            <w:pPr>
              <w:pStyle w:val="15"/>
            </w:pPr>
          </w:p>
        </w:tc>
        <w:tc>
          <w:tcPr>
            <w:tcW w:w="2551"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36.50</w:t>
            </w:r>
          </w:p>
        </w:tc>
        <w:tc>
          <w:tcPr>
            <w:tcW w:w="2551" w:type="dxa"/>
            <w:vAlign w:val="center"/>
          </w:tcPr>
          <w:p>
            <w:pPr>
              <w:pStyle w:val="15"/>
            </w:pPr>
          </w:p>
        </w:tc>
        <w:tc>
          <w:tcPr>
            <w:tcW w:w="2551" w:type="dxa"/>
            <w:vAlign w:val="center"/>
          </w:tcPr>
          <w:p>
            <w:pPr>
              <w:pStyle w:val="15"/>
            </w:pPr>
            <w:r>
              <w:t>36.50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3.50</w:t>
            </w:r>
          </w:p>
        </w:tc>
        <w:tc>
          <w:tcPr>
            <w:tcW w:w="2551" w:type="dxa"/>
            <w:vAlign w:val="center"/>
          </w:tcPr>
          <w:p>
            <w:pPr>
              <w:pStyle w:val="15"/>
            </w:pPr>
          </w:p>
        </w:tc>
        <w:tc>
          <w:tcPr>
            <w:tcW w:w="2551" w:type="dxa"/>
            <w:vAlign w:val="center"/>
          </w:tcPr>
          <w:p>
            <w:pPr>
              <w:pStyle w:val="15"/>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61.27</w:t>
            </w:r>
          </w:p>
        </w:tc>
        <w:tc>
          <w:tcPr>
            <w:tcW w:w="2551" w:type="dxa"/>
            <w:vAlign w:val="center"/>
          </w:tcPr>
          <w:p>
            <w:pPr>
              <w:pStyle w:val="15"/>
            </w:pPr>
            <w:r>
              <w:t>61.27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61.27</w:t>
            </w:r>
          </w:p>
        </w:tc>
        <w:tc>
          <w:tcPr>
            <w:tcW w:w="2551" w:type="dxa"/>
            <w:vAlign w:val="center"/>
          </w:tcPr>
          <w:p>
            <w:pPr>
              <w:pStyle w:val="15"/>
            </w:pPr>
            <w:r>
              <w:t>61.27</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931无极县七汲镇人民政府</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rFonts w:hint="default" w:eastAsia="方正书宋_GBK"/>
                <w:lang w:val="en-US" w:eastAsia="zh-CN"/>
              </w:rPr>
            </w:pPr>
            <w:r>
              <w:rPr>
                <w:rFonts w:hint="eastAsia"/>
                <w:lang w:val="en-US" w:eastAsia="zh-CN"/>
              </w:rPr>
              <w:t>9.00</w:t>
            </w:r>
          </w:p>
        </w:tc>
        <w:tc>
          <w:tcPr>
            <w:tcW w:w="2381" w:type="dxa"/>
            <w:vAlign w:val="center"/>
          </w:tcPr>
          <w:p>
            <w:pPr>
              <w:pStyle w:val="19"/>
              <w:rPr>
                <w:rFonts w:hint="default" w:eastAsia="方正书宋_GBK"/>
                <w:lang w:val="en-US" w:eastAsia="zh-CN"/>
              </w:rPr>
            </w:pPr>
            <w:r>
              <w:rPr>
                <w:rFonts w:hint="eastAsia"/>
                <w:lang w:val="en-US" w:eastAsia="zh-CN"/>
              </w:rPr>
              <w:t>9.00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rPr>
                <w:rFonts w:hint="default" w:eastAsia="方正书宋_GBK"/>
                <w:lang w:val="en-US" w:eastAsia="zh-CN"/>
              </w:rPr>
            </w:pPr>
            <w:r>
              <w:rPr>
                <w:rFonts w:hint="eastAsia"/>
                <w:lang w:val="en-US" w:eastAsia="zh-CN"/>
              </w:rPr>
              <w:t>9.00</w:t>
            </w:r>
          </w:p>
        </w:tc>
        <w:tc>
          <w:tcPr>
            <w:tcW w:w="2381" w:type="dxa"/>
            <w:vAlign w:val="center"/>
          </w:tcPr>
          <w:p>
            <w:pPr>
              <w:pStyle w:val="15"/>
              <w:rPr>
                <w:rFonts w:hint="default" w:eastAsia="方正书宋_GBK"/>
                <w:lang w:val="en-US" w:eastAsia="zh-CN"/>
              </w:rPr>
            </w:pPr>
            <w:r>
              <w:rPr>
                <w:rFonts w:hint="eastAsia"/>
                <w:lang w:val="en-US" w:eastAsia="zh-CN"/>
              </w:rPr>
              <w:t>9.00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9.00</w:t>
            </w:r>
          </w:p>
        </w:tc>
        <w:tc>
          <w:tcPr>
            <w:tcW w:w="2381" w:type="dxa"/>
            <w:vAlign w:val="center"/>
          </w:tcPr>
          <w:p>
            <w:pPr>
              <w:pStyle w:val="15"/>
            </w:pPr>
            <w:r>
              <w:t>9.00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无极县七汲镇人民政府2023年部门预算信息公开情况说明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无极县七汲镇人民政府2023年部门预算信息公开情况说明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、《地方预决算公开操作规程》和《关于进一步推进预算公开工作的实施意见》规定，现将无极县七汲镇人民政府2023年部门预算公开如下：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宣传、贯彻、执行党的路线方针政策和国家的法律、法规,执行本级人民代表大会的决议和上级国家行政机关的决定和命令,其主要职能为:</w:t>
      </w:r>
    </w:p>
    <w:p>
      <w:pPr>
        <w:pStyle w:val="21"/>
      </w:pPr>
      <w:r>
        <w:t>1.促进经济发展</w:t>
      </w:r>
    </w:p>
    <w:p>
      <w:pPr>
        <w:pStyle w:val="21"/>
      </w:pPr>
      <w:r>
        <w:t>主要包括:（1）搞好本镇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21"/>
      </w:pPr>
      <w:r>
        <w:t>2.加强社会管理</w:t>
      </w:r>
    </w:p>
    <w:p>
      <w:pPr>
        <w:pStyle w:val="21"/>
      </w:pPr>
      <w:r>
        <w:t>主要包括:（1）加强镇村财政资金监督管理、农村合同管理及农民减负工作;做好镇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21"/>
      </w:pPr>
      <w:r>
        <w:t>3.提供公共服务</w:t>
      </w:r>
    </w:p>
    <w:p>
      <w:pPr>
        <w:pStyle w:val="21"/>
      </w:pPr>
      <w:r>
        <w:t>主要包括:（1）量力组织镇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民政、残联部门做好农村扶贫和低保工作以及特困户救助和残疾人服务工作。配合劳动部门做好农村劳动力职业培训、劳动就业和社会保障工作。</w:t>
      </w:r>
    </w:p>
    <w:p>
      <w:pPr>
        <w:pStyle w:val="21"/>
      </w:pPr>
      <w:r>
        <w:t>4.维护农村稳定</w:t>
      </w:r>
    </w:p>
    <w:p>
      <w:pPr>
        <w:pStyle w:val="21"/>
      </w:pPr>
      <w:r>
        <w:t>主要包括:（1）做好社会治安综合</w:t>
      </w:r>
      <w:r>
        <w:rPr>
          <w:rFonts w:hint="eastAsia"/>
          <w:lang w:eastAsia="zh-CN"/>
        </w:rPr>
        <w:t>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无极县七汲镇人民政府本级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bookmarkStart w:id="11" w:name="_Toc_3_3_0000000012"/>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部门预算的编制实行综合预算管理，即全部收入和支出都反映在预算中。无极县七汲镇人民政府机关及所属事业单位的收支包含在部门预算中。</w:t>
      </w:r>
    </w:p>
    <w:p>
      <w:pPr>
        <w:pStyle w:val="22"/>
      </w:pPr>
      <w:r>
        <w:t>（一）收入情况</w:t>
      </w:r>
    </w:p>
    <w:p>
      <w:pPr>
        <w:pStyle w:val="22"/>
      </w:pPr>
      <w:r>
        <w:t>七汲镇2023年预算收入总计</w:t>
      </w:r>
      <w:r>
        <w:rPr>
          <w:rFonts w:hint="eastAsia"/>
          <w:lang w:val="en-US" w:eastAsia="zh-CN"/>
        </w:rPr>
        <w:t>1640.49</w:t>
      </w:r>
      <w:r>
        <w:t>万元。其中，一般公共预算收入</w:t>
      </w:r>
      <w:r>
        <w:rPr>
          <w:rFonts w:hint="eastAsia"/>
          <w:lang w:val="en-US" w:eastAsia="zh-CN"/>
        </w:rPr>
        <w:t>1640.49</w:t>
      </w:r>
      <w:r>
        <w:t>万元，政府性基金预算0万元。</w:t>
      </w:r>
    </w:p>
    <w:p>
      <w:pPr>
        <w:pStyle w:val="22"/>
      </w:pPr>
      <w:r>
        <w:t>(二）支出情况</w:t>
      </w:r>
    </w:p>
    <w:p>
      <w:pPr>
        <w:pStyle w:val="22"/>
      </w:pPr>
      <w:r>
        <w:t>七汲镇2023年预算支出</w:t>
      </w:r>
      <w:r>
        <w:rPr>
          <w:rFonts w:hint="eastAsia"/>
          <w:lang w:val="en-US" w:eastAsia="zh-CN"/>
        </w:rPr>
        <w:t>1640.49</w:t>
      </w:r>
      <w:r>
        <w:t>万元。其中人员经费支出1163.8万元，日常公用经费</w:t>
      </w:r>
      <w:r>
        <w:rPr>
          <w:rFonts w:hint="eastAsia"/>
          <w:lang w:val="en-US" w:eastAsia="zh-CN"/>
        </w:rPr>
        <w:t>366.69</w:t>
      </w:r>
      <w:r>
        <w:t>万元，项目支出110万元</w:t>
      </w:r>
      <w:r>
        <w:rPr>
          <w:rFonts w:hint="eastAsia"/>
          <w:lang w:eastAsia="zh-CN"/>
        </w:rPr>
        <w:t>，主要包括七汲镇西小镇村街道提升项目</w:t>
      </w:r>
      <w:r>
        <w:t>110万元。</w:t>
      </w:r>
    </w:p>
    <w:p>
      <w:pPr>
        <w:pStyle w:val="22"/>
      </w:pPr>
      <w:r>
        <w:t>（三）比上年增减情况</w:t>
      </w:r>
    </w:p>
    <w:p>
      <w:pPr>
        <w:pStyle w:val="22"/>
      </w:pPr>
      <w:r>
        <w:t>2023年预算收支安排</w:t>
      </w:r>
      <w:r>
        <w:rPr>
          <w:rFonts w:hint="eastAsia"/>
          <w:lang w:val="en-US" w:eastAsia="zh-CN"/>
        </w:rPr>
        <w:t>1640.49</w:t>
      </w:r>
      <w:r>
        <w:t>万元，较上年一般公共预算增加</w:t>
      </w:r>
      <w:r>
        <w:rPr>
          <w:rFonts w:hint="eastAsia"/>
          <w:lang w:val="en-US" w:eastAsia="zh-CN"/>
        </w:rPr>
        <w:t>693.7</w:t>
      </w:r>
      <w:r>
        <w:t>万元，其中：基本支出增加</w:t>
      </w:r>
      <w:r>
        <w:rPr>
          <w:rFonts w:hint="eastAsia"/>
          <w:lang w:val="en-US" w:eastAsia="zh-CN"/>
        </w:rPr>
        <w:t>583.7</w:t>
      </w:r>
      <w:r>
        <w:t>万元，主要是人员增加经费支出增加；项目支出增加110万元，主要是增加了道路提升项目资金的支出。</w:t>
      </w:r>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3"/>
      </w:pPr>
      <w:r>
        <w:t>2023年无极县七汲镇人民政府行政运行经费安排</w:t>
      </w:r>
      <w:r>
        <w:rPr>
          <w:rFonts w:hint="eastAsia"/>
          <w:lang w:val="en-US" w:eastAsia="zh-CN"/>
        </w:rPr>
        <w:t>366.69</w:t>
      </w:r>
      <w:r>
        <w:t>万元，主要用于保证机关正常运转的办公费</w:t>
      </w:r>
      <w:r>
        <w:rPr>
          <w:rFonts w:hint="eastAsia"/>
          <w:lang w:val="en-US" w:eastAsia="zh-CN"/>
        </w:rPr>
        <w:t>300</w:t>
      </w:r>
      <w:r>
        <w:t>万、邮电费</w:t>
      </w:r>
      <w:r>
        <w:rPr>
          <w:rFonts w:hint="eastAsia"/>
          <w:lang w:val="en-US" w:eastAsia="zh-CN"/>
        </w:rPr>
        <w:t>16.89</w:t>
      </w:r>
      <w:r>
        <w:t>万、会议费0.3万、培训费0.5万、其他交通费用36.5万、其他商品和服务支出3.5万元、公务车运行维护费9万等支出。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镇财政拨款“三公”经费预算总额为9万元。因公出国（境）费为0，与去年持平，无增减变化。公务用车购置及运维费9万元，与去年持平，无增减变化，其中公务用车运行维护费9万元，与去年持平，无增减变化；公务用车购置费0万元，与上年持平，无增减变化；公务接待费为0万元</w:t>
      </w:r>
      <w:r>
        <w:rPr>
          <w:rFonts w:hint="eastAsia"/>
          <w:lang w:eastAsia="zh-CN"/>
        </w:rPr>
        <w:t>，</w:t>
      </w:r>
      <w:r>
        <w:rPr>
          <w:rFonts w:hint="eastAsia"/>
          <w:lang w:val="en-US" w:eastAsia="zh-CN"/>
        </w:rPr>
        <w:t>原因为严格按照公务用车相关制度执行，厉行节俭</w:t>
      </w:r>
      <w:r>
        <w:t>。</w:t>
      </w:r>
    </w:p>
    <w:p>
      <w:pPr>
        <w:pStyle w:val="24"/>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pStyle w:val="25"/>
      </w:pPr>
      <w:r>
        <w:t>（一）总体绩效目标：</w:t>
      </w:r>
    </w:p>
    <w:p>
      <w:pPr>
        <w:pStyle w:val="25"/>
      </w:pPr>
      <w:r>
        <w:t xml:space="preserve">1．进一步转变政府职能    </w:t>
      </w:r>
    </w:p>
    <w:p>
      <w:pPr>
        <w:pStyle w:val="25"/>
      </w:pPr>
      <w:r>
        <w:t xml:space="preserve">依法全面履行政府职能。注重强化社会管理职能和公共服务职能。充分发挥市场配置资源的基础性作用，主要运用经济、法律等手段，通过制定规划、政策指导、发布信息以及规范市场准入，引导和调控经济运行。依法加强对社会组织和社会事务的管理，妥善协调各种利益关系，增强维护公共安全和处理突发事件的能力，维护社会公正、社会秩序和社会稳定。进一步提高政府公共服务的效率做基础。  </w:t>
      </w:r>
    </w:p>
    <w:p>
      <w:pPr>
        <w:pStyle w:val="25"/>
      </w:pPr>
      <w:r>
        <w:t>完善乡镇政府管理体制。 进一步完善政府管理体制，合理划分和依法规范行政机关的职能、权限。加强乡镇政府在社会管理和公共服务方面的属地化管理职责，积极推进乡镇改革。</w:t>
      </w:r>
    </w:p>
    <w:p>
      <w:pPr>
        <w:pStyle w:val="25"/>
      </w:pPr>
      <w:r>
        <w:t xml:space="preserve">2、努力提高行政效率 </w:t>
      </w:r>
    </w:p>
    <w:p>
      <w:pPr>
        <w:pStyle w:val="25"/>
      </w:pPr>
      <w:r>
        <w:t xml:space="preserve">健全科学的决策和执行机制。 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  </w:t>
      </w:r>
    </w:p>
    <w:p>
      <w:pPr>
        <w:pStyle w:val="25"/>
      </w:pPr>
      <w:r>
        <w:t xml:space="preserve">3、全面推进依法行政 </w:t>
      </w:r>
    </w:p>
    <w:p>
      <w:pPr>
        <w:pStyle w:val="25"/>
      </w:pPr>
      <w:r>
        <w:t xml:space="preserve">加强依法行政制度建设。 深入贯彻国务院《全面推进依法行政实施纲要》，按照合法行政、合理行政、程序正当、高效便民、诚实守信、权责统一的要求，全面提高政府依法行政水平。进一步完善规范性文件的制定和备案制度。深入贯彻《中华人民共和国行政许可法》，完善行政许可配套制度建设。以继续推进综合执法体制改革为重点，建立和完善职责明确、行为规范、监督有效、保障有力的执法体制。建立健全行政执法责任制、过错责任追究制度和评议考核机制。 </w:t>
      </w:r>
    </w:p>
    <w:p>
      <w:pPr>
        <w:pStyle w:val="25"/>
      </w:pPr>
      <w:r>
        <w:t>深入推进政府信息公开。 按照“以公开为原则、不公开为例外 ” 的总体要求，深化政府信息公开制度建设，拓宽公开范围和渠道，建立和落实政府信息公开争议解决机制和监督机制，为社会提供公开、透明、高效的公共服务。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一、经济管理</w:t>
      </w:r>
    </w:p>
    <w:p>
      <w:pPr>
        <w:pStyle w:val="26"/>
      </w:pPr>
      <w:r>
        <w:t>优化产业结构，推进项目建设，注重依托本地资源优势、区位优势或原有产业的基础优势，上项目、兴产业、培税源，初步确立本地优势产业和工业主导项目；不断培植新的经济增长点，加快推动农业发展转型升级，全面深化农业农村改革。</w:t>
      </w:r>
    </w:p>
    <w:p>
      <w:pPr>
        <w:pStyle w:val="26"/>
      </w:pPr>
      <w:r>
        <w:t>二、社会管理</w:t>
      </w:r>
    </w:p>
    <w:p>
      <w:pPr>
        <w:pStyle w:val="26"/>
      </w:pPr>
      <w:r>
        <w:t>加强农村基层组织建设，维护乡镇正常运转，做好村级事务管理和农村计生工作，配合城建、国土、安监、武装、环保、国地税等部门做好各项工作。</w:t>
      </w:r>
    </w:p>
    <w:p>
      <w:pPr>
        <w:pStyle w:val="26"/>
      </w:pPr>
      <w:r>
        <w:t>三、公共服务</w:t>
      </w:r>
    </w:p>
    <w:p>
      <w:pPr>
        <w:pStyle w:val="26"/>
      </w:pPr>
      <w:r>
        <w:t>为满足农业、农村发展或农民生产、生活的需要，乡（镇）政府在基础设施建设、生活条件改善、科技推广、社会保障、社会救助等方面所提供的社会服务。</w:t>
      </w:r>
    </w:p>
    <w:p>
      <w:pPr>
        <w:pStyle w:val="26"/>
      </w:pPr>
      <w:r>
        <w:t>四、维护稳定</w:t>
      </w:r>
    </w:p>
    <w:p>
      <w:pPr>
        <w:pStyle w:val="26"/>
      </w:pPr>
      <w:r>
        <w:t>做好社会治安综合治理工作，宣传法律法规，调解社会矛盾纠纷，处理正常信访、非访、突发性及群体性事件，提供相关服务保障；协助上级部门打击各类刑事犯罪活动，维护社会稳定。</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一、搞好产业规划，组织做好招商引资工作，做好引进项目的跟踪服务后续工作，引导农村经济发展，配合民政、商务和供销社、农口等部门做好技术推广和服务工作调整并建立合理的城镇产业结构，推动区域技术和信息交流，真正把乡镇产业做好、做大、做强。优化经济结构，以市场需求为导向，大力培育支柱产业，加强各类综合市场和专业市场建设，不断繁荣乡镇经济。执行各类惠农政策，推进新农村建设，保证农村经济健康发展。</w:t>
      </w:r>
    </w:p>
    <w:p>
      <w:pPr>
        <w:pStyle w:val="27"/>
      </w:pPr>
      <w:r>
        <w:t>二、基础工作做实，完成相关部门各项工作，促进经济社会又好又快发展，维护社会和谐稳定实现村级事务制度化、科学化、规范化运行。保障计划生育工作的顺利开展和计生资金的发放督查安全生产隐患排查治理到位，非法违法行为得到有效遏制，安全生产法治秩序得到进一步完善，遏制重大安全生产事故，全镇安全生产形势持续稳定好转。及时部署全镇安全生产工作，传达部署国家、省、市关于安全生产工作的要求，研究协调解决安全生产工作中的重大问题。改善农村人居环境，提高农民生活质量和健康水平。</w:t>
      </w:r>
    </w:p>
    <w:p>
      <w:pPr>
        <w:pStyle w:val="27"/>
      </w:pPr>
      <w:r>
        <w:t>三、满足农民对公共服务的实际需求确保基础设施建设安全可靠，功能及资金使用符合施工要求，节能环保打造宜居环境做好农民就业培训，提高医保参保率对申请救助且符合救助条件的人员全部实施救助，健全农业基层技术推广体系全面提高农民素质，适应农业现代化、工业化、城镇化以及新农业建设的需要。</w:t>
      </w:r>
    </w:p>
    <w:p>
      <w:pPr>
        <w:pStyle w:val="27"/>
      </w:pPr>
      <w:r>
        <w:t>四、提高治安防范整体水平；预防和减少重大矛盾纠纷和群体性事件的发生，提高农民法律意识和法律素养。预防减少不稳定因素的发生，有效化解不稳定隐患、群体性事件和突发事件，维护国家安全。确保普法宣传教育工作谋划到位、落实到位、顺利开展</w:t>
      </w:r>
    </w:p>
    <w:p>
      <w:pPr>
        <w:pStyle w:val="27"/>
      </w:pPr>
    </w:p>
    <w:p>
      <w:pPr>
        <w:pStyle w:val="27"/>
      </w:pP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tabs>
          <w:tab w:val="left" w:pos="913"/>
        </w:tabs>
        <w:bidi w:val="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eastAsia="宋体"/>
          <w:lang w:val="en-US" w:eastAsia="zh-CN"/>
        </w:rPr>
        <w:tab/>
      </w:r>
      <w:r>
        <w:rPr>
          <w:rFonts w:hint="eastAsia" w:eastAsia="宋体"/>
          <w:lang w:val="en-US" w:eastAsia="zh-CN"/>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1、七汲镇西小镇村街道提升项目绩效目标表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1.保障农村环境提升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新建改建水泥（沥青）路面积</w:t>
            </w:r>
          </w:p>
        </w:tc>
        <w:tc>
          <w:tcPr>
            <w:tcW w:w="2835" w:type="dxa"/>
            <w:vAlign w:val="center"/>
          </w:tcPr>
          <w:p>
            <w:pPr>
              <w:pStyle w:val="16"/>
            </w:pPr>
            <w:r>
              <w:t>新建改建水泥（沥青）路面积</w:t>
            </w:r>
          </w:p>
        </w:tc>
        <w:tc>
          <w:tcPr>
            <w:tcW w:w="2551" w:type="dxa"/>
            <w:vAlign w:val="center"/>
          </w:tcPr>
          <w:p>
            <w:pPr>
              <w:pStyle w:val="16"/>
            </w:pPr>
            <w:r>
              <w:t>新建改建水泥（沥青）路面积大于等于计划数</w:t>
            </w:r>
          </w:p>
        </w:tc>
        <w:tc>
          <w:tcPr>
            <w:tcW w:w="2268" w:type="dxa"/>
            <w:vAlign w:val="center"/>
          </w:tcPr>
          <w:p>
            <w:pPr>
              <w:pStyle w:val="16"/>
            </w:pPr>
            <w:r>
              <w:t>新建改建水泥（沥青）路面积大于等于计划数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实际完成工程量占计划完成工程量的比率</w:t>
            </w:r>
          </w:p>
        </w:tc>
        <w:tc>
          <w:tcPr>
            <w:tcW w:w="2835" w:type="dxa"/>
            <w:vAlign w:val="center"/>
          </w:tcPr>
          <w:p>
            <w:pPr>
              <w:pStyle w:val="16"/>
            </w:pPr>
            <w:r>
              <w:t>实际完成工程量占计划完成工程量的比率</w:t>
            </w:r>
          </w:p>
        </w:tc>
        <w:tc>
          <w:tcPr>
            <w:tcW w:w="2551" w:type="dxa"/>
            <w:vAlign w:val="center"/>
          </w:tcPr>
          <w:p>
            <w:pPr>
              <w:pStyle w:val="16"/>
            </w:pPr>
            <w:r>
              <w:t>实际完成工程量占计划完成工程量的比率大于</w:t>
            </w:r>
          </w:p>
        </w:tc>
        <w:tc>
          <w:tcPr>
            <w:tcW w:w="2268" w:type="dxa"/>
            <w:vAlign w:val="center"/>
          </w:tcPr>
          <w:p>
            <w:pPr>
              <w:pStyle w:val="16"/>
            </w:pPr>
            <w:r>
              <w:t>实际完成工程量占计划完成工程量的比率大于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按期完成的工程量占总工程量的比率</w:t>
            </w:r>
          </w:p>
        </w:tc>
        <w:tc>
          <w:tcPr>
            <w:tcW w:w="2835" w:type="dxa"/>
            <w:vAlign w:val="center"/>
          </w:tcPr>
          <w:p>
            <w:pPr>
              <w:pStyle w:val="16"/>
            </w:pPr>
            <w:r>
              <w:t>按期完成的工程量占总工程量的比率</w:t>
            </w:r>
          </w:p>
        </w:tc>
        <w:tc>
          <w:tcPr>
            <w:tcW w:w="2551" w:type="dxa"/>
            <w:vAlign w:val="center"/>
          </w:tcPr>
          <w:p>
            <w:pPr>
              <w:pStyle w:val="16"/>
            </w:pPr>
            <w:r>
              <w:t>按期完成的工程量占总工程量的比率</w:t>
            </w:r>
          </w:p>
        </w:tc>
        <w:tc>
          <w:tcPr>
            <w:tcW w:w="2268" w:type="dxa"/>
            <w:vAlign w:val="center"/>
          </w:tcPr>
          <w:p>
            <w:pPr>
              <w:pStyle w:val="16"/>
            </w:pPr>
            <w:r>
              <w:t>按期完成的工程量占总工程量的比率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新建改建水泥（沥青）路单位平方米造价成本</w:t>
            </w:r>
          </w:p>
        </w:tc>
        <w:tc>
          <w:tcPr>
            <w:tcW w:w="2835" w:type="dxa"/>
            <w:vAlign w:val="center"/>
          </w:tcPr>
          <w:p>
            <w:pPr>
              <w:pStyle w:val="16"/>
            </w:pPr>
            <w:r>
              <w:t>新建改建水泥（沥青）路单位平方米造价成本</w:t>
            </w:r>
          </w:p>
        </w:tc>
        <w:tc>
          <w:tcPr>
            <w:tcW w:w="2551" w:type="dxa"/>
            <w:vAlign w:val="center"/>
          </w:tcPr>
          <w:p>
            <w:pPr>
              <w:pStyle w:val="16"/>
            </w:pPr>
            <w:r>
              <w:t>新建改建水泥（沥青）路单位平方米造价成本</w:t>
            </w:r>
          </w:p>
        </w:tc>
        <w:tc>
          <w:tcPr>
            <w:tcW w:w="2268" w:type="dxa"/>
            <w:vAlign w:val="center"/>
          </w:tcPr>
          <w:p>
            <w:pPr>
              <w:pStyle w:val="16"/>
            </w:pPr>
            <w:r>
              <w:t>新建改建水泥（沥青）路单位平方米造价成本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基础设施建设投入运营后给直接受益村村民人均年度经济收入情况</w:t>
            </w:r>
          </w:p>
        </w:tc>
        <w:tc>
          <w:tcPr>
            <w:tcW w:w="2835" w:type="dxa"/>
            <w:vAlign w:val="center"/>
          </w:tcPr>
          <w:p>
            <w:pPr>
              <w:pStyle w:val="16"/>
            </w:pPr>
            <w:r>
              <w:t>基础设施建设投入运营后给直接受益村村民人均年度经济收入情况</w:t>
            </w:r>
          </w:p>
        </w:tc>
        <w:tc>
          <w:tcPr>
            <w:tcW w:w="2551" w:type="dxa"/>
            <w:vAlign w:val="center"/>
          </w:tcPr>
          <w:p>
            <w:pPr>
              <w:pStyle w:val="16"/>
            </w:pPr>
            <w:r>
              <w:t>基础设施建设投入运营后给直接受益村村民人均年度经济收入情况</w:t>
            </w:r>
          </w:p>
        </w:tc>
        <w:tc>
          <w:tcPr>
            <w:tcW w:w="2268" w:type="dxa"/>
            <w:vAlign w:val="center"/>
          </w:tcPr>
          <w:p>
            <w:pPr>
              <w:pStyle w:val="16"/>
            </w:pPr>
            <w:r>
              <w:t>基础设施建设投入运营后给直接受益村村民人均年度经济收入情况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居民出行平均缩短时间</w:t>
            </w:r>
          </w:p>
        </w:tc>
        <w:tc>
          <w:tcPr>
            <w:tcW w:w="2835" w:type="dxa"/>
            <w:vAlign w:val="center"/>
          </w:tcPr>
          <w:p>
            <w:pPr>
              <w:pStyle w:val="16"/>
            </w:pPr>
            <w:r>
              <w:t>居民出行平均缩短时间</w:t>
            </w:r>
          </w:p>
        </w:tc>
        <w:tc>
          <w:tcPr>
            <w:tcW w:w="2551" w:type="dxa"/>
            <w:vAlign w:val="center"/>
          </w:tcPr>
          <w:p>
            <w:pPr>
              <w:pStyle w:val="16"/>
            </w:pPr>
            <w:r>
              <w:t>居民出行平均缩短时间</w:t>
            </w:r>
          </w:p>
        </w:tc>
        <w:tc>
          <w:tcPr>
            <w:tcW w:w="2268" w:type="dxa"/>
            <w:vAlign w:val="center"/>
          </w:tcPr>
          <w:p>
            <w:pPr>
              <w:pStyle w:val="16"/>
            </w:pPr>
            <w:r>
              <w:t>居民出行平均缩短时间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受益群众人口数量</w:t>
            </w:r>
          </w:p>
        </w:tc>
        <w:tc>
          <w:tcPr>
            <w:tcW w:w="2835" w:type="dxa"/>
            <w:vAlign w:val="center"/>
          </w:tcPr>
          <w:p>
            <w:pPr>
              <w:pStyle w:val="16"/>
            </w:pPr>
            <w:r>
              <w:t>受益群众人口数量</w:t>
            </w:r>
          </w:p>
        </w:tc>
        <w:tc>
          <w:tcPr>
            <w:tcW w:w="2551" w:type="dxa"/>
            <w:vAlign w:val="center"/>
          </w:tcPr>
          <w:p>
            <w:pPr>
              <w:pStyle w:val="16"/>
            </w:pPr>
            <w:r>
              <w:t>受益群众人口数量</w:t>
            </w:r>
          </w:p>
        </w:tc>
        <w:tc>
          <w:tcPr>
            <w:tcW w:w="2268" w:type="dxa"/>
            <w:vAlign w:val="center"/>
          </w:tcPr>
          <w:p>
            <w:pPr>
              <w:pStyle w:val="16"/>
            </w:pPr>
            <w:r>
              <w:t>受益群众人口数量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工程使用年限</w:t>
            </w:r>
          </w:p>
        </w:tc>
        <w:tc>
          <w:tcPr>
            <w:tcW w:w="2835" w:type="dxa"/>
            <w:vAlign w:val="center"/>
          </w:tcPr>
          <w:p>
            <w:pPr>
              <w:pStyle w:val="16"/>
            </w:pPr>
            <w:r>
              <w:t>工程使用年限</w:t>
            </w:r>
          </w:p>
        </w:tc>
        <w:tc>
          <w:tcPr>
            <w:tcW w:w="2551" w:type="dxa"/>
            <w:vAlign w:val="center"/>
          </w:tcPr>
          <w:p>
            <w:pPr>
              <w:pStyle w:val="16"/>
            </w:pPr>
            <w:r>
              <w:t>工程使用年限</w:t>
            </w:r>
          </w:p>
        </w:tc>
        <w:tc>
          <w:tcPr>
            <w:tcW w:w="2268" w:type="dxa"/>
            <w:vAlign w:val="center"/>
          </w:tcPr>
          <w:p>
            <w:pPr>
              <w:pStyle w:val="16"/>
            </w:pPr>
            <w:r>
              <w:t>工程使用年限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受益群众满意度</w:t>
            </w:r>
          </w:p>
        </w:tc>
        <w:tc>
          <w:tcPr>
            <w:tcW w:w="2268"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2023年，无极县七汲镇人民政府安排政府采购预算0.00万元。具体内容见下表。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931无极县七汲镇人民政府</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无极县七汲镇人民政府（含所属单位）上年末固定资产金额为554.84万元（详见下表）。本年度拟购置固定资产总额为0.00万元。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931无极县七汲镇人民政府</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554.84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3000</w:t>
            </w:r>
          </w:p>
        </w:tc>
        <w:tc>
          <w:tcPr>
            <w:tcW w:w="2835" w:type="dxa"/>
            <w:vAlign w:val="center"/>
          </w:tcPr>
          <w:p>
            <w:pPr>
              <w:pStyle w:val="15"/>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1500</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5</w:t>
            </w:r>
          </w:p>
        </w:tc>
        <w:tc>
          <w:tcPr>
            <w:tcW w:w="2835" w:type="dxa"/>
            <w:vAlign w:val="center"/>
          </w:tcPr>
          <w:p>
            <w:pPr>
              <w:pStyle w:val="15"/>
            </w:pPr>
            <w:r>
              <w:t>50.62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172.22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7674FA"/>
    <w:rsid w:val="260B73F8"/>
    <w:rsid w:val="2918594E"/>
    <w:rsid w:val="4AD036D1"/>
    <w:rsid w:val="64944546"/>
    <w:rsid w:val="65B13B7D"/>
    <w:rsid w:val="68242D8A"/>
    <w:rsid w:val="6D6F55AF"/>
    <w:rsid w:val="6DB30414"/>
    <w:rsid w:val="75A5268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Office_11.8.2.12012_F1E327BC-269C-435d-A152-05C5408002CA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2023-05-15T22:28:00Z</dcterms:created>
  <dc:creator>Administrator</dc:creator>
  <cp:lastModifiedBy>caizhengju</cp:lastModifiedBy>
  <dcterms:modified xsi:type="dcterms:W3CDTF">2024-01-09T16:40:17Z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ABC734B6289C9A2671069D65F088EFD4</vt:lpwstr>
  </property>
</Properties>
</file>