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8</w:t>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3</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rPr>
          <w:rFonts w:hint="eastAsia" w:eastAsia="黑体"/>
          <w:lang w:eastAsia="zh-CN"/>
        </w:rPr>
      </w:pPr>
      <w:r>
        <w:rPr>
          <w:rFonts w:ascii="黑体" w:hAnsi="黑体" w:eastAsia="黑体" w:cs="黑体"/>
          <w:b/>
          <w:color w:val="000000"/>
          <w:sz w:val="44"/>
        </w:rPr>
        <w:t>2023年部门预算信息公开</w:t>
      </w:r>
      <w:r>
        <w:rPr>
          <w:rFonts w:hint="eastAsia" w:ascii="黑体" w:hAnsi="黑体" w:eastAsia="黑体" w:cs="黑体"/>
          <w:b/>
          <w:color w:val="000000"/>
          <w:sz w:val="44"/>
          <w:lang w:val="en-US" w:eastAsia="zh-CN"/>
        </w:rPr>
        <w:t>表</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930无极县无极镇人民政府</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3928.90</w:t>
            </w:r>
          </w:p>
        </w:tc>
        <w:tc>
          <w:tcPr>
            <w:tcW w:w="4535" w:type="dxa"/>
            <w:vAlign w:val="center"/>
          </w:tcPr>
          <w:p>
            <w:pPr>
              <w:pStyle w:val="16"/>
            </w:pPr>
            <w:r>
              <w:t>一、一般公共服务支出</w:t>
            </w:r>
          </w:p>
        </w:tc>
        <w:tc>
          <w:tcPr>
            <w:tcW w:w="2126" w:type="dxa"/>
            <w:vAlign w:val="center"/>
          </w:tcPr>
          <w:p>
            <w:pPr>
              <w:pStyle w:val="15"/>
            </w:pPr>
            <w:r>
              <w:t>3648.90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3928.90</w:t>
            </w:r>
          </w:p>
        </w:tc>
        <w:tc>
          <w:tcPr>
            <w:tcW w:w="4535" w:type="dxa"/>
            <w:vAlign w:val="center"/>
          </w:tcPr>
          <w:p>
            <w:pPr>
              <w:pStyle w:val="18"/>
            </w:pPr>
            <w:r>
              <w:t>本年支出合计</w:t>
            </w:r>
          </w:p>
        </w:tc>
        <w:tc>
          <w:tcPr>
            <w:tcW w:w="2126" w:type="dxa"/>
            <w:vAlign w:val="center"/>
          </w:tcPr>
          <w:p>
            <w:pPr>
              <w:pStyle w:val="19"/>
            </w:pPr>
            <w:r>
              <w:t>3928.90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3928.90</w:t>
            </w:r>
          </w:p>
        </w:tc>
        <w:tc>
          <w:tcPr>
            <w:tcW w:w="4535" w:type="dxa"/>
            <w:vAlign w:val="center"/>
          </w:tcPr>
          <w:p>
            <w:pPr>
              <w:pStyle w:val="18"/>
            </w:pPr>
            <w:r>
              <w:t>支出总计</w:t>
            </w:r>
          </w:p>
        </w:tc>
        <w:tc>
          <w:tcPr>
            <w:tcW w:w="2126" w:type="dxa"/>
            <w:vAlign w:val="center"/>
          </w:tcPr>
          <w:p>
            <w:pPr>
              <w:pStyle w:val="19"/>
            </w:pPr>
            <w:r>
              <w:t>3928.90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930无极县无极镇人民政府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3928.90</w:t>
            </w:r>
          </w:p>
        </w:tc>
        <w:tc>
          <w:tcPr>
            <w:tcW w:w="1134" w:type="dxa"/>
            <w:vAlign w:val="center"/>
          </w:tcPr>
          <w:p>
            <w:pPr>
              <w:pStyle w:val="19"/>
            </w:pPr>
            <w:r>
              <w:t>3928.90</w:t>
            </w:r>
          </w:p>
        </w:tc>
        <w:tc>
          <w:tcPr>
            <w:tcW w:w="1134" w:type="dxa"/>
            <w:vAlign w:val="center"/>
          </w:tcPr>
          <w:p>
            <w:pPr>
              <w:pStyle w:val="19"/>
            </w:pPr>
            <w:r>
              <w:t>3928.90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3648.90</w:t>
            </w:r>
          </w:p>
        </w:tc>
        <w:tc>
          <w:tcPr>
            <w:tcW w:w="1134" w:type="dxa"/>
            <w:vAlign w:val="center"/>
          </w:tcPr>
          <w:p>
            <w:pPr>
              <w:pStyle w:val="15"/>
            </w:pPr>
            <w:r>
              <w:t>3648.90</w:t>
            </w:r>
          </w:p>
        </w:tc>
        <w:tc>
          <w:tcPr>
            <w:tcW w:w="1134" w:type="dxa"/>
            <w:vAlign w:val="center"/>
          </w:tcPr>
          <w:p>
            <w:pPr>
              <w:pStyle w:val="15"/>
            </w:pPr>
            <w:r>
              <w:t>3648.90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3648.90</w:t>
            </w:r>
          </w:p>
        </w:tc>
        <w:tc>
          <w:tcPr>
            <w:tcW w:w="1134" w:type="dxa"/>
            <w:vAlign w:val="center"/>
          </w:tcPr>
          <w:p>
            <w:pPr>
              <w:pStyle w:val="15"/>
            </w:pPr>
            <w:r>
              <w:t>3648.90</w:t>
            </w:r>
          </w:p>
        </w:tc>
        <w:tc>
          <w:tcPr>
            <w:tcW w:w="1134" w:type="dxa"/>
            <w:vAlign w:val="center"/>
          </w:tcPr>
          <w:p>
            <w:pPr>
              <w:pStyle w:val="15"/>
            </w:pPr>
            <w:r>
              <w:t>3648.90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3648.90</w:t>
            </w:r>
          </w:p>
        </w:tc>
        <w:tc>
          <w:tcPr>
            <w:tcW w:w="1134" w:type="dxa"/>
            <w:vAlign w:val="center"/>
          </w:tcPr>
          <w:p>
            <w:pPr>
              <w:pStyle w:val="15"/>
            </w:pPr>
            <w:r>
              <w:t>3648.90</w:t>
            </w:r>
          </w:p>
        </w:tc>
        <w:tc>
          <w:tcPr>
            <w:tcW w:w="1134" w:type="dxa"/>
            <w:vAlign w:val="center"/>
          </w:tcPr>
          <w:p>
            <w:pPr>
              <w:pStyle w:val="15"/>
            </w:pPr>
            <w:r>
              <w:t>3648.90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r>
              <w:t>65.00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22999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2299999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3928.90</w:t>
            </w:r>
          </w:p>
        </w:tc>
        <w:tc>
          <w:tcPr>
            <w:tcW w:w="1361" w:type="dxa"/>
            <w:vAlign w:val="center"/>
          </w:tcPr>
          <w:p>
            <w:pPr>
              <w:pStyle w:val="19"/>
            </w:pPr>
            <w:r>
              <w:t>3828.90</w:t>
            </w:r>
          </w:p>
        </w:tc>
        <w:tc>
          <w:tcPr>
            <w:tcW w:w="1361" w:type="dxa"/>
            <w:vAlign w:val="center"/>
          </w:tcPr>
          <w:p>
            <w:pPr>
              <w:pStyle w:val="19"/>
            </w:pPr>
            <w:r>
              <w:t>100.00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3648.90</w:t>
            </w:r>
          </w:p>
        </w:tc>
        <w:tc>
          <w:tcPr>
            <w:tcW w:w="1361" w:type="dxa"/>
            <w:vAlign w:val="center"/>
          </w:tcPr>
          <w:p>
            <w:pPr>
              <w:pStyle w:val="15"/>
            </w:pPr>
            <w:r>
              <w:t>3648.90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3648.90</w:t>
            </w:r>
          </w:p>
        </w:tc>
        <w:tc>
          <w:tcPr>
            <w:tcW w:w="1361" w:type="dxa"/>
            <w:vAlign w:val="center"/>
          </w:tcPr>
          <w:p>
            <w:pPr>
              <w:pStyle w:val="15"/>
            </w:pPr>
            <w:r>
              <w:t>3648.90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3648.90</w:t>
            </w:r>
          </w:p>
        </w:tc>
        <w:tc>
          <w:tcPr>
            <w:tcW w:w="1361" w:type="dxa"/>
            <w:vAlign w:val="center"/>
          </w:tcPr>
          <w:p>
            <w:pPr>
              <w:pStyle w:val="15"/>
            </w:pPr>
            <w:r>
              <w:t>3648.90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115.00</w:t>
            </w: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115.00</w:t>
            </w: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25.00</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65.00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65.00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65.00</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22999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2299999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3928.90</w:t>
            </w:r>
          </w:p>
        </w:tc>
        <w:tc>
          <w:tcPr>
            <w:tcW w:w="3402" w:type="dxa"/>
            <w:vAlign w:val="center"/>
          </w:tcPr>
          <w:p>
            <w:pPr>
              <w:pStyle w:val="16"/>
            </w:pPr>
            <w:r>
              <w:t>一、一般公共服务支出</w:t>
            </w:r>
          </w:p>
        </w:tc>
        <w:tc>
          <w:tcPr>
            <w:tcW w:w="1474" w:type="dxa"/>
            <w:vAlign w:val="center"/>
          </w:tcPr>
          <w:p>
            <w:pPr>
              <w:pStyle w:val="15"/>
            </w:pPr>
            <w:r>
              <w:t>3648.90</w:t>
            </w:r>
          </w:p>
        </w:tc>
        <w:tc>
          <w:tcPr>
            <w:tcW w:w="1474" w:type="dxa"/>
            <w:vAlign w:val="center"/>
          </w:tcPr>
          <w:p>
            <w:pPr>
              <w:pStyle w:val="15"/>
            </w:pPr>
            <w:r>
              <w:t>3648.90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115.00</w:t>
            </w:r>
          </w:p>
        </w:tc>
        <w:tc>
          <w:tcPr>
            <w:tcW w:w="1474" w:type="dxa"/>
            <w:vAlign w:val="center"/>
          </w:tcPr>
          <w:p>
            <w:pPr>
              <w:pStyle w:val="15"/>
            </w:pPr>
            <w:r>
              <w:t>115.00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65.00</w:t>
            </w:r>
          </w:p>
        </w:tc>
        <w:tc>
          <w:tcPr>
            <w:tcW w:w="1474" w:type="dxa"/>
            <w:vAlign w:val="center"/>
          </w:tcPr>
          <w:p>
            <w:pPr>
              <w:pStyle w:val="15"/>
            </w:pPr>
            <w:r>
              <w:t>65.00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100.00</w:t>
            </w:r>
          </w:p>
        </w:tc>
        <w:tc>
          <w:tcPr>
            <w:tcW w:w="1474" w:type="dxa"/>
            <w:vAlign w:val="center"/>
          </w:tcPr>
          <w:p>
            <w:pPr>
              <w:pStyle w:val="15"/>
            </w:pPr>
            <w:r>
              <w:t>100.00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3928.90</w:t>
            </w:r>
          </w:p>
        </w:tc>
        <w:tc>
          <w:tcPr>
            <w:tcW w:w="3402" w:type="dxa"/>
            <w:vAlign w:val="center"/>
          </w:tcPr>
          <w:p>
            <w:pPr>
              <w:pStyle w:val="18"/>
            </w:pPr>
            <w:r>
              <w:t>本年支出合计</w:t>
            </w:r>
          </w:p>
        </w:tc>
        <w:tc>
          <w:tcPr>
            <w:tcW w:w="1474" w:type="dxa"/>
            <w:vAlign w:val="center"/>
          </w:tcPr>
          <w:p>
            <w:pPr>
              <w:pStyle w:val="19"/>
            </w:pPr>
            <w:r>
              <w:t>3928.90</w:t>
            </w:r>
          </w:p>
        </w:tc>
        <w:tc>
          <w:tcPr>
            <w:tcW w:w="1474" w:type="dxa"/>
            <w:vAlign w:val="center"/>
          </w:tcPr>
          <w:p>
            <w:pPr>
              <w:pStyle w:val="19"/>
            </w:pPr>
            <w:r>
              <w:t>3928.90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3928.90</w:t>
            </w:r>
          </w:p>
        </w:tc>
        <w:tc>
          <w:tcPr>
            <w:tcW w:w="3402" w:type="dxa"/>
            <w:vAlign w:val="center"/>
          </w:tcPr>
          <w:p>
            <w:pPr>
              <w:pStyle w:val="18"/>
            </w:pPr>
            <w:r>
              <w:t>支出总计</w:t>
            </w:r>
          </w:p>
        </w:tc>
        <w:tc>
          <w:tcPr>
            <w:tcW w:w="1474" w:type="dxa"/>
            <w:vAlign w:val="center"/>
          </w:tcPr>
          <w:p>
            <w:pPr>
              <w:pStyle w:val="19"/>
            </w:pPr>
            <w:r>
              <w:t>3928.90</w:t>
            </w:r>
          </w:p>
        </w:tc>
        <w:tc>
          <w:tcPr>
            <w:tcW w:w="1474" w:type="dxa"/>
            <w:vAlign w:val="center"/>
          </w:tcPr>
          <w:p>
            <w:pPr>
              <w:pStyle w:val="19"/>
            </w:pPr>
            <w:r>
              <w:t>3928.90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3928.90</w:t>
            </w:r>
          </w:p>
        </w:tc>
        <w:tc>
          <w:tcPr>
            <w:tcW w:w="2551" w:type="dxa"/>
            <w:vAlign w:val="center"/>
          </w:tcPr>
          <w:p>
            <w:pPr>
              <w:pStyle w:val="19"/>
            </w:pPr>
            <w:r>
              <w:t>3828.90</w:t>
            </w:r>
          </w:p>
        </w:tc>
        <w:tc>
          <w:tcPr>
            <w:tcW w:w="2551" w:type="dxa"/>
            <w:vAlign w:val="center"/>
          </w:tcPr>
          <w:p>
            <w:pPr>
              <w:pStyle w:val="1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3648.90</w:t>
            </w:r>
          </w:p>
        </w:tc>
        <w:tc>
          <w:tcPr>
            <w:tcW w:w="2551" w:type="dxa"/>
            <w:vAlign w:val="center"/>
          </w:tcPr>
          <w:p>
            <w:pPr>
              <w:pStyle w:val="15"/>
            </w:pPr>
            <w:r>
              <w:t>3648.90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3648.90</w:t>
            </w:r>
          </w:p>
        </w:tc>
        <w:tc>
          <w:tcPr>
            <w:tcW w:w="2551" w:type="dxa"/>
            <w:vAlign w:val="center"/>
          </w:tcPr>
          <w:p>
            <w:pPr>
              <w:pStyle w:val="15"/>
            </w:pPr>
            <w:r>
              <w:t>3648.90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3648.90</w:t>
            </w:r>
          </w:p>
        </w:tc>
        <w:tc>
          <w:tcPr>
            <w:tcW w:w="2551" w:type="dxa"/>
            <w:vAlign w:val="center"/>
          </w:tcPr>
          <w:p>
            <w:pPr>
              <w:pStyle w:val="15"/>
            </w:pPr>
            <w:r>
              <w:t>3648.90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115.00</w:t>
            </w:r>
          </w:p>
        </w:tc>
        <w:tc>
          <w:tcPr>
            <w:tcW w:w="2551" w:type="dxa"/>
            <w:vAlign w:val="center"/>
          </w:tcPr>
          <w:p>
            <w:pPr>
              <w:pStyle w:val="15"/>
            </w:pPr>
            <w:r>
              <w:t>115.00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115.00</w:t>
            </w:r>
          </w:p>
        </w:tc>
        <w:tc>
          <w:tcPr>
            <w:tcW w:w="2551" w:type="dxa"/>
            <w:vAlign w:val="center"/>
          </w:tcPr>
          <w:p>
            <w:pPr>
              <w:pStyle w:val="15"/>
            </w:pPr>
            <w:r>
              <w:t>115.00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65.00</w:t>
            </w:r>
          </w:p>
        </w:tc>
        <w:tc>
          <w:tcPr>
            <w:tcW w:w="2551" w:type="dxa"/>
            <w:vAlign w:val="center"/>
          </w:tcPr>
          <w:p>
            <w:pPr>
              <w:pStyle w:val="15"/>
            </w:pPr>
            <w:r>
              <w:t>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65.00</w:t>
            </w:r>
          </w:p>
        </w:tc>
        <w:tc>
          <w:tcPr>
            <w:tcW w:w="2551" w:type="dxa"/>
            <w:vAlign w:val="center"/>
          </w:tcPr>
          <w:p>
            <w:pPr>
              <w:pStyle w:val="15"/>
            </w:pPr>
            <w:r>
              <w:t>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65.00</w:t>
            </w:r>
          </w:p>
        </w:tc>
        <w:tc>
          <w:tcPr>
            <w:tcW w:w="2551" w:type="dxa"/>
            <w:vAlign w:val="center"/>
          </w:tcPr>
          <w:p>
            <w:pPr>
              <w:pStyle w:val="15"/>
            </w:pPr>
            <w:r>
              <w:t>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22999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2299999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3828.90</w:t>
            </w:r>
          </w:p>
        </w:tc>
        <w:tc>
          <w:tcPr>
            <w:tcW w:w="2551" w:type="dxa"/>
            <w:vAlign w:val="center"/>
          </w:tcPr>
          <w:p>
            <w:pPr>
              <w:pStyle w:val="19"/>
            </w:pPr>
            <w:r>
              <w:t>1246.90</w:t>
            </w:r>
          </w:p>
        </w:tc>
        <w:tc>
          <w:tcPr>
            <w:tcW w:w="2551" w:type="dxa"/>
            <w:vAlign w:val="center"/>
          </w:tcPr>
          <w:p>
            <w:pPr>
              <w:pStyle w:val="19"/>
            </w:pPr>
            <w:r>
              <w:t>2582.00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1214.30</w:t>
            </w:r>
          </w:p>
        </w:tc>
        <w:tc>
          <w:tcPr>
            <w:tcW w:w="2551" w:type="dxa"/>
            <w:vAlign w:val="center"/>
          </w:tcPr>
          <w:p>
            <w:pPr>
              <w:pStyle w:val="15"/>
            </w:pPr>
            <w:r>
              <w:t>1214.30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562.00</w:t>
            </w:r>
          </w:p>
        </w:tc>
        <w:tc>
          <w:tcPr>
            <w:tcW w:w="2551" w:type="dxa"/>
            <w:vAlign w:val="center"/>
          </w:tcPr>
          <w:p>
            <w:pPr>
              <w:pStyle w:val="15"/>
            </w:pPr>
            <w:r>
              <w:t>562.00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218.30</w:t>
            </w:r>
          </w:p>
        </w:tc>
        <w:tc>
          <w:tcPr>
            <w:tcW w:w="2551" w:type="dxa"/>
            <w:vAlign w:val="center"/>
          </w:tcPr>
          <w:p>
            <w:pPr>
              <w:pStyle w:val="15"/>
            </w:pPr>
            <w:r>
              <w:t>218.30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80.00</w:t>
            </w:r>
          </w:p>
        </w:tc>
        <w:tc>
          <w:tcPr>
            <w:tcW w:w="2551" w:type="dxa"/>
            <w:vAlign w:val="center"/>
          </w:tcPr>
          <w:p>
            <w:pPr>
              <w:pStyle w:val="15"/>
            </w:pPr>
            <w:r>
              <w:t>80.00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165.00</w:t>
            </w:r>
          </w:p>
        </w:tc>
        <w:tc>
          <w:tcPr>
            <w:tcW w:w="2551" w:type="dxa"/>
            <w:vAlign w:val="center"/>
          </w:tcPr>
          <w:p>
            <w:pPr>
              <w:pStyle w:val="15"/>
            </w:pPr>
            <w:r>
              <w:t>165.00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65.00</w:t>
            </w:r>
          </w:p>
        </w:tc>
        <w:tc>
          <w:tcPr>
            <w:tcW w:w="2551" w:type="dxa"/>
            <w:vAlign w:val="center"/>
          </w:tcPr>
          <w:p>
            <w:pPr>
              <w:pStyle w:val="15"/>
            </w:pPr>
            <w:r>
              <w:t>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9.00</w:t>
            </w:r>
          </w:p>
        </w:tc>
        <w:tc>
          <w:tcPr>
            <w:tcW w:w="2551" w:type="dxa"/>
            <w:vAlign w:val="center"/>
          </w:tcPr>
          <w:p>
            <w:pPr>
              <w:pStyle w:val="15"/>
            </w:pPr>
            <w:r>
              <w:t>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2582.00</w:t>
            </w:r>
          </w:p>
        </w:tc>
        <w:tc>
          <w:tcPr>
            <w:tcW w:w="2551" w:type="dxa"/>
            <w:vAlign w:val="center"/>
          </w:tcPr>
          <w:p>
            <w:pPr>
              <w:pStyle w:val="15"/>
            </w:pPr>
          </w:p>
        </w:tc>
        <w:tc>
          <w:tcPr>
            <w:tcW w:w="2551" w:type="dxa"/>
            <w:vAlign w:val="center"/>
          </w:tcPr>
          <w:p>
            <w:pPr>
              <w:pStyle w:val="15"/>
            </w:pPr>
            <w:r>
              <w:t>2582.00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2500.00</w:t>
            </w:r>
          </w:p>
        </w:tc>
        <w:tc>
          <w:tcPr>
            <w:tcW w:w="2551" w:type="dxa"/>
            <w:vAlign w:val="center"/>
          </w:tcPr>
          <w:p>
            <w:pPr>
              <w:pStyle w:val="15"/>
            </w:pPr>
          </w:p>
        </w:tc>
        <w:tc>
          <w:tcPr>
            <w:tcW w:w="2551" w:type="dxa"/>
            <w:vAlign w:val="center"/>
          </w:tcPr>
          <w:p>
            <w:pPr>
              <w:pStyle w:val="15"/>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22.00</w:t>
            </w:r>
          </w:p>
        </w:tc>
        <w:tc>
          <w:tcPr>
            <w:tcW w:w="2551" w:type="dxa"/>
            <w:vAlign w:val="center"/>
          </w:tcPr>
          <w:p>
            <w:pPr>
              <w:pStyle w:val="15"/>
            </w:pPr>
          </w:p>
        </w:tc>
        <w:tc>
          <w:tcPr>
            <w:tcW w:w="2551"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45.00</w:t>
            </w:r>
          </w:p>
        </w:tc>
        <w:tc>
          <w:tcPr>
            <w:tcW w:w="2551" w:type="dxa"/>
            <w:vAlign w:val="center"/>
          </w:tcPr>
          <w:p>
            <w:pPr>
              <w:pStyle w:val="15"/>
            </w:pPr>
          </w:p>
        </w:tc>
        <w:tc>
          <w:tcPr>
            <w:tcW w:w="2551"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32.60</w:t>
            </w:r>
          </w:p>
        </w:tc>
        <w:tc>
          <w:tcPr>
            <w:tcW w:w="2551" w:type="dxa"/>
            <w:vAlign w:val="center"/>
          </w:tcPr>
          <w:p>
            <w:pPr>
              <w:pStyle w:val="15"/>
            </w:pPr>
            <w:r>
              <w:t>32.60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32.60</w:t>
            </w:r>
          </w:p>
        </w:tc>
        <w:tc>
          <w:tcPr>
            <w:tcW w:w="2551" w:type="dxa"/>
            <w:vAlign w:val="center"/>
          </w:tcPr>
          <w:p>
            <w:pPr>
              <w:pStyle w:val="15"/>
            </w:pPr>
            <w:r>
              <w:t>32.60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930无极县无极镇人民政府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6.00</w:t>
            </w:r>
          </w:p>
        </w:tc>
        <w:tc>
          <w:tcPr>
            <w:tcW w:w="2381" w:type="dxa"/>
            <w:vAlign w:val="center"/>
          </w:tcPr>
          <w:p>
            <w:pPr>
              <w:pStyle w:val="19"/>
              <w:rPr>
                <w:rFonts w:hint="default" w:eastAsia="方正书宋_GBK"/>
                <w:lang w:val="en-US" w:eastAsia="zh-CN"/>
              </w:rPr>
            </w:pPr>
            <w:r>
              <w:rPr>
                <w:rFonts w:hint="eastAsia"/>
                <w:lang w:val="en-US" w:eastAsia="zh-CN"/>
              </w:rPr>
              <w:t>6.00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6.00</w:t>
            </w:r>
          </w:p>
        </w:tc>
        <w:tc>
          <w:tcPr>
            <w:tcW w:w="2381" w:type="dxa"/>
            <w:vAlign w:val="center"/>
          </w:tcPr>
          <w:p>
            <w:pPr>
              <w:pStyle w:val="15"/>
              <w:rPr>
                <w:rFonts w:hint="default" w:eastAsia="方正书宋_GBK"/>
                <w:lang w:val="en-US" w:eastAsia="zh-CN"/>
              </w:rPr>
            </w:pPr>
            <w:r>
              <w:rPr>
                <w:rFonts w:hint="eastAsia"/>
                <w:lang w:val="en-US" w:eastAsia="zh-CN"/>
              </w:rP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无极县无极镇人民政府2023年部门预算信息公开情况说明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无极县无极镇人民政府2023年部门预算信息公开情况说明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按照《预算法》、《地方预决算公开操作规程》和《关于进一步推进预算公开工作的实施意见》规定，现将无极县无极镇人民政府2023年部门预算公开如下：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根据《无极镇职能配置、内设机构和人员编制规定》， 无极镇的主要职责是：</w:t>
      </w:r>
    </w:p>
    <w:p>
      <w:pPr>
        <w:pStyle w:val="21"/>
      </w:pPr>
      <w:r>
        <w:t>乡镇党委、政府通过组织群众、宣传群众、教育群众、服务群众，切实贯彻落实党和国家在农村的各项方针、政策和法律法规，执行本级人民代表大会的决议和上级国家行政机关的决定和命令,围绕农业、农村、农民搞好服务。主要职能为:</w:t>
      </w:r>
    </w:p>
    <w:p>
      <w:pPr>
        <w:pStyle w:val="21"/>
      </w:pPr>
      <w:r>
        <w:t>1.促进经济发展</w:t>
      </w:r>
    </w:p>
    <w:p>
      <w:pPr>
        <w:pStyle w:val="21"/>
      </w:pPr>
      <w: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1"/>
      </w:pPr>
      <w:r>
        <w:t>2.加强社会管理</w:t>
      </w:r>
    </w:p>
    <w:p>
      <w:pPr>
        <w:pStyle w:val="21"/>
      </w:pPr>
      <w: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1"/>
      </w:pPr>
      <w:r>
        <w:t>3.提供公共服务</w:t>
      </w:r>
    </w:p>
    <w:p>
      <w:pPr>
        <w:pStyle w:val="21"/>
      </w:pPr>
      <w: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pStyle w:val="21"/>
      </w:pPr>
      <w:r>
        <w:t>4.维护农村稳定</w:t>
      </w:r>
    </w:p>
    <w:p>
      <w:pPr>
        <w:pStyle w:val="21"/>
      </w:pPr>
      <w:r>
        <w:t>主要包括:（1）做好社会治安综合</w:t>
      </w:r>
      <w:r>
        <w:rPr>
          <w:lang w:val="en-US"/>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无极县无极镇人民政府本级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部门预算的编制实行综合预算管理，即全部收入和支出都反映在预算中。无极县无极镇人民政府机关及所属事业单位的收支包含在部门预算中。</w:t>
      </w:r>
    </w:p>
    <w:p>
      <w:pPr>
        <w:pStyle w:val="22"/>
      </w:pPr>
      <w:r>
        <w:t>1、收入说明</w:t>
      </w:r>
    </w:p>
    <w:p>
      <w:pPr>
        <w:pStyle w:val="22"/>
      </w:pPr>
      <w:r>
        <w:t>反映本部门当年全部收入。2023年预算收入3928.9万元，其中：一般公共预算收入3928.9万元，基金预算收入0万元，财政专户核拨收入0万元，其他来源收入0万元。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年度部门预算中支出预算的总体情况。2023年部门支出预算为3928.9万元，其中基本支出3828.9万元，包括人员经费1246.9万元和日常公用经费2582万元；项目支出100万元</w:t>
      </w:r>
      <w:r>
        <w:rPr>
          <w:rFonts w:hint="eastAsia"/>
          <w:lang w:eastAsia="zh-CN"/>
        </w:rPr>
        <w:t>，</w:t>
      </w:r>
      <w:r>
        <w:rPr>
          <w:rFonts w:hint="eastAsia"/>
          <w:lang w:val="en-US" w:eastAsia="zh-CN"/>
        </w:rPr>
        <w:t>为无极县西合流村硬化及提升整治工程100万元</w:t>
      </w:r>
      <w:r>
        <w:t>。</w:t>
      </w:r>
    </w:p>
    <w:p>
      <w:pPr>
        <w:pStyle w:val="22"/>
      </w:pPr>
      <w:r>
        <w:t>3、比上年增减情况</w:t>
      </w:r>
    </w:p>
    <w:p>
      <w:pPr>
        <w:pStyle w:val="22"/>
      </w:pPr>
      <w:r>
        <w:t>2023年部门预算收支安排3928.9万元，较2021年增加849.7万元，其中：基本支出增加749.7万元，主要是人员增加绩效工资、工资改革及人员变动；项目支出增加100万元，主要是预算项目增加。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2023年，我部门机关运行经费共计安排2582万元，主要用于保证机关正常运转的办公费及印刷费、邮电费、差旅费、水电费、取暖费、公务车运行维护费等支出。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2023年，我部门财政拨款“三公”经费预算安排6万元，</w:t>
      </w:r>
      <w:r>
        <w:rPr>
          <w:rFonts w:hint="eastAsia"/>
          <w:lang w:val="en-US" w:eastAsia="zh-CN"/>
        </w:rPr>
        <w:t>与上年持平。</w:t>
      </w:r>
      <w:r>
        <w:t>其中：因公出国（境）费0万元；公务用车购置及运维费6万元（其中：公务用车购置费0万元，公务用车运行维护费6万元)；公务接待费0万元。</w:t>
      </w:r>
      <w:r>
        <w:rPr>
          <w:rFonts w:hint="eastAsia"/>
          <w:lang w:val="en-US" w:eastAsia="zh-CN"/>
        </w:rPr>
        <w:t>原因为严格按照公务用车相关制度执行，厉行节俭</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深挖工业潜力。继续扩大主导产业增长优势，继续巩固完善日本世联汽车内饰产业园等一大批重点项目的基础设施建设，进一步增强产业集聚力和承载力，打造产业集聚发展平台。建好重大项目。继续坚持以项目带动结构调整，提升产业层次。狠抓招商引资。主动出击，定位招商，加强对接，立足现有企业全力推进招商引资工作。</w:t>
      </w:r>
    </w:p>
    <w:p>
      <w:pPr>
        <w:pStyle w:val="25"/>
      </w:pPr>
      <w:r>
        <w:t>狠抓城乡建设。以创建美丽乡村为目标，大力开展农村面貌提升工作力度，因村制宜、一村一品，建设美丽乡村。大力保障民生。全面落实低保、困难家庭帮扶政策，全面落实会新型养老保险政策，全面扩大缴存比例，进一步加大老、弱、病、残、灾等困难群体关爱救济力度。确保安全稳定。推进矛盾纠纷、治安问题、重点人员、安全隐患“四项排查整治”工作常态化、制度化，力争做到“小事不出村、大事不出镇、矛盾不上交”。同时严格落实“党政同责、一岗双责”安全生产责任制，坚决杜绝重特大事故发生。另外，镇党委将继续支持工会、妇联、共青团等群团工作，统筹做好民政、卫生、司法、武装、宣传等各项工作，促进社会事业共同进步。</w:t>
      </w:r>
    </w:p>
    <w:p>
      <w:pPr>
        <w:pStyle w:val="25"/>
      </w:pPr>
      <w:r>
        <w:t>坚决将全面从严治党各项要求落到细处实处。一是强化思想建设。扎实推进基层学习型党组织建设，用党的最新理论成果武装党员干部头脑，把维护党的政治纪律规矩挺起来、严起来。二是强化组织建设。巩固拓展</w:t>
      </w:r>
      <w:r>
        <w:rPr>
          <w:rFonts w:hint="eastAsia"/>
          <w:lang w:eastAsia="zh-CN"/>
        </w:rPr>
        <w:t>“两学一做”学习教育</w:t>
      </w:r>
      <w:r>
        <w:t>，全面实现党建工作制度化、规范化、科学化；继续深化薄弱村级班子整顿升级，选优、选强切实配备好村级班子建设。三是强化廉政建设。坚持全面从严治党，严格落实党风廉政建设责任，不断加大对农村“三资”管理监管力度，切实反对“四风”问题，认真解决群众反映强烈的突出问题，着力营造风清气正的干事氛围，全力打造一支高效廉洁的党员干部队伍。</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1.</w:t>
      </w:r>
      <w:r>
        <w:t>开展党风党纪教育，加强党内监督。</w:t>
      </w:r>
    </w:p>
    <w:p>
      <w:pPr>
        <w:pStyle w:val="26"/>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6"/>
      </w:pPr>
      <w:r>
        <w:t>绩效指标：廉政教育与党内监督工作完成率95%以上。</w:t>
      </w:r>
    </w:p>
    <w:p>
      <w:pPr>
        <w:pStyle w:val="26"/>
      </w:pPr>
      <w:r>
        <w:rPr>
          <w:rFonts w:hint="eastAsia"/>
          <w:lang w:val="en-US" w:eastAsia="zh-CN"/>
        </w:rPr>
        <w:t>2.</w:t>
      </w:r>
      <w:r>
        <w:t>协调机关综合事务和乡镇综合业务，强化社会管理和公共服务，完成上级交办的各项任务。</w:t>
      </w:r>
    </w:p>
    <w:p>
      <w:pPr>
        <w:pStyle w:val="26"/>
      </w:pPr>
      <w:r>
        <w:t>绩效目标：改善硬件、软件水平，加强队伍和教育建设，加快信息化建设，保障机关工作正常高效运转，确保各项业务工作谋划到位、顺利开展。</w:t>
      </w:r>
    </w:p>
    <w:p>
      <w:pPr>
        <w:pStyle w:val="26"/>
      </w:pPr>
      <w:r>
        <w:t>绩效指标：公共服务工作完成率90%以上。</w:t>
      </w:r>
    </w:p>
    <w:p>
      <w:pPr>
        <w:pStyle w:val="26"/>
      </w:pPr>
      <w:r>
        <w:rPr>
          <w:rFonts w:hint="eastAsia"/>
          <w:lang w:val="en-US" w:eastAsia="zh-CN"/>
        </w:rPr>
        <w:t>3.</w:t>
      </w:r>
      <w:r>
        <w:t>乡镇的信息化建设和维护，平稳推进信访工作和新闻宣传工作。</w:t>
      </w:r>
    </w:p>
    <w:p>
      <w:pPr>
        <w:pStyle w:val="26"/>
      </w:pPr>
      <w:r>
        <w:t>绩效目标：确保新闻宣传工作正常开展，信息系统运行正常，机关基础设施运转良好，信访工作平稳。机关文书档案印信管理和保密，机关人事、离退休人员服务、基建、后勤服务。</w:t>
      </w:r>
    </w:p>
    <w:p>
      <w:pPr>
        <w:pStyle w:val="26"/>
      </w:pPr>
      <w:r>
        <w:t>绩效指标：综合事务管理工作完成率90%以上。</w:t>
      </w:r>
    </w:p>
    <w:p>
      <w:pPr>
        <w:pStyle w:val="26"/>
      </w:pPr>
      <w:r>
        <w:rPr>
          <w:rFonts w:hint="eastAsia"/>
          <w:lang w:val="en-US" w:eastAsia="zh-CN"/>
        </w:rPr>
        <w:t>4.</w:t>
      </w:r>
      <w:r>
        <w:t>指导、协调和督导各村村委、村干部排查与化解影响社会稳定的重大不稳定隐患、群体性事件和突发事件。</w:t>
      </w:r>
    </w:p>
    <w:p>
      <w:pPr>
        <w:pStyle w:val="26"/>
      </w:pPr>
      <w:r>
        <w:t>绩效目标：预防和减少不稳定因素的发生，有效化解不稳定隐患、群体性事件和突发事件，维护乡镇的安全与稳定。</w:t>
      </w:r>
    </w:p>
    <w:p>
      <w:pPr>
        <w:pStyle w:val="26"/>
      </w:pPr>
      <w:r>
        <w:t>绩效指标：妥善处置突发事件（件）占发生突发事件（件）的比例90%以上。</w:t>
      </w:r>
    </w:p>
    <w:p>
      <w:pPr>
        <w:pStyle w:val="26"/>
      </w:pPr>
      <w:r>
        <w:rPr>
          <w:rFonts w:hint="eastAsia"/>
          <w:lang w:val="en-US" w:eastAsia="zh-CN"/>
        </w:rPr>
        <w:t>5.</w:t>
      </w:r>
      <w:r>
        <w:t>按照统筹城乡发展的要求，组织实施农村面貌改造提升行动，加快社会主义新农村建设。</w:t>
      </w:r>
    </w:p>
    <w:p>
      <w:pPr>
        <w:pStyle w:val="26"/>
      </w:pPr>
      <w:r>
        <w:t>绩效目标：通过实施农村面貌改造提升行动，加快农村基础设施建设，改善农村环境面貌，提升农民生产生活条件。</w:t>
      </w:r>
    </w:p>
    <w:p>
      <w:pPr>
        <w:pStyle w:val="26"/>
      </w:pPr>
      <w:r>
        <w:t>绩效指标：改造提升完成率90%以上。</w:t>
      </w:r>
    </w:p>
    <w:p>
      <w:pPr>
        <w:pStyle w:val="26"/>
      </w:pPr>
      <w:r>
        <w:rPr>
          <w:rFonts w:hint="eastAsia"/>
          <w:lang w:val="en-US" w:eastAsia="zh-CN"/>
        </w:rPr>
        <w:t>6.</w:t>
      </w:r>
      <w:r>
        <w:t>承担社会救助体系建设，负责全镇居民最低生活保障、五保供养、医疗救助。</w:t>
      </w:r>
    </w:p>
    <w:p>
      <w:pPr>
        <w:pStyle w:val="26"/>
      </w:pPr>
      <w:r>
        <w:t>绩效目标：完善城乡社会救助制度，实施分类救助，应保尽保,动态管理。负责符合条件的城乡居民最低生活保障工作,负责农村五保户的集中供养和分散供养工作。</w:t>
      </w:r>
    </w:p>
    <w:p>
      <w:pPr>
        <w:pStyle w:val="26"/>
      </w:pPr>
      <w:r>
        <w:t>绩效指标：社会救助覆盖率95%以上。</w:t>
      </w:r>
    </w:p>
    <w:p>
      <w:pPr>
        <w:pStyle w:val="26"/>
      </w:pPr>
      <w:r>
        <w:rPr>
          <w:rFonts w:hint="eastAsia"/>
          <w:lang w:val="en-US" w:eastAsia="zh-CN"/>
        </w:rPr>
        <w:t>7.</w:t>
      </w:r>
      <w:r>
        <w:t>负责制定污染防治管理制度并组织实施，会同有关部门监督管理饮用水水源地环境保护。</w:t>
      </w:r>
    </w:p>
    <w:p>
      <w:pPr>
        <w:pStyle w:val="26"/>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6"/>
      </w:pPr>
      <w:r>
        <w:t>绩效指标：污染治理覆盖率95%以上。</w:t>
      </w:r>
    </w:p>
    <w:p>
      <w:pPr>
        <w:pStyle w:val="26"/>
      </w:pPr>
      <w:r>
        <w:rPr>
          <w:rFonts w:hint="eastAsia"/>
          <w:lang w:val="en-US" w:eastAsia="zh-CN"/>
        </w:rPr>
        <w:t>8.</w:t>
      </w:r>
      <w:r>
        <w:t>强化生态保护和监察监管，提高自然保护区建设水平，加强生物多样性保护力度，提升农村生态环境质量</w:t>
      </w:r>
    </w:p>
    <w:p>
      <w:pPr>
        <w:pStyle w:val="26"/>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6"/>
      </w:pPr>
      <w:r>
        <w:t>绩效指标：上级城乡环境综合治理机关和群众满意度95%以上；聘请环境保洁人员业务培训1—2次；保障全镇整体环境随时随地环保、干净、整洁。</w:t>
      </w:r>
    </w:p>
    <w:p>
      <w:pPr>
        <w:pStyle w:val="26"/>
      </w:pPr>
      <w:r>
        <w:rPr>
          <w:rFonts w:hint="eastAsia"/>
          <w:lang w:val="en-US" w:eastAsia="zh-CN"/>
        </w:rPr>
        <w:t>9.</w:t>
      </w:r>
      <w:r>
        <w:t>按照可持续发展和建设生态农业的要求，保护农业资源，改善和保护农村环境。</w:t>
      </w:r>
    </w:p>
    <w:p>
      <w:pPr>
        <w:pStyle w:val="26"/>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6"/>
      </w:pPr>
      <w:r>
        <w:t>绩效指标：持续清理垃圾、治理污水、推进亮化工程，向社会主义新农村进一步迈进。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1.完善制度建设。制定完善预算绩效管理制度、资金管理办法、工作保障制度等，为全年预算绩效目标的实现奠定制度基础。</w:t>
      </w:r>
    </w:p>
    <w:p>
      <w:pPr>
        <w:pStyle w:val="27"/>
      </w:pPr>
      <w:r>
        <w:t>2.加强支出管理。优化支出结构、编细编实预算、加快履行政府采购手续、尽快启动项目、及时支付资金、按规定及时下达资金等多种措施，确保支出进度达标。</w:t>
      </w:r>
    </w:p>
    <w:p>
      <w:pPr>
        <w:pStyle w:val="27"/>
      </w:pPr>
      <w:r>
        <w:t>3.加强绩效运行监控。按要求开展绩效运行监控，发现问题及时采取措施，确保绩效目标如期保质实现。</w:t>
      </w:r>
    </w:p>
    <w:p>
      <w:pPr>
        <w:pStyle w:val="27"/>
      </w:pPr>
      <w:r>
        <w:t>4.做好绩效自评。按要求开展上年度部门预算绩效自评和重点评价工作，对评价中发现的问题及时整改，调整优化支出结构，提高财政资金使用效益。</w:t>
      </w:r>
    </w:p>
    <w:p>
      <w:pPr>
        <w:pStyle w:val="27"/>
      </w:pPr>
      <w:r>
        <w:t>5.规范财务资产管理。完善财务管理制度，严格审批程序，加强固定资产登记、使用和报废处置管理，做到支出合理，物尽其用。</w:t>
      </w:r>
    </w:p>
    <w:p>
      <w:pPr>
        <w:pStyle w:val="27"/>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7"/>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tabs>
          <w:tab w:val="left" w:pos="1000"/>
        </w:tabs>
        <w:bidi w:val="0"/>
        <w:ind w:firstLine="720" w:firstLineChars="30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无</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tabs>
          <w:tab w:val="left" w:pos="1200"/>
        </w:tabs>
        <w:bidi w:val="0"/>
        <w:jc w:val="left"/>
        <w:rPr>
          <w:rFonts w:hint="default"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p>
    <w:p>
      <w:pPr>
        <w:spacing w:before="0" w:after="0"/>
        <w:ind w:firstLine="560"/>
        <w:jc w:val="left"/>
        <w:outlineLvl w:val="9"/>
      </w:pPr>
      <w:r>
        <w:rPr>
          <w:rFonts w:ascii="方正仿宋_GBK" w:hAnsi="方正仿宋_GBK" w:eastAsia="方正仿宋_GBK" w:cs="方正仿宋_GBK"/>
          <w:b/>
          <w:color w:val="000000"/>
          <w:sz w:val="28"/>
        </w:rPr>
        <w:t>1、无极镇西合流村硬化及提升整治工程绩效目标表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1.保障农村环境提升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产出指标</w:t>
            </w:r>
          </w:p>
        </w:tc>
        <w:tc>
          <w:tcPr>
            <w:tcW w:w="2466" w:type="dxa"/>
            <w:vAlign w:val="center"/>
          </w:tcPr>
          <w:p>
            <w:r>
              <w:rPr>
                <w:rFonts w:hint="eastAsia"/>
              </w:rPr>
              <w:t>数量指标</w:t>
            </w:r>
          </w:p>
        </w:tc>
        <w:tc>
          <w:tcPr>
            <w:tcW w:w="2466" w:type="dxa"/>
            <w:vAlign w:val="center"/>
          </w:tcPr>
          <w:p>
            <w:r>
              <w:rPr>
                <w:rFonts w:hint="eastAsia"/>
              </w:rPr>
              <w:t>按时支付费用</w:t>
            </w:r>
          </w:p>
        </w:tc>
        <w:tc>
          <w:tcPr>
            <w:tcW w:w="2466" w:type="dxa"/>
            <w:vAlign w:val="center"/>
          </w:tcPr>
          <w:p>
            <w:r>
              <w:rPr>
                <w:rFonts w:hint="eastAsia"/>
              </w:rPr>
              <w:t>支付费用是否及时</w:t>
            </w:r>
          </w:p>
        </w:tc>
        <w:tc>
          <w:tcPr>
            <w:tcW w:w="2466" w:type="dxa"/>
            <w:vAlign w:val="center"/>
          </w:tcPr>
          <w:p>
            <w:r>
              <w:t>及时完成工作</w:t>
            </w:r>
          </w:p>
        </w:tc>
        <w:tc>
          <w:tcPr>
            <w:tcW w:w="2466" w:type="dxa"/>
            <w:vAlign w:val="center"/>
          </w:tcPr>
          <w:p>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产出指标</w:t>
            </w:r>
          </w:p>
        </w:tc>
        <w:tc>
          <w:tcPr>
            <w:tcW w:w="2466" w:type="dxa"/>
            <w:vAlign w:val="center"/>
          </w:tcPr>
          <w:p>
            <w:pPr>
              <w:pStyle w:val="16"/>
              <w:rPr>
                <w:rFonts w:ascii="方正书宋_GBK" w:hAnsi="方正书宋_GBK" w:eastAsia="方正书宋_GBK" w:cs="方正书宋_GBK"/>
                <w:sz w:val="21"/>
                <w:szCs w:val="24"/>
                <w:lang w:val="en-US" w:eastAsia="uk-UA" w:bidi="ar-SA"/>
              </w:rPr>
            </w:pPr>
            <w:r>
              <w:rPr>
                <w:rFonts w:hint="eastAsia"/>
              </w:rPr>
              <w:t>质量指标</w:t>
            </w:r>
          </w:p>
        </w:tc>
        <w:tc>
          <w:tcPr>
            <w:tcW w:w="2466" w:type="dxa"/>
            <w:vAlign w:val="center"/>
          </w:tcPr>
          <w:p>
            <w:r>
              <w:rPr>
                <w:rFonts w:hint="eastAsia"/>
              </w:rPr>
              <w:t>项目运行质量</w:t>
            </w:r>
          </w:p>
        </w:tc>
        <w:tc>
          <w:tcPr>
            <w:tcW w:w="2466" w:type="dxa"/>
            <w:vAlign w:val="center"/>
          </w:tcPr>
          <w:p>
            <w:r>
              <w:rPr>
                <w:rFonts w:hint="eastAsia"/>
              </w:rPr>
              <w:t>发放到位情况</w:t>
            </w:r>
          </w:p>
        </w:tc>
        <w:tc>
          <w:tcPr>
            <w:tcW w:w="2466" w:type="dxa"/>
            <w:vAlign w:val="center"/>
          </w:tcPr>
          <w:p>
            <w:pPr>
              <w:pStyle w:val="16"/>
            </w:pPr>
            <w:r>
              <w:t>及时完成工作</w:t>
            </w:r>
          </w:p>
        </w:tc>
        <w:tc>
          <w:tcPr>
            <w:tcW w:w="2466" w:type="dxa"/>
            <w:vAlign w:val="center"/>
          </w:tcPr>
          <w:p>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产出指标</w:t>
            </w:r>
          </w:p>
        </w:tc>
        <w:tc>
          <w:tcPr>
            <w:tcW w:w="2466" w:type="dxa"/>
            <w:vAlign w:val="center"/>
          </w:tcPr>
          <w:p>
            <w:r>
              <w:rPr>
                <w:rFonts w:hint="eastAsia"/>
              </w:rPr>
              <w:t>时效指标</w:t>
            </w:r>
          </w:p>
        </w:tc>
        <w:tc>
          <w:tcPr>
            <w:tcW w:w="2466" w:type="dxa"/>
            <w:vAlign w:val="center"/>
          </w:tcPr>
          <w:p>
            <w:r>
              <w:rPr>
                <w:rFonts w:hint="eastAsia"/>
              </w:rPr>
              <w:t>按时完成</w:t>
            </w:r>
          </w:p>
        </w:tc>
        <w:tc>
          <w:tcPr>
            <w:tcW w:w="2466" w:type="dxa"/>
            <w:vAlign w:val="center"/>
          </w:tcPr>
          <w:p>
            <w:r>
              <w:rPr>
                <w:rFonts w:hint="eastAsia"/>
              </w:rPr>
              <w:t>工作开展情况</w:t>
            </w:r>
          </w:p>
        </w:tc>
        <w:tc>
          <w:tcPr>
            <w:tcW w:w="2466" w:type="dxa"/>
            <w:vAlign w:val="center"/>
          </w:tcPr>
          <w:p>
            <w:pPr>
              <w:pStyle w:val="16"/>
            </w:pPr>
            <w:r>
              <w:t>及时完成工作</w:t>
            </w:r>
          </w:p>
        </w:tc>
        <w:tc>
          <w:tcPr>
            <w:tcW w:w="2466" w:type="dxa"/>
            <w:vAlign w:val="center"/>
          </w:tcPr>
          <w:p>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产出指标</w:t>
            </w:r>
          </w:p>
        </w:tc>
        <w:tc>
          <w:tcPr>
            <w:tcW w:w="2466" w:type="dxa"/>
            <w:vAlign w:val="center"/>
          </w:tcPr>
          <w:p>
            <w:r>
              <w:rPr>
                <w:rFonts w:hint="eastAsia"/>
              </w:rPr>
              <w:t>成本指标</w:t>
            </w:r>
          </w:p>
        </w:tc>
        <w:tc>
          <w:tcPr>
            <w:tcW w:w="2466" w:type="dxa"/>
            <w:vAlign w:val="center"/>
          </w:tcPr>
          <w:p>
            <w:r>
              <w:rPr>
                <w:rFonts w:hint="eastAsia"/>
              </w:rPr>
              <w:t>不超出项目预算数</w:t>
            </w:r>
          </w:p>
        </w:tc>
        <w:tc>
          <w:tcPr>
            <w:tcW w:w="2466" w:type="dxa"/>
            <w:vAlign w:val="center"/>
          </w:tcPr>
          <w:p>
            <w:r>
              <w:rPr>
                <w:rFonts w:hint="eastAsia"/>
              </w:rPr>
              <w:t>不超出项目预算数</w:t>
            </w:r>
          </w:p>
        </w:tc>
        <w:tc>
          <w:tcPr>
            <w:tcW w:w="2466" w:type="dxa"/>
            <w:vAlign w:val="center"/>
          </w:tcPr>
          <w:p>
            <w:pPr>
              <w:pStyle w:val="16"/>
            </w:pPr>
            <w:r>
              <w:t>及时完成工作</w:t>
            </w:r>
          </w:p>
        </w:tc>
        <w:tc>
          <w:tcPr>
            <w:tcW w:w="2466" w:type="dxa"/>
            <w:vAlign w:val="center"/>
          </w:tcPr>
          <w:p>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r>
              <w:rPr>
                <w:rFonts w:hint="eastAsia"/>
              </w:rPr>
              <w:t>经济效益指标</w:t>
            </w:r>
          </w:p>
        </w:tc>
        <w:tc>
          <w:tcPr>
            <w:tcW w:w="2466" w:type="dxa"/>
            <w:vAlign w:val="center"/>
          </w:tcPr>
          <w:p>
            <w:r>
              <w:rPr>
                <w:rFonts w:hint="eastAsia"/>
              </w:rPr>
              <w:t>保证需求</w:t>
            </w:r>
          </w:p>
        </w:tc>
        <w:tc>
          <w:tcPr>
            <w:tcW w:w="2466" w:type="dxa"/>
            <w:vAlign w:val="center"/>
          </w:tcPr>
          <w:p>
            <w:r>
              <w:rPr>
                <w:rFonts w:hint="eastAsia"/>
              </w:rPr>
              <w:t>满足正常需求</w:t>
            </w:r>
          </w:p>
        </w:tc>
        <w:tc>
          <w:tcPr>
            <w:tcW w:w="2466" w:type="dxa"/>
            <w:vAlign w:val="center"/>
          </w:tcPr>
          <w:p>
            <w:pPr>
              <w:pStyle w:val="16"/>
            </w:pPr>
            <w:r>
              <w:t>及时完成工作</w:t>
            </w:r>
          </w:p>
        </w:tc>
        <w:tc>
          <w:tcPr>
            <w:tcW w:w="2466" w:type="dxa"/>
            <w:vAlign w:val="center"/>
          </w:tcPr>
          <w:p>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r>
              <w:rPr>
                <w:rFonts w:hint="eastAsia"/>
              </w:rPr>
              <w:t>社会效益指标</w:t>
            </w:r>
          </w:p>
        </w:tc>
        <w:tc>
          <w:tcPr>
            <w:tcW w:w="2466" w:type="dxa"/>
            <w:vAlign w:val="center"/>
          </w:tcPr>
          <w:p>
            <w:r>
              <w:rPr>
                <w:rFonts w:hint="eastAsia"/>
              </w:rPr>
              <w:t>社会发展</w:t>
            </w:r>
          </w:p>
        </w:tc>
        <w:tc>
          <w:tcPr>
            <w:tcW w:w="2466" w:type="dxa"/>
            <w:vAlign w:val="center"/>
          </w:tcPr>
          <w:p>
            <w:r>
              <w:rPr>
                <w:rFonts w:hint="eastAsia"/>
              </w:rPr>
              <w:t>正常运行情况</w:t>
            </w:r>
          </w:p>
        </w:tc>
        <w:tc>
          <w:tcPr>
            <w:tcW w:w="2466" w:type="dxa"/>
            <w:vAlign w:val="center"/>
          </w:tcPr>
          <w:p>
            <w:pPr>
              <w:pStyle w:val="16"/>
            </w:pPr>
            <w:r>
              <w:t>及时完成工作</w:t>
            </w:r>
          </w:p>
        </w:tc>
        <w:tc>
          <w:tcPr>
            <w:tcW w:w="2466" w:type="dxa"/>
            <w:vAlign w:val="center"/>
          </w:tcPr>
          <w:p>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r>
              <w:rPr>
                <w:rFonts w:hint="eastAsia"/>
              </w:rPr>
              <w:t>生态效益指标</w:t>
            </w:r>
          </w:p>
        </w:tc>
        <w:tc>
          <w:tcPr>
            <w:tcW w:w="2466" w:type="dxa"/>
            <w:vAlign w:val="center"/>
          </w:tcPr>
          <w:p>
            <w:r>
              <w:rPr>
                <w:rFonts w:hint="eastAsia"/>
              </w:rPr>
              <w:t>保护环境质量</w:t>
            </w:r>
          </w:p>
        </w:tc>
        <w:tc>
          <w:tcPr>
            <w:tcW w:w="2466" w:type="dxa"/>
            <w:vAlign w:val="center"/>
          </w:tcPr>
          <w:p>
            <w:r>
              <w:rPr>
                <w:rFonts w:hint="eastAsia"/>
              </w:rPr>
              <w:t>保护环境程度</w:t>
            </w:r>
          </w:p>
        </w:tc>
        <w:tc>
          <w:tcPr>
            <w:tcW w:w="2466" w:type="dxa"/>
            <w:vAlign w:val="center"/>
          </w:tcPr>
          <w:p>
            <w:pPr>
              <w:pStyle w:val="16"/>
            </w:pPr>
            <w:r>
              <w:t>及时完成工作</w:t>
            </w:r>
          </w:p>
        </w:tc>
        <w:tc>
          <w:tcPr>
            <w:tcW w:w="2466" w:type="dxa"/>
            <w:vAlign w:val="center"/>
          </w:tcPr>
          <w:p>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效益指标</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hint="eastAsia"/>
              </w:rPr>
              <w:t>可持续影响指标</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hint="eastAsia"/>
              </w:rPr>
              <w:t>可持续发展</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hint="eastAsia"/>
              </w:rPr>
              <w:t>工作正常开展</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及时完成工作</w:t>
            </w:r>
          </w:p>
        </w:tc>
        <w:tc>
          <w:tcPr>
            <w:tcW w:w="2466" w:type="dxa"/>
            <w:vAlign w:val="center"/>
          </w:tcPr>
          <w:p>
            <w:pPr>
              <w:ind w:firstLine="0" w:firstLineChars="0"/>
              <w:rPr>
                <w:rFonts w:ascii="方正书宋_GBK" w:hAnsi="方正书宋_GBK" w:eastAsia="方正书宋_GBK" w:cs="方正书宋_GBK"/>
                <w:sz w:val="21"/>
                <w:szCs w:val="24"/>
                <w:lang w:val="en-US" w:eastAsia="uk-UA" w:bidi="ar-SA"/>
              </w:rPr>
            </w:pPr>
            <w:r>
              <w:rPr>
                <w:rFonts w:hint="eastAsia"/>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满意度指标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服务对象满意度指标</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服务满意度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服务满意度</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≥95%</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根据满意情况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2023年，无极县无极镇人民政府安排政府采购预算0.00万元。具体内容见下表。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930无极县无极镇人民政府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无极县无极镇人民政府（含所属单位）上年末固定资产金额为103.94万元（详见下表）。本年度拟购置固定资产总额为0.00万元。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930无极县无极镇人民政府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103.94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1952</w:t>
            </w:r>
          </w:p>
        </w:tc>
        <w:tc>
          <w:tcPr>
            <w:tcW w:w="2835" w:type="dxa"/>
            <w:vAlign w:val="center"/>
          </w:tcPr>
          <w:p>
            <w:pPr>
              <w:pStyle w:val="15"/>
            </w:pPr>
            <w:r>
              <w:t>97.89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1086</w:t>
            </w:r>
          </w:p>
        </w:tc>
        <w:tc>
          <w:tcPr>
            <w:tcW w:w="2835" w:type="dxa"/>
            <w:vAlign w:val="center"/>
          </w:tcPr>
          <w:p>
            <w:pPr>
              <w:pStyle w:val="15"/>
            </w:pPr>
            <w:r>
              <w:t>54.47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01508D"/>
    <w:rsid w:val="3E660458"/>
    <w:rsid w:val="43CD504E"/>
    <w:rsid w:val="4FEB183C"/>
    <w:rsid w:val="52A13F99"/>
    <w:rsid w:val="644E4888"/>
    <w:rsid w:val="65283331"/>
    <w:rsid w:val="67C06057"/>
    <w:rsid w:val="76F3283F"/>
    <w:rsid w:val="7DCF191D"/>
    <w:rsid w:val="7E8D4F9B"/>
    <w:rsid w:val="7EB76B9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2023-05-15T22:28:00Z</dcterms:created>
  <dc:creator>Administrator</dc:creator>
  <cp:lastModifiedBy>Administrator</cp:lastModifiedBy>
  <dcterms:modified xsi:type="dcterms:W3CDTF">2024-06-20T14:12:39Z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0C8CE582888C42349D8C4ECA30EE2FD9</vt:lpwstr>
  </property>
</Properties>
</file>