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hAnsi="宋体" w:cs="宋体"/>
          <w:b/>
          <w:bCs/>
          <w:sz w:val="44"/>
          <w:szCs w:val="44"/>
        </w:rPr>
      </w:pPr>
      <w:bookmarkStart w:id="1" w:name="_GoBack"/>
      <w:bookmarkEnd w:id="1"/>
    </w:p>
    <w:p>
      <w:pPr>
        <w:ind w:firstLine="4996" w:firstLineChars="1131"/>
        <w:rPr>
          <w:rFonts w:ascii="宋体" w:hAnsi="宋体" w:cs="宋体"/>
          <w:b/>
          <w:bCs/>
          <w:sz w:val="44"/>
          <w:szCs w:val="44"/>
        </w:rPr>
      </w:pPr>
    </w:p>
    <w:p>
      <w:pPr>
        <w:ind w:firstLine="4996" w:firstLineChars="1131"/>
        <w:rPr>
          <w:rFonts w:ascii="宋体" w:hAnsi="宋体" w:cs="宋体"/>
          <w:b/>
          <w:bCs/>
          <w:sz w:val="44"/>
          <w:szCs w:val="44"/>
        </w:rPr>
      </w:pPr>
    </w:p>
    <w:p>
      <w:pPr>
        <w:ind w:firstLine="4996" w:firstLineChars="1131"/>
        <w:rPr>
          <w:rFonts w:ascii="宋体" w:hAnsi="宋体" w:cs="宋体"/>
          <w:b/>
          <w:bCs/>
          <w:sz w:val="44"/>
          <w:szCs w:val="44"/>
        </w:rPr>
      </w:pPr>
      <w:r>
        <w:rPr>
          <w:rFonts w:hint="eastAsia" w:ascii="宋体" w:hAnsi="宋体" w:cs="宋体"/>
          <w:b/>
          <w:bCs/>
          <w:sz w:val="44"/>
          <w:szCs w:val="44"/>
        </w:rPr>
        <w:t>无极县城乡规划局</w:t>
      </w:r>
    </w:p>
    <w:p>
      <w:pPr>
        <w:jc w:val="center"/>
        <w:rPr>
          <w:rFonts w:ascii="宋体" w:hAnsi="宋体" w:cs="宋体"/>
          <w:b/>
          <w:bCs/>
          <w:sz w:val="44"/>
          <w:szCs w:val="44"/>
        </w:rPr>
      </w:pPr>
      <w:r>
        <w:rPr>
          <w:rFonts w:hint="eastAsia" w:ascii="宋体" w:hAnsi="宋体" w:cs="宋体"/>
          <w:b/>
          <w:bCs/>
          <w:sz w:val="44"/>
          <w:szCs w:val="44"/>
        </w:rPr>
        <w:t>2017年部门预算信息公开说明目录</w:t>
      </w:r>
    </w:p>
    <w:p/>
    <w:p/>
    <w:p>
      <w:pPr>
        <w:ind w:firstLine="640" w:firstLineChars="200"/>
        <w:rPr>
          <w:rFonts w:ascii="宋体" w:hAnsi="宋体" w:cs="仿宋_GB2312"/>
          <w:sz w:val="32"/>
          <w:szCs w:val="32"/>
        </w:rPr>
      </w:pPr>
      <w:r>
        <w:rPr>
          <w:rFonts w:hint="eastAsia" w:ascii="宋体" w:hAnsi="宋体" w:cs="仿宋_GB2312"/>
          <w:sz w:val="32"/>
          <w:szCs w:val="32"/>
        </w:rPr>
        <w:t>一、部门职责及机构设置情况</w:t>
      </w:r>
    </w:p>
    <w:p>
      <w:pPr>
        <w:ind w:firstLine="640" w:firstLineChars="200"/>
        <w:rPr>
          <w:rFonts w:ascii="宋体" w:hAnsi="宋体" w:cs="仿宋_GB2312"/>
          <w:sz w:val="32"/>
          <w:szCs w:val="32"/>
        </w:rPr>
      </w:pPr>
      <w:r>
        <w:rPr>
          <w:rFonts w:hint="eastAsia" w:ascii="宋体" w:hAnsi="宋体" w:cs="仿宋_GB2312"/>
          <w:sz w:val="32"/>
          <w:szCs w:val="32"/>
        </w:rPr>
        <w:t>二、部门预算安排的总体情况</w:t>
      </w:r>
    </w:p>
    <w:p>
      <w:pPr>
        <w:ind w:firstLine="640" w:firstLineChars="200"/>
        <w:rPr>
          <w:rFonts w:ascii="宋体" w:hAnsi="宋体" w:cs="仿宋_GB2312"/>
          <w:sz w:val="32"/>
          <w:szCs w:val="32"/>
        </w:rPr>
      </w:pPr>
      <w:r>
        <w:rPr>
          <w:rFonts w:hint="eastAsia" w:ascii="宋体" w:hAnsi="宋体" w:cs="仿宋_GB2312"/>
          <w:sz w:val="32"/>
          <w:szCs w:val="32"/>
        </w:rPr>
        <w:t>三、机关运行经费安排情况</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四、财政拨款“三公”经费预算情况及增减变化原因</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五、绩效预算信息</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六、政府采购预算情况</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七、国有资产信息</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八、名词解释</w:t>
      </w:r>
    </w:p>
    <w:p>
      <w:pPr>
        <w:autoSpaceDE w:val="0"/>
        <w:autoSpaceDN w:val="0"/>
        <w:adjustRightInd w:val="0"/>
        <w:ind w:firstLine="640" w:firstLineChars="200"/>
        <w:jc w:val="left"/>
        <w:rPr>
          <w:rFonts w:ascii="宋体" w:hAnsi="宋体"/>
          <w:sz w:val="32"/>
          <w:szCs w:val="32"/>
        </w:rPr>
      </w:pPr>
      <w:r>
        <w:rPr>
          <w:rFonts w:hint="eastAsia" w:ascii="宋体" w:hAnsi="宋体" w:cs="仿宋_GB2312"/>
          <w:sz w:val="32"/>
          <w:szCs w:val="32"/>
        </w:rPr>
        <w:t>九、其他需要说明的事项</w:t>
      </w:r>
    </w:p>
    <w:p/>
    <w:p>
      <w:pPr>
        <w:ind w:firstLine="640" w:firstLineChars="200"/>
        <w:rPr>
          <w:rFonts w:ascii="仿宋_GB2312" w:hAnsi="仿宋" w:eastAsia="仿宋_GB2312" w:cs="仿宋"/>
          <w:sz w:val="32"/>
          <w:szCs w:val="32"/>
        </w:rPr>
      </w:pPr>
      <w:r>
        <w:rPr>
          <w:rFonts w:hint="eastAsia" w:ascii="仿宋_GB2312" w:hAnsi="仿宋" w:eastAsia="仿宋_GB2312" w:cs="仿宋"/>
          <w:sz w:val="32"/>
          <w:szCs w:val="32"/>
        </w:rPr>
        <w:t>按照《预算法》、《地方预决算公开操作规程》和《河北省省级预算公开办法》规定，现将无极县城乡规划局2017年部门预算公开如下：</w:t>
      </w:r>
    </w:p>
    <w:p>
      <w:pPr>
        <w:ind w:left="800"/>
        <w:rPr>
          <w:rFonts w:ascii="黑体" w:hAnsi="黑体" w:eastAsia="黑体" w:cs="仿宋_GB2312"/>
          <w:sz w:val="32"/>
          <w:szCs w:val="32"/>
        </w:rPr>
      </w:pPr>
      <w:r>
        <w:rPr>
          <w:rFonts w:hint="eastAsia" w:ascii="黑体" w:hAnsi="黑体" w:eastAsia="黑体" w:cs="仿宋_GB2312"/>
          <w:sz w:val="32"/>
          <w:szCs w:val="32"/>
        </w:rPr>
        <w:t>一、部门职责及机构设置情况</w:t>
      </w:r>
    </w:p>
    <w:p>
      <w:pPr>
        <w:ind w:firstLine="645"/>
        <w:rPr>
          <w:rFonts w:ascii="楷体" w:hAnsi="楷体" w:eastAsia="楷体" w:cs="仿宋_GB2312"/>
          <w:sz w:val="32"/>
          <w:szCs w:val="32"/>
        </w:rPr>
      </w:pPr>
      <w:r>
        <w:rPr>
          <w:rFonts w:hint="eastAsia" w:ascii="楷体" w:hAnsi="楷体" w:eastAsia="楷体" w:cs="仿宋_GB2312"/>
          <w:sz w:val="32"/>
          <w:szCs w:val="32"/>
        </w:rPr>
        <w:t>（一）部门职责</w:t>
      </w:r>
    </w:p>
    <w:p>
      <w:pPr>
        <w:rPr>
          <w:rFonts w:ascii="仿宋_GB2312" w:hAnsi="仿宋" w:eastAsia="仿宋_GB2312" w:cs="仿宋"/>
          <w:color w:val="000000"/>
          <w:sz w:val="32"/>
          <w:szCs w:val="32"/>
        </w:rPr>
      </w:pPr>
      <w:r>
        <w:rPr>
          <w:rFonts w:hint="eastAsia" w:ascii="仿宋_GB2312" w:hAnsi="仿宋" w:eastAsia="仿宋_GB2312" w:cs="仿宋"/>
          <w:color w:val="000000"/>
          <w:sz w:val="32"/>
          <w:szCs w:val="32"/>
        </w:rPr>
        <w:t>贯彻落实城乡规划规划方面的法律、法规和方针、政策；组织编制城乡规划，依法实施监督管理。</w:t>
      </w:r>
    </w:p>
    <w:p>
      <w:pPr>
        <w:ind w:firstLine="640" w:firstLineChars="200"/>
        <w:rPr>
          <w:rFonts w:ascii="楷体" w:hAnsi="楷体" w:eastAsia="楷体" w:cs="仿宋_GB2312"/>
          <w:sz w:val="32"/>
          <w:szCs w:val="32"/>
        </w:rPr>
      </w:pPr>
      <w:r>
        <w:rPr>
          <w:rFonts w:hint="eastAsia" w:ascii="楷体" w:hAnsi="楷体" w:eastAsia="楷体" w:cs="仿宋_GB2312"/>
          <w:sz w:val="32"/>
          <w:szCs w:val="32"/>
        </w:rPr>
        <w:t>（二）机构设置</w:t>
      </w:r>
    </w:p>
    <w:p>
      <w:pPr>
        <w:ind w:firstLine="640" w:firstLineChars="200"/>
        <w:jc w:val="center"/>
        <w:rPr>
          <w:rFonts w:ascii="仿宋_GB2312" w:hAnsi="仿宋" w:eastAsia="仿宋_GB2312"/>
          <w:sz w:val="32"/>
          <w:szCs w:val="32"/>
        </w:rPr>
      </w:pPr>
      <w:r>
        <w:rPr>
          <w:rFonts w:hint="eastAsia" w:ascii="仿宋_GB2312" w:hAnsi="仿宋" w:eastAsia="仿宋_GB2312"/>
          <w:sz w:val="32"/>
          <w:szCs w:val="32"/>
        </w:rPr>
        <w:t>部门机构设置情况</w:t>
      </w:r>
    </w:p>
    <w:tbl>
      <w:tblPr>
        <w:tblStyle w:val="4"/>
        <w:tblW w:w="13466" w:type="dxa"/>
        <w:tblInd w:w="81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77"/>
        <w:gridCol w:w="2126"/>
        <w:gridCol w:w="2977"/>
        <w:gridCol w:w="53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trPr>
        <w:tc>
          <w:tcPr>
            <w:tcW w:w="2977" w:type="dxa"/>
            <w:vMerge w:val="restart"/>
            <w:vAlign w:val="center"/>
          </w:tcPr>
          <w:p>
            <w:pPr>
              <w:spacing w:line="300" w:lineRule="exact"/>
              <w:jc w:val="center"/>
              <w:rPr>
                <w:rFonts w:ascii="仿宋_GB2312" w:eastAsia="仿宋_GB2312"/>
                <w:sz w:val="24"/>
              </w:rPr>
            </w:pPr>
            <w:r>
              <w:rPr>
                <w:rFonts w:hint="eastAsia" w:ascii="仿宋_GB2312" w:eastAsia="仿宋_GB2312"/>
                <w:sz w:val="24"/>
              </w:rPr>
              <w:t>单位名称</w:t>
            </w:r>
          </w:p>
        </w:tc>
        <w:tc>
          <w:tcPr>
            <w:tcW w:w="2126" w:type="dxa"/>
            <w:vMerge w:val="restart"/>
            <w:vAlign w:val="center"/>
          </w:tcPr>
          <w:p>
            <w:pPr>
              <w:spacing w:line="300" w:lineRule="exact"/>
              <w:jc w:val="center"/>
              <w:rPr>
                <w:rFonts w:ascii="仿宋_GB2312" w:eastAsia="仿宋_GB2312"/>
                <w:sz w:val="24"/>
              </w:rPr>
            </w:pPr>
            <w:r>
              <w:rPr>
                <w:rFonts w:hint="eastAsia" w:ascii="仿宋_GB2312" w:eastAsia="仿宋_GB2312"/>
                <w:sz w:val="24"/>
              </w:rPr>
              <w:t>单位性质</w:t>
            </w:r>
          </w:p>
        </w:tc>
        <w:tc>
          <w:tcPr>
            <w:tcW w:w="2977" w:type="dxa"/>
            <w:vMerge w:val="restart"/>
            <w:vAlign w:val="center"/>
          </w:tcPr>
          <w:p>
            <w:pPr>
              <w:spacing w:line="300" w:lineRule="exact"/>
              <w:jc w:val="center"/>
              <w:rPr>
                <w:rFonts w:ascii="仿宋_GB2312" w:eastAsia="仿宋_GB2312"/>
                <w:sz w:val="24"/>
              </w:rPr>
            </w:pPr>
            <w:r>
              <w:rPr>
                <w:rFonts w:hint="eastAsia" w:ascii="仿宋_GB2312" w:eastAsia="仿宋_GB2312"/>
                <w:sz w:val="24"/>
              </w:rPr>
              <w:t>单位规格</w:t>
            </w:r>
          </w:p>
        </w:tc>
        <w:tc>
          <w:tcPr>
            <w:tcW w:w="5386" w:type="dxa"/>
            <w:vMerge w:val="restart"/>
            <w:vAlign w:val="center"/>
          </w:tcPr>
          <w:p>
            <w:pPr>
              <w:spacing w:line="300" w:lineRule="exact"/>
              <w:jc w:val="center"/>
              <w:rPr>
                <w:rFonts w:ascii="仿宋_GB2312" w:eastAsia="仿宋_GB2312"/>
                <w:sz w:val="24"/>
              </w:rPr>
            </w:pPr>
            <w:r>
              <w:rPr>
                <w:rFonts w:hint="eastAsia" w:ascii="仿宋_GB2312" w:eastAsia="仿宋_GB2312"/>
                <w:sz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trPr>
        <w:tc>
          <w:tcPr>
            <w:tcW w:w="2977" w:type="dxa"/>
            <w:vMerge w:val="continue"/>
            <w:vAlign w:val="center"/>
          </w:tcPr>
          <w:p>
            <w:pPr>
              <w:spacing w:line="300" w:lineRule="exact"/>
              <w:jc w:val="left"/>
              <w:outlineLvl w:val="0"/>
              <w:rPr>
                <w:rFonts w:ascii="仿宋_GB2312" w:eastAsia="仿宋_GB2312"/>
                <w:sz w:val="24"/>
              </w:rPr>
            </w:pPr>
          </w:p>
        </w:tc>
        <w:tc>
          <w:tcPr>
            <w:tcW w:w="2126" w:type="dxa"/>
            <w:vMerge w:val="continue"/>
            <w:vAlign w:val="center"/>
          </w:tcPr>
          <w:p>
            <w:pPr>
              <w:spacing w:line="300" w:lineRule="exact"/>
              <w:jc w:val="left"/>
              <w:outlineLvl w:val="0"/>
              <w:rPr>
                <w:rFonts w:ascii="仿宋_GB2312" w:eastAsia="仿宋_GB2312"/>
                <w:sz w:val="24"/>
              </w:rPr>
            </w:pPr>
          </w:p>
        </w:tc>
        <w:tc>
          <w:tcPr>
            <w:tcW w:w="2977" w:type="dxa"/>
            <w:vMerge w:val="continue"/>
            <w:vAlign w:val="center"/>
          </w:tcPr>
          <w:p>
            <w:pPr>
              <w:spacing w:line="300" w:lineRule="exact"/>
              <w:jc w:val="left"/>
              <w:outlineLvl w:val="0"/>
              <w:rPr>
                <w:rFonts w:ascii="仿宋_GB2312" w:eastAsia="仿宋_GB2312"/>
                <w:sz w:val="24"/>
              </w:rPr>
            </w:pPr>
          </w:p>
        </w:tc>
        <w:tc>
          <w:tcPr>
            <w:tcW w:w="5386" w:type="dxa"/>
            <w:vMerge w:val="continue"/>
            <w:vAlign w:val="center"/>
          </w:tcPr>
          <w:p>
            <w:pPr>
              <w:spacing w:line="300" w:lineRule="exact"/>
              <w:jc w:val="left"/>
              <w:outlineLvl w:val="0"/>
              <w:rPr>
                <w:rFonts w:ascii="仿宋_GB2312" w:eastAsia="仿宋_GB2312"/>
                <w:sz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03" w:hRule="atLeast"/>
        </w:trPr>
        <w:tc>
          <w:tcPr>
            <w:tcW w:w="2977" w:type="dxa"/>
            <w:vAlign w:val="center"/>
          </w:tcPr>
          <w:p>
            <w:pPr>
              <w:spacing w:line="300" w:lineRule="exact"/>
              <w:ind w:firstLine="360" w:firstLineChars="150"/>
              <w:jc w:val="left"/>
              <w:rPr>
                <w:rFonts w:ascii="仿宋_GB2312" w:eastAsia="仿宋_GB2312"/>
                <w:sz w:val="24"/>
              </w:rPr>
            </w:pPr>
            <w:r>
              <w:rPr>
                <w:rFonts w:hint="eastAsia" w:ascii="仿宋_GB2312" w:eastAsia="仿宋_GB2312"/>
                <w:sz w:val="24"/>
              </w:rPr>
              <w:t>无极县城乡规划局</w:t>
            </w:r>
          </w:p>
        </w:tc>
        <w:tc>
          <w:tcPr>
            <w:tcW w:w="2126" w:type="dxa"/>
            <w:vAlign w:val="center"/>
          </w:tcPr>
          <w:p>
            <w:pPr>
              <w:spacing w:line="300" w:lineRule="exact"/>
              <w:jc w:val="center"/>
              <w:rPr>
                <w:rFonts w:ascii="仿宋_GB2312" w:eastAsia="仿宋_GB2312"/>
                <w:sz w:val="24"/>
              </w:rPr>
            </w:pPr>
            <w:r>
              <w:rPr>
                <w:rFonts w:hint="eastAsia" w:ascii="仿宋_GB2312" w:eastAsia="仿宋_GB2312"/>
                <w:sz w:val="24"/>
              </w:rPr>
              <w:t>行政</w:t>
            </w:r>
          </w:p>
        </w:tc>
        <w:tc>
          <w:tcPr>
            <w:tcW w:w="2977" w:type="dxa"/>
            <w:vAlign w:val="center"/>
          </w:tcPr>
          <w:p>
            <w:pPr>
              <w:spacing w:line="300" w:lineRule="exact"/>
              <w:jc w:val="center"/>
              <w:rPr>
                <w:rFonts w:ascii="仿宋_GB2312" w:eastAsia="仿宋_GB2312"/>
                <w:sz w:val="24"/>
              </w:rPr>
            </w:pPr>
            <w:r>
              <w:rPr>
                <w:rFonts w:hint="eastAsia" w:ascii="仿宋_GB2312" w:eastAsia="仿宋_GB2312"/>
                <w:sz w:val="24"/>
              </w:rPr>
              <w:t>正科级</w:t>
            </w:r>
          </w:p>
        </w:tc>
        <w:tc>
          <w:tcPr>
            <w:tcW w:w="5386" w:type="dxa"/>
            <w:vAlign w:val="center"/>
          </w:tcPr>
          <w:p>
            <w:pPr>
              <w:spacing w:line="300" w:lineRule="exact"/>
              <w:jc w:val="center"/>
              <w:rPr>
                <w:rFonts w:ascii="仿宋_GB2312" w:eastAsia="仿宋_GB2312"/>
                <w:sz w:val="24"/>
              </w:rPr>
            </w:pPr>
            <w:r>
              <w:rPr>
                <w:rFonts w:hint="eastAsia" w:ascii="仿宋_GB2312" w:eastAsia="仿宋_GB2312"/>
                <w:sz w:val="24"/>
              </w:rPr>
              <w:t>财政拨款</w:t>
            </w:r>
          </w:p>
        </w:tc>
      </w:tr>
    </w:tbl>
    <w:p>
      <w:pPr>
        <w:rPr>
          <w:rFonts w:ascii="楷体" w:hAnsi="楷体" w:eastAsia="楷体" w:cs="仿宋_GB2312"/>
          <w:sz w:val="32"/>
          <w:szCs w:val="32"/>
        </w:rPr>
      </w:pPr>
    </w:p>
    <w:p>
      <w:pPr>
        <w:ind w:firstLine="643" w:firstLineChars="200"/>
        <w:rPr>
          <w:rFonts w:cs="仿宋_GB2312" w:asciiTheme="majorEastAsia" w:hAnsiTheme="majorEastAsia" w:eastAsiaTheme="majorEastAsia"/>
          <w:b/>
          <w:sz w:val="32"/>
          <w:szCs w:val="32"/>
        </w:rPr>
      </w:pPr>
      <w:r>
        <w:rPr>
          <w:rFonts w:hint="eastAsia" w:cs="仿宋_GB2312" w:asciiTheme="majorEastAsia" w:hAnsiTheme="majorEastAsia" w:eastAsiaTheme="majorEastAsia"/>
          <w:b/>
          <w:sz w:val="32"/>
          <w:szCs w:val="32"/>
        </w:rPr>
        <w:t>二、部门预算安排的总体情况</w:t>
      </w:r>
    </w:p>
    <w:p>
      <w:pPr>
        <w:ind w:firstLine="640" w:firstLineChars="200"/>
        <w:rPr>
          <w:rFonts w:ascii="仿宋_GB2312" w:hAnsi="仿宋_GB2312" w:eastAsia="仿宋_GB2312" w:cs="仿宋_GB2312"/>
          <w:sz w:val="30"/>
          <w:szCs w:val="30"/>
        </w:rPr>
      </w:pPr>
      <w:r>
        <w:rPr>
          <w:rFonts w:hint="eastAsia" w:ascii="仿宋_GB2312" w:hAnsi="仿宋" w:eastAsia="仿宋_GB2312" w:cs="仿宋_GB2312"/>
          <w:sz w:val="32"/>
          <w:szCs w:val="32"/>
        </w:rPr>
        <w:t>按照预算管理有关规定，目前我县部门预算的编制实行综合预算制度，即全部收入和支出都反映在预算里，我部门及所属单位所有收支都包含在部门预算中</w:t>
      </w:r>
      <w:r>
        <w:rPr>
          <w:rFonts w:hint="eastAsia" w:ascii="仿宋_GB2312" w:hAnsi="仿宋_GB2312" w:eastAsia="仿宋_GB2312" w:cs="仿宋_GB2312"/>
          <w:sz w:val="30"/>
          <w:szCs w:val="30"/>
        </w:rPr>
        <w:t>。</w:t>
      </w:r>
    </w:p>
    <w:p>
      <w:pPr>
        <w:ind w:firstLine="600" w:firstLineChars="200"/>
        <w:rPr>
          <w:rFonts w:ascii="仿宋_GB2312" w:eastAsia="仿宋_GB2312"/>
          <w:sz w:val="32"/>
          <w:szCs w:val="32"/>
        </w:rPr>
      </w:pPr>
      <w:r>
        <w:rPr>
          <w:rFonts w:hint="eastAsia" w:ascii="楷体" w:hAnsi="楷体" w:eastAsia="楷体" w:cs="仿宋_GB2312"/>
          <w:sz w:val="30"/>
          <w:szCs w:val="30"/>
        </w:rPr>
        <w:t>（一）收入说明</w:t>
      </w:r>
    </w:p>
    <w:p>
      <w:pPr>
        <w:ind w:firstLine="640" w:firstLineChars="200"/>
        <w:rPr>
          <w:rFonts w:ascii="仿宋_GB2312" w:eastAsia="仿宋_GB2312"/>
          <w:sz w:val="32"/>
          <w:szCs w:val="32"/>
        </w:rPr>
      </w:pPr>
      <w:r>
        <w:rPr>
          <w:rFonts w:hint="eastAsia" w:ascii="仿宋_GB2312" w:hAnsi="仿宋_GB2312" w:eastAsia="仿宋_GB2312" w:cs="仿宋_GB2312"/>
          <w:sz w:val="32"/>
          <w:szCs w:val="32"/>
        </w:rPr>
        <w:t>反映本部门当年全部收入，2017年预算收入</w:t>
      </w:r>
      <w:r>
        <w:rPr>
          <w:rFonts w:hint="eastAsia" w:ascii="仿宋_GB2312" w:eastAsia="仿宋_GB2312"/>
          <w:sz w:val="32"/>
          <w:szCs w:val="32"/>
        </w:rPr>
        <w:t>1027.49</w:t>
      </w:r>
      <w:r>
        <w:rPr>
          <w:rFonts w:hint="eastAsia" w:ascii="仿宋_GB2312" w:hAnsi="仿宋_GB2312" w:eastAsia="仿宋_GB2312" w:cs="仿宋_GB2312"/>
          <w:sz w:val="32"/>
          <w:szCs w:val="32"/>
        </w:rPr>
        <w:t>万元，其中：非限额补助</w:t>
      </w:r>
      <w:r>
        <w:rPr>
          <w:rFonts w:hint="eastAsia" w:ascii="仿宋_GB2312" w:eastAsia="仿宋_GB2312"/>
          <w:sz w:val="32"/>
          <w:szCs w:val="32"/>
        </w:rPr>
        <w:t>910.65</w:t>
      </w:r>
      <w:r>
        <w:rPr>
          <w:rFonts w:hint="eastAsia" w:ascii="仿宋_GB2312" w:hAnsi="仿宋_GB2312" w:eastAsia="仿宋_GB2312" w:cs="仿宋_GB2312"/>
          <w:sz w:val="32"/>
          <w:szCs w:val="32"/>
        </w:rPr>
        <w:t>万元 ，其他收入116.84万元。</w:t>
      </w:r>
    </w:p>
    <w:p>
      <w:pPr>
        <w:ind w:firstLine="640" w:firstLineChars="200"/>
        <w:rPr>
          <w:rFonts w:ascii="楷体" w:hAnsi="楷体" w:eastAsia="楷体"/>
          <w:sz w:val="32"/>
          <w:szCs w:val="32"/>
        </w:rPr>
      </w:pPr>
      <w:r>
        <w:rPr>
          <w:rFonts w:hint="eastAsia" w:ascii="楷体" w:hAnsi="楷体" w:eastAsia="楷体"/>
          <w:sz w:val="32"/>
          <w:szCs w:val="32"/>
        </w:rPr>
        <w:t>（二）支出说明</w:t>
      </w:r>
    </w:p>
    <w:p>
      <w:pPr>
        <w:ind w:firstLine="800" w:firstLineChars="250"/>
        <w:rPr>
          <w:rFonts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无极县城乡规划局年度部门预算中支出预算的总体情况。2017年部门支出预算为1027.49万元，其中基本支出227.49万元，包括人员经费183.59万元和日常公用经费43.9元；项目支出800万元，全部为本级支出。</w:t>
      </w:r>
    </w:p>
    <w:p>
      <w:pPr>
        <w:ind w:firstLine="640" w:firstLineChars="200"/>
        <w:rPr>
          <w:rFonts w:ascii="楷体" w:hAnsi="楷体" w:eastAsia="楷体"/>
          <w:sz w:val="32"/>
          <w:szCs w:val="32"/>
        </w:rPr>
      </w:pPr>
      <w:r>
        <w:rPr>
          <w:rFonts w:hint="eastAsia" w:ascii="楷体" w:hAnsi="楷体" w:eastAsia="楷体"/>
          <w:sz w:val="32"/>
          <w:szCs w:val="32"/>
        </w:rPr>
        <w:t>（三）比上年增减情况</w:t>
      </w:r>
    </w:p>
    <w:p>
      <w:pPr>
        <w:ind w:firstLine="800" w:firstLineChars="250"/>
        <w:rPr>
          <w:rFonts w:ascii="楷体" w:hAnsi="楷体" w:eastAsia="楷体"/>
          <w:sz w:val="32"/>
          <w:szCs w:val="32"/>
        </w:rPr>
      </w:pPr>
      <w:r>
        <w:rPr>
          <w:rFonts w:hint="eastAsia" w:ascii="仿宋_GB2312" w:hAnsi="仿宋_GB2312" w:eastAsia="仿宋_GB2312" w:cs="仿宋_GB2312"/>
          <w:sz w:val="32"/>
          <w:szCs w:val="32"/>
        </w:rPr>
        <w:t>规划局为新成立部门，无上年同期数据。</w:t>
      </w:r>
    </w:p>
    <w:p>
      <w:pPr>
        <w:ind w:firstLine="640" w:firstLineChars="200"/>
        <w:rPr>
          <w:rFonts w:ascii="黑体" w:hAnsi="黑体" w:eastAsia="黑体" w:cs="仿宋_GB2312"/>
          <w:sz w:val="32"/>
          <w:szCs w:val="32"/>
        </w:rPr>
      </w:pPr>
      <w:r>
        <w:rPr>
          <w:rFonts w:hint="eastAsia" w:ascii="黑体" w:hAnsi="黑体" w:eastAsia="黑体" w:cs="仿宋_GB2312"/>
          <w:sz w:val="32"/>
          <w:szCs w:val="32"/>
        </w:rPr>
        <w:t>三、机关运行经费安排情况</w:t>
      </w:r>
    </w:p>
    <w:p>
      <w:pPr>
        <w:ind w:firstLine="640" w:firstLineChars="200"/>
        <w:rPr>
          <w:rFonts w:ascii="仿宋" w:hAnsi="仿宋" w:eastAsia="仿宋" w:cs="仿宋"/>
          <w:color w:val="FF0000"/>
          <w:sz w:val="32"/>
          <w:szCs w:val="32"/>
        </w:rPr>
      </w:pPr>
      <w:r>
        <w:rPr>
          <w:rFonts w:hint="eastAsia" w:ascii="仿宋_GB2312" w:hAnsi="仿宋_GB2312" w:eastAsia="仿宋_GB2312" w:cs="仿宋_GB2312"/>
          <w:sz w:val="32"/>
          <w:szCs w:val="32"/>
        </w:rPr>
        <w:t>2017年机关运行经费共计安排43.9 万元，主要用于我部门日常办公9万元，办公区水电费2.6万元、日常维修3万元，办公用房取暖费4.4万元，办公用房物业管理费等日常运行支出。</w:t>
      </w:r>
    </w:p>
    <w:p>
      <w:pPr>
        <w:ind w:firstLine="640" w:firstLineChars="200"/>
        <w:outlineLvl w:val="0"/>
        <w:rPr>
          <w:rFonts w:ascii="黑体" w:hAnsi="黑体" w:eastAsia="黑体" w:cs="仿宋_GB2312"/>
          <w:sz w:val="32"/>
          <w:szCs w:val="32"/>
        </w:rPr>
      </w:pPr>
      <w:r>
        <w:rPr>
          <w:rFonts w:hint="eastAsia" w:ascii="黑体" w:hAnsi="黑体" w:eastAsia="黑体" w:cs="仿宋_GB2312"/>
          <w:sz w:val="32"/>
          <w:szCs w:val="32"/>
        </w:rPr>
        <w:t>四、财政拨款“三公”经费预算情况及增减变化原因</w:t>
      </w:r>
    </w:p>
    <w:p>
      <w:pPr>
        <w:ind w:firstLine="640" w:firstLineChars="200"/>
        <w:outlineLvl w:val="0"/>
        <w:rPr>
          <w:rFonts w:ascii="仿宋_GB2312" w:hAnsi="仿宋" w:eastAsia="仿宋_GB2312"/>
          <w:sz w:val="32"/>
          <w:szCs w:val="32"/>
        </w:rPr>
      </w:pPr>
      <w:r>
        <w:rPr>
          <w:rFonts w:hint="eastAsia" w:ascii="仿宋_GB2312" w:hAnsi="仿宋" w:eastAsia="仿宋_GB2312"/>
          <w:sz w:val="32"/>
          <w:szCs w:val="32"/>
        </w:rPr>
        <w:t>2017年本部门安排“三公”经费 3万元。为新成立单位，无增减变化。其中：</w:t>
      </w:r>
    </w:p>
    <w:p>
      <w:pPr>
        <w:ind w:firstLine="640" w:firstLineChars="200"/>
        <w:outlineLvl w:val="0"/>
        <w:rPr>
          <w:rFonts w:ascii="仿宋_GB2312" w:hAnsi="仿宋" w:eastAsia="仿宋_GB2312"/>
          <w:sz w:val="32"/>
          <w:szCs w:val="32"/>
        </w:rPr>
      </w:pPr>
      <w:r>
        <w:rPr>
          <w:rFonts w:hint="eastAsia" w:ascii="仿宋_GB2312" w:hAnsi="仿宋" w:eastAsia="仿宋_GB2312"/>
          <w:sz w:val="32"/>
          <w:szCs w:val="32"/>
        </w:rPr>
        <w:t>1、因公出国（境）费0万元。</w:t>
      </w:r>
    </w:p>
    <w:p>
      <w:pPr>
        <w:ind w:firstLine="640" w:firstLineChars="200"/>
        <w:outlineLvl w:val="0"/>
        <w:rPr>
          <w:rFonts w:ascii="仿宋_GB2312" w:hAnsi="仿宋" w:eastAsia="仿宋_GB2312"/>
          <w:sz w:val="32"/>
          <w:szCs w:val="32"/>
        </w:rPr>
      </w:pPr>
      <w:r>
        <w:rPr>
          <w:rFonts w:hint="eastAsia" w:ascii="仿宋_GB2312" w:hAnsi="仿宋" w:eastAsia="仿宋_GB2312"/>
          <w:sz w:val="32"/>
          <w:szCs w:val="32"/>
        </w:rPr>
        <w:t>2、公务用车购置0万元，运行维护费3万元。</w:t>
      </w:r>
    </w:p>
    <w:p>
      <w:pPr>
        <w:ind w:firstLine="640" w:firstLineChars="200"/>
        <w:outlineLvl w:val="0"/>
        <w:rPr>
          <w:rFonts w:ascii="仿宋_GB2312" w:hAnsi="仿宋" w:eastAsia="仿宋_GB2312"/>
          <w:sz w:val="32"/>
          <w:szCs w:val="32"/>
        </w:rPr>
      </w:pPr>
      <w:r>
        <w:rPr>
          <w:rFonts w:hint="eastAsia" w:ascii="仿宋_GB2312" w:hAnsi="仿宋" w:eastAsia="仿宋_GB2312"/>
          <w:sz w:val="32"/>
          <w:szCs w:val="32"/>
        </w:rPr>
        <w:t>3、公务接待费0万元。</w:t>
      </w:r>
      <w:r>
        <w:rPr>
          <w:rFonts w:hint="eastAsia" w:ascii="黑体" w:hAnsi="黑体" w:eastAsia="黑体" w:cs="仿宋_GB2312"/>
          <w:sz w:val="32"/>
          <w:szCs w:val="32"/>
        </w:rPr>
        <w:t xml:space="preserve"> </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五、绩效预算信息</w:t>
      </w:r>
    </w:p>
    <w:p>
      <w:pPr>
        <w:ind w:firstLine="560"/>
        <w:rPr>
          <w:rFonts w:hint="eastAsia" w:ascii="楷体" w:hAnsi="楷体" w:eastAsia="楷体"/>
          <w:sz w:val="32"/>
          <w:szCs w:val="32"/>
        </w:rPr>
      </w:pPr>
      <w:r>
        <w:rPr>
          <w:rFonts w:hint="eastAsia" w:ascii="楷体" w:hAnsi="楷体" w:eastAsia="楷体"/>
          <w:sz w:val="32"/>
          <w:szCs w:val="32"/>
        </w:rPr>
        <w:t>（一）总体绩效目标</w:t>
      </w:r>
    </w:p>
    <w:p>
      <w:pPr>
        <w:ind w:firstLine="560"/>
        <w:rPr>
          <w:rFonts w:ascii="仿宋_GB2312" w:eastAsia="仿宋_GB2312"/>
          <w:sz w:val="32"/>
          <w:szCs w:val="32"/>
        </w:rPr>
      </w:pPr>
      <w:r>
        <w:rPr>
          <w:rFonts w:hint="eastAsia" w:ascii="仿宋_GB2312" w:eastAsia="仿宋_GB2312"/>
          <w:sz w:val="32"/>
          <w:szCs w:val="32"/>
        </w:rPr>
        <w:t>1、城乡总体规划修编是《石家庄市全面提升县城市建设层次和水平三年攻坚行动实施方案》中提出的，要求每个县在2017年3月底前结合总规评估成果就修改的原则和目标向原审批机关提出报告，2017年底前完成修编。</w:t>
      </w:r>
    </w:p>
    <w:p>
      <w:pPr>
        <w:ind w:firstLine="560"/>
        <w:rPr>
          <w:rFonts w:ascii="仿宋_GB2312" w:eastAsia="仿宋_GB2312"/>
          <w:sz w:val="32"/>
          <w:szCs w:val="32"/>
        </w:rPr>
      </w:pPr>
      <w:r>
        <w:rPr>
          <w:rFonts w:hint="eastAsia" w:ascii="仿宋_GB2312" w:eastAsia="仿宋_GB2312"/>
          <w:sz w:val="32"/>
          <w:szCs w:val="32"/>
        </w:rPr>
        <w:t>2、完善专项规划和镇乡村规划是《石家庄市全面提升县城市建设层次和水平三年攻坚行动实施方案》中要求的，第个逐年完善专项规划修编和镇乡村规划修编，到2018年底完成全部专项规划编制和镇乡村规划全覆盖。</w:t>
      </w:r>
    </w:p>
    <w:p>
      <w:pPr>
        <w:ind w:firstLine="560"/>
        <w:rPr>
          <w:rFonts w:ascii="仿宋_GB2312" w:eastAsia="仿宋_GB2312"/>
          <w:sz w:val="32"/>
          <w:szCs w:val="32"/>
        </w:rPr>
      </w:pPr>
      <w:r>
        <w:rPr>
          <w:rFonts w:hint="eastAsia" w:ascii="仿宋_GB2312" w:eastAsia="仿宋_GB2312"/>
          <w:sz w:val="32"/>
          <w:szCs w:val="32"/>
        </w:rPr>
        <w:t>3、规划展馆建设在2016年城乡规划报表中，要求报规划展馆进度，并要求在2018年底前完成布展。</w:t>
      </w:r>
    </w:p>
    <w:p>
      <w:pPr>
        <w:ind w:firstLine="560"/>
        <w:rPr>
          <w:rFonts w:ascii="仿宋_GB2312" w:eastAsia="仿宋_GB2312"/>
          <w:sz w:val="32"/>
          <w:szCs w:val="32"/>
        </w:rPr>
      </w:pPr>
      <w:r>
        <w:rPr>
          <w:rFonts w:hint="eastAsia" w:ascii="仿宋_GB2312" w:eastAsia="仿宋_GB2312"/>
          <w:sz w:val="32"/>
          <w:szCs w:val="32"/>
        </w:rPr>
        <w:t>4、数字规划系统是在《石家庄市全面提升县城建设层次和水平三年攻坚行动实施方案》中要求的，到2017年底每年县都要实现城乡规划“一书三证”网上办理。</w:t>
      </w:r>
    </w:p>
    <w:p>
      <w:pPr>
        <w:ind w:firstLine="560"/>
        <w:rPr>
          <w:rFonts w:ascii="楷体" w:hAnsi="楷体" w:eastAsia="楷体"/>
          <w:sz w:val="32"/>
          <w:szCs w:val="32"/>
        </w:rPr>
      </w:pPr>
      <w:r>
        <w:rPr>
          <w:rFonts w:hint="eastAsia" w:ascii="楷体" w:hAnsi="楷体" w:eastAsia="楷体"/>
          <w:sz w:val="32"/>
          <w:szCs w:val="32"/>
        </w:rPr>
        <w:t>（二）职责分类绩效目标</w:t>
      </w:r>
    </w:p>
    <w:p>
      <w:pPr>
        <w:ind w:firstLine="560"/>
        <w:rPr>
          <w:rFonts w:ascii="仿宋_GB2312" w:eastAsia="仿宋_GB2312"/>
          <w:sz w:val="32"/>
          <w:szCs w:val="32"/>
        </w:rPr>
      </w:pPr>
      <w:r>
        <w:rPr>
          <w:rFonts w:hint="eastAsia" w:ascii="仿宋_GB2312" w:eastAsia="仿宋_GB2312"/>
          <w:sz w:val="32"/>
          <w:szCs w:val="32"/>
        </w:rPr>
        <w:t>一是领导重视，县委、县政府制定了《无极县县城全面提升县城建设层次和水平三年攻坚行动实施方案》，我局按照任务分工，相应成立了领导机构，制定实施方案，建立台账，将任分解到责任科室，制定时间表、流程图，确定按期完成。</w:t>
      </w:r>
    </w:p>
    <w:p>
      <w:pPr>
        <w:ind w:firstLine="560"/>
        <w:rPr>
          <w:rFonts w:ascii="仿宋_GB2312" w:eastAsia="仿宋_GB2312"/>
          <w:sz w:val="32"/>
          <w:szCs w:val="32"/>
        </w:rPr>
      </w:pPr>
      <w:r>
        <w:rPr>
          <w:rFonts w:hint="eastAsia" w:ascii="仿宋_GB2312" w:eastAsia="仿宋_GB2312"/>
          <w:sz w:val="32"/>
          <w:szCs w:val="32"/>
        </w:rPr>
        <w:t>二是财政支持，以上任务所需投入资金，全部录入项目库，上报县财政，列入2017年预算资金。</w:t>
      </w:r>
    </w:p>
    <w:p>
      <w:pPr>
        <w:ind w:firstLine="560"/>
        <w:rPr>
          <w:rFonts w:ascii="仿宋_GB2312" w:eastAsia="仿宋_GB2312"/>
          <w:sz w:val="32"/>
          <w:szCs w:val="32"/>
        </w:rPr>
      </w:pPr>
      <w:r>
        <w:rPr>
          <w:rFonts w:hint="eastAsia" w:ascii="仿宋_GB2312" w:eastAsia="仿宋_GB2312"/>
          <w:sz w:val="32"/>
          <w:szCs w:val="32"/>
        </w:rPr>
        <w:t>三是加强监督检查，局领导小组定期对项目推进情况进行督导，听取进展情况汇报，对进度缓慢、工作不利科室及责任人严格进行问责。</w:t>
      </w:r>
    </w:p>
    <w:p>
      <w:pPr>
        <w:ind w:firstLine="480" w:firstLineChars="150"/>
        <w:outlineLvl w:val="0"/>
        <w:rPr>
          <w:rFonts w:ascii="方正小标宋_GBK" w:eastAsia="方正小标宋_GBK"/>
          <w:sz w:val="32"/>
        </w:rPr>
      </w:pPr>
      <w:r>
        <w:rPr>
          <w:rFonts w:hint="eastAsia" w:ascii="楷体" w:hAnsi="楷体" w:eastAsia="楷体"/>
          <w:sz w:val="32"/>
          <w:szCs w:val="32"/>
        </w:rPr>
        <w:t>（三）部门职责-工作活动绩效目标</w:t>
      </w:r>
      <w:bookmarkStart w:id="0" w:name="_Toc480205085"/>
      <w:r>
        <w:rPr>
          <w:rFonts w:hint="eastAsia" w:ascii="方正小标宋_GBK" w:eastAsia="方正小标宋_GBK"/>
          <w:sz w:val="32"/>
        </w:rPr>
        <w:t>部门职责-工作活动绩效目标</w:t>
      </w:r>
      <w:bookmarkEnd w:id="0"/>
    </w:p>
    <w:tbl>
      <w:tblPr>
        <w:tblStyle w:val="4"/>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503</w:t>
            </w:r>
            <w:r>
              <w:rPr>
                <w:rFonts w:hint="eastAsia" w:ascii="方正小标宋_GBK" w:eastAsia="方正小标宋_GBK"/>
                <w:sz w:val="24"/>
              </w:rPr>
              <w:t>规划局</w:t>
            </w:r>
          </w:p>
        </w:tc>
        <w:tc>
          <w:tcPr>
            <w:tcW w:w="2948" w:type="dxa"/>
            <w:gridSpan w:val="4"/>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职责活动</w:t>
            </w:r>
          </w:p>
        </w:tc>
        <w:tc>
          <w:tcPr>
            <w:tcW w:w="12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年度预算数</w:t>
            </w:r>
          </w:p>
        </w:tc>
        <w:tc>
          <w:tcPr>
            <w:tcW w:w="29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内容描述</w:t>
            </w:r>
          </w:p>
        </w:tc>
        <w:tc>
          <w:tcPr>
            <w:tcW w:w="29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1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w:t>
            </w:r>
          </w:p>
        </w:tc>
        <w:tc>
          <w:tcPr>
            <w:tcW w:w="2948" w:type="dxa"/>
            <w:gridSpan w:val="4"/>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shd w:val="clear" w:color="auto" w:fill="auto"/>
            <w:vAlign w:val="center"/>
          </w:tcPr>
          <w:p>
            <w:pPr>
              <w:spacing w:line="300" w:lineRule="exact"/>
              <w:jc w:val="left"/>
              <w:outlineLvl w:val="0"/>
            </w:pPr>
          </w:p>
        </w:tc>
        <w:tc>
          <w:tcPr>
            <w:tcW w:w="1276" w:type="dxa"/>
            <w:vMerge w:val="continue"/>
            <w:shd w:val="clear" w:color="auto" w:fill="auto"/>
            <w:vAlign w:val="center"/>
          </w:tcPr>
          <w:p>
            <w:pPr>
              <w:spacing w:line="300" w:lineRule="exact"/>
              <w:jc w:val="left"/>
              <w:outlineLvl w:val="0"/>
            </w:pPr>
          </w:p>
        </w:tc>
        <w:tc>
          <w:tcPr>
            <w:tcW w:w="2976" w:type="dxa"/>
            <w:vMerge w:val="continue"/>
            <w:shd w:val="clear" w:color="auto" w:fill="auto"/>
            <w:vAlign w:val="center"/>
          </w:tcPr>
          <w:p>
            <w:pPr>
              <w:spacing w:line="300" w:lineRule="exact"/>
              <w:jc w:val="left"/>
              <w:outlineLvl w:val="0"/>
            </w:pPr>
          </w:p>
        </w:tc>
        <w:tc>
          <w:tcPr>
            <w:tcW w:w="2976" w:type="dxa"/>
            <w:vMerge w:val="continue"/>
            <w:shd w:val="clear" w:color="auto" w:fill="auto"/>
            <w:vAlign w:val="center"/>
          </w:tcPr>
          <w:p>
            <w:pPr>
              <w:spacing w:line="300" w:lineRule="exact"/>
              <w:jc w:val="left"/>
              <w:outlineLvl w:val="0"/>
            </w:pPr>
          </w:p>
        </w:tc>
        <w:tc>
          <w:tcPr>
            <w:tcW w:w="1417" w:type="dxa"/>
            <w:vMerge w:val="continue"/>
            <w:shd w:val="clear" w:color="auto" w:fill="auto"/>
            <w:vAlign w:val="center"/>
          </w:tcPr>
          <w:p>
            <w:pPr>
              <w:spacing w:line="300" w:lineRule="exact"/>
              <w:jc w:val="left"/>
              <w:outlineLvl w:val="0"/>
            </w:pP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优</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良</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中</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城乡规划</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组织县域城镇体系规划编制，参与各级、各部门依法编制总体规划、专项规划、控制性详细规划、历史文化名城和街区保护规划等。对由县政府审批的规划进行监督实施。</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加强城乡规划管理，协调城乡空间布局，改善人居环境，促进城乡经济社会全面协调可持续发展。</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城乡资源保护</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负责城镇古树名木和风景名胜资源保护，加强风景名胜区监测管理；编制历史文化名城名镇名村及传统村落规划，加强保护，对核心保护范围内的历史建筑、传统建筑修缮、基础设施改造和环境综合整治。</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传统村落得到有效保护</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年度村镇规划编制完成率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75%</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年度村镇规划执行率</w:t>
            </w: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城镇古树名木、风景名胜、历史文化名城和街区保护工程开工率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5"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传统村落年度保护项目完成率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城乡规划制订、实施与监督</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拟定全省城乡规划管理政策，制定城乡规划技术管理标准和导则；组织省域城镇体系规划等省级层面规划编制，编制国家级风景名胜区规划，参与京津冀一体化规划制订；审查、督导各地依法编制城乡规划；加强和改进规划管理技术手段，对依法批准的城乡规划进行监督实施。</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完成规划编制，健全规划体系</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参与各级、各部门规划编制的完成比例</w:t>
            </w: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编制规划应用率</w:t>
            </w: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动态监测报告完成率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城乡规划编制进展情况</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完成报审稿</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基本完成本级规划编制工作</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完成初稿</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未开展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城乡建设管理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800.00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负责镇、乡村庄规划的编制和实施；负责农村住房建设、住房安全和危房改造；改善小城镇和村庄人居环境。</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加强管理，提高城市承载能力和宜居度。加强村镇建设，改善农村人居环境，实现城乡统筹发展。</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推进城镇化建设</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800.00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负责农村住房建设、住房安全和危房改造，推进小城镇村庄人居环境改善；推进城镇化工作，开展城乡规划提升、建筑能效提升等工作，全面提升县城建设质量和水平。</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加强村镇建设，改善农村人居环境，实现城乡统筹发展</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危房改造规划完成率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722"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规划政务管理</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负责规划综合业务管理和机关综合事务管理。</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加强全县城乡规划人才队伍建设，提高人才业务素质，提高行业水平。提升机关及行业信息化水平，保障各类业务系统安全稳定运行；加大信息宣传力度，创造良好舆论氛围。规范审批行为，推进政务公开，增加服务意识，提高工作效率。</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综合业务管理</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调研提出规划和建议，工作部署、协调推动、普查统计、督促指导、行政审批、业务监管及</w:t>
            </w:r>
            <w:r>
              <w:rPr>
                <w:rFonts w:hint="eastAsia" w:ascii="方正书宋_GBK" w:eastAsia="方正书宋_GBK"/>
                <w:lang w:eastAsia="zh-CN"/>
              </w:rPr>
              <w:t>县委、县政府</w:t>
            </w:r>
            <w:r>
              <w:rPr>
                <w:rFonts w:hint="eastAsia" w:ascii="方正书宋_GBK" w:eastAsia="方正书宋_GBK"/>
              </w:rPr>
              <w:t>交办的其他事项等行政管理事项。</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加强管理，圆满完成县委、县政府交办任务</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综合业务管理工作完成率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综合事务管理</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加强机关事务性管理，开展机关自身能力建设。</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加强机关事务性管理，提高机关自身工作能力。</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综合事务管理工作完成率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bl>
    <w:p>
      <w:pPr>
        <w:rPr>
          <w:rFonts w:ascii="楷体" w:hAnsi="楷体" w:eastAsia="楷体"/>
          <w:sz w:val="32"/>
          <w:szCs w:val="32"/>
        </w:rPr>
      </w:pP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六、政府采购预算情况</w:t>
      </w:r>
    </w:p>
    <w:p>
      <w:pPr>
        <w:ind w:firstLine="688" w:firstLineChars="215"/>
        <w:rPr>
          <w:rFonts w:ascii="仿宋_GB2312" w:eastAsia="仿宋_GB2312"/>
          <w:sz w:val="32"/>
          <w:szCs w:val="32"/>
        </w:rPr>
      </w:pPr>
      <w:r>
        <w:rPr>
          <w:rFonts w:hint="eastAsia" w:ascii="仿宋_GB2312" w:eastAsia="仿宋_GB2312"/>
          <w:sz w:val="32"/>
          <w:szCs w:val="32"/>
        </w:rPr>
        <w:t>2017年我部门安排政府采购预算0万元。</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七、国有资产信息</w:t>
      </w:r>
    </w:p>
    <w:p>
      <w:pPr>
        <w:ind w:firstLine="688" w:firstLineChars="215"/>
        <w:rPr>
          <w:rFonts w:ascii="仿宋" w:hAnsi="仿宋" w:eastAsia="仿宋" w:cs="仿宋"/>
          <w:sz w:val="32"/>
          <w:szCs w:val="32"/>
        </w:rPr>
      </w:pPr>
      <w:r>
        <w:rPr>
          <w:rFonts w:hint="eastAsia" w:ascii="仿宋_GB2312" w:hAnsi="仿宋" w:eastAsia="仿宋_GB2312" w:cs="仿宋"/>
          <w:sz w:val="32"/>
          <w:szCs w:val="32"/>
        </w:rPr>
        <w:t>无极县城乡规划局上年末固定资产金额为12.9万元（详见下表）。本年度拟购置固定资产金额为0万元</w:t>
      </w:r>
      <w:r>
        <w:rPr>
          <w:rFonts w:hint="eastAsia" w:ascii="仿宋" w:hAnsi="仿宋" w:eastAsia="仿宋" w:cs="仿宋"/>
          <w:sz w:val="32"/>
          <w:szCs w:val="32"/>
        </w:rPr>
        <w:t>。</w:t>
      </w:r>
    </w:p>
    <w:p>
      <w:pPr>
        <w:autoSpaceDE w:val="0"/>
        <w:autoSpaceDN w:val="0"/>
        <w:adjustRightInd w:val="0"/>
        <w:ind w:left="420" w:leftChars="200"/>
        <w:jc w:val="center"/>
        <w:rPr>
          <w:rFonts w:ascii="仿宋_GB2312" w:hAnsi="仿宋" w:eastAsia="仿宋_GB2312"/>
          <w:sz w:val="32"/>
        </w:rPr>
      </w:pPr>
      <w:r>
        <w:rPr>
          <w:rFonts w:hint="eastAsia" w:ascii="仿宋_GB2312" w:hAnsi="仿宋" w:eastAsia="仿宋_GB2312"/>
          <w:sz w:val="32"/>
        </w:rPr>
        <w:t>无极县城乡规划局固定资产占用情况表</w:t>
      </w:r>
    </w:p>
    <w:tbl>
      <w:tblPr>
        <w:tblStyle w:val="4"/>
        <w:tblW w:w="0" w:type="auto"/>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仿宋_GB2312" w:hAnsi="宋体" w:eastAsia="仿宋_GB2312" w:cs="宋体"/>
                <w:kern w:val="0"/>
                <w:sz w:val="32"/>
                <w:szCs w:val="32"/>
              </w:rPr>
            </w:pPr>
            <w:r>
              <w:rPr>
                <w:rFonts w:hint="eastAsia" w:ascii="仿宋_GB2312" w:hAnsi="宋体" w:eastAsia="仿宋_GB2312" w:cs="宋体"/>
                <w:kern w:val="0"/>
                <w:sz w:val="32"/>
                <w:szCs w:val="32"/>
              </w:rPr>
              <w:t>编制部门：无极县城乡规划局</w:t>
            </w:r>
          </w:p>
        </w:tc>
        <w:tc>
          <w:tcPr>
            <w:tcW w:w="5103" w:type="dxa"/>
            <w:tcBorders>
              <w:top w:val="nil"/>
              <w:left w:val="nil"/>
              <w:bottom w:val="nil"/>
              <w:right w:val="nil"/>
            </w:tcBorders>
            <w:vAlign w:val="center"/>
          </w:tcPr>
          <w:p>
            <w:pPr>
              <w:widowControl/>
              <w:jc w:val="left"/>
              <w:rPr>
                <w:rFonts w:ascii="仿宋_GB2312" w:hAnsi="宋体" w:eastAsia="仿宋_GB2312" w:cs="宋体"/>
                <w:kern w:val="0"/>
                <w:sz w:val="32"/>
                <w:szCs w:val="32"/>
              </w:rPr>
            </w:pPr>
            <w:r>
              <w:rPr>
                <w:rFonts w:hint="eastAsia" w:ascii="仿宋_GB2312" w:hAnsi="宋体" w:eastAsia="仿宋_GB2312" w:cs="宋体"/>
                <w:kern w:val="0"/>
                <w:sz w:val="32"/>
                <w:szCs w:val="32"/>
              </w:rPr>
              <w:t xml:space="preserve">截止时间：2016年12月31日  </w:t>
            </w:r>
          </w:p>
        </w:tc>
      </w:tr>
      <w:tr>
        <w:tblPrEx>
          <w:tblCellMar>
            <w:top w:w="0" w:type="dxa"/>
            <w:left w:w="108" w:type="dxa"/>
            <w:bottom w:w="0" w:type="dxa"/>
            <w:right w:w="108" w:type="dxa"/>
          </w:tblCellMar>
        </w:tblPrEx>
        <w:trPr>
          <w:trHeight w:val="645" w:hRule="atLeast"/>
        </w:trPr>
        <w:tc>
          <w:tcPr>
            <w:tcW w:w="5224" w:type="dxa"/>
            <w:tcBorders>
              <w:top w:val="single" w:color="000000" w:sz="4" w:space="0"/>
              <w:left w:val="single" w:color="000000" w:sz="4" w:space="0"/>
              <w:bottom w:val="single" w:color="000000" w:sz="4" w:space="0"/>
              <w:right w:val="single" w:color="000000" w:sz="4" w:space="0"/>
            </w:tcBorders>
            <w:vAlign w:val="center"/>
          </w:tcPr>
          <w:p>
            <w:pPr>
              <w:widowControl/>
              <w:jc w:val="center"/>
              <w:rPr>
                <w:rFonts w:ascii="仿宋_GB2312" w:hAnsi="宋体" w:eastAsia="仿宋_GB2312" w:cs="宋体"/>
                <w:b/>
                <w:bCs/>
                <w:kern w:val="0"/>
                <w:sz w:val="32"/>
                <w:szCs w:val="32"/>
              </w:rPr>
            </w:pPr>
            <w:r>
              <w:rPr>
                <w:rFonts w:hint="eastAsia" w:ascii="仿宋_GB2312" w:hAnsi="宋体" w:eastAsia="仿宋_GB2312" w:cs="宋体"/>
                <w:b/>
                <w:bCs/>
                <w:kern w:val="0"/>
                <w:sz w:val="32"/>
                <w:szCs w:val="32"/>
              </w:rPr>
              <w:t>项   目</w:t>
            </w:r>
          </w:p>
        </w:tc>
        <w:tc>
          <w:tcPr>
            <w:tcW w:w="3155" w:type="dxa"/>
            <w:tcBorders>
              <w:top w:val="single" w:color="000000" w:sz="4" w:space="0"/>
              <w:left w:val="nil"/>
              <w:bottom w:val="single" w:color="000000" w:sz="4" w:space="0"/>
              <w:right w:val="single" w:color="000000" w:sz="4" w:space="0"/>
            </w:tcBorders>
            <w:vAlign w:val="center"/>
          </w:tcPr>
          <w:p>
            <w:pPr>
              <w:widowControl/>
              <w:jc w:val="center"/>
              <w:rPr>
                <w:rFonts w:ascii="仿宋_GB2312" w:hAnsi="宋体" w:eastAsia="仿宋_GB2312" w:cs="宋体"/>
                <w:b/>
                <w:bCs/>
                <w:kern w:val="0"/>
                <w:sz w:val="32"/>
                <w:szCs w:val="32"/>
              </w:rPr>
            </w:pPr>
            <w:r>
              <w:rPr>
                <w:rFonts w:hint="eastAsia" w:ascii="仿宋_GB2312" w:hAnsi="宋体" w:eastAsia="仿宋_GB2312" w:cs="宋体"/>
                <w:b/>
                <w:bCs/>
                <w:kern w:val="0"/>
                <w:sz w:val="32"/>
                <w:szCs w:val="32"/>
              </w:rPr>
              <w:t>数量</w:t>
            </w:r>
          </w:p>
        </w:tc>
        <w:tc>
          <w:tcPr>
            <w:tcW w:w="5103" w:type="dxa"/>
            <w:tcBorders>
              <w:top w:val="single" w:color="000000" w:sz="4" w:space="0"/>
              <w:left w:val="nil"/>
              <w:bottom w:val="single" w:color="000000" w:sz="4" w:space="0"/>
              <w:right w:val="single" w:color="000000" w:sz="4" w:space="0"/>
            </w:tcBorders>
            <w:vAlign w:val="center"/>
          </w:tcPr>
          <w:p>
            <w:pPr>
              <w:widowControl/>
              <w:jc w:val="center"/>
              <w:rPr>
                <w:rFonts w:ascii="仿宋_GB2312" w:hAnsi="宋体" w:eastAsia="仿宋_GB2312" w:cs="宋体"/>
                <w:b/>
                <w:bCs/>
                <w:kern w:val="0"/>
                <w:sz w:val="32"/>
                <w:szCs w:val="32"/>
              </w:rPr>
            </w:pPr>
            <w:r>
              <w:rPr>
                <w:rFonts w:hint="eastAsia" w:ascii="仿宋_GB2312" w:hAnsi="宋体" w:eastAsia="仿宋_GB2312" w:cs="宋体"/>
                <w:b/>
                <w:bCs/>
                <w:kern w:val="0"/>
                <w:sz w:val="32"/>
                <w:szCs w:val="3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jc w:val="center"/>
              <w:rPr>
                <w:rFonts w:ascii="仿宋_GB2312" w:hAnsi="宋体" w:eastAsia="仿宋_GB2312" w:cs="宋体"/>
                <w:kern w:val="0"/>
                <w:sz w:val="32"/>
                <w:szCs w:val="32"/>
              </w:rPr>
            </w:pPr>
            <w:r>
              <w:rPr>
                <w:rFonts w:hint="eastAsia" w:ascii="仿宋_GB2312" w:hAnsi="宋体" w:eastAsia="仿宋_GB2312" w:cs="宋体"/>
                <w:kern w:val="0"/>
                <w:sz w:val="32"/>
                <w:szCs w:val="32"/>
              </w:rPr>
              <w:t>资产总额</w:t>
            </w:r>
          </w:p>
        </w:tc>
        <w:tc>
          <w:tcPr>
            <w:tcW w:w="3155"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32"/>
                <w:szCs w:val="32"/>
              </w:rPr>
            </w:pPr>
            <w:r>
              <w:rPr>
                <w:rFonts w:hint="eastAsia" w:ascii="仿宋_GB2312" w:hAnsi="宋体" w:eastAsia="仿宋_GB2312" w:cs="宋体"/>
                <w:kern w:val="0"/>
                <w:sz w:val="32"/>
                <w:szCs w:val="32"/>
              </w:rPr>
              <w:t>——</w:t>
            </w:r>
          </w:p>
        </w:tc>
        <w:tc>
          <w:tcPr>
            <w:tcW w:w="5103"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32"/>
                <w:szCs w:val="32"/>
              </w:rPr>
            </w:pPr>
            <w:r>
              <w:rPr>
                <w:rFonts w:hint="eastAsia" w:ascii="仿宋_GB2312" w:hAnsi="宋体" w:eastAsia="仿宋_GB2312" w:cs="宋体"/>
                <w:kern w:val="0"/>
                <w:sz w:val="32"/>
                <w:szCs w:val="32"/>
              </w:rPr>
              <w:t>12.9</w:t>
            </w: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jc w:val="left"/>
              <w:rPr>
                <w:rFonts w:ascii="仿宋_GB2312" w:hAnsi="宋体" w:eastAsia="仿宋_GB2312" w:cs="宋体"/>
                <w:kern w:val="0"/>
                <w:sz w:val="32"/>
                <w:szCs w:val="32"/>
              </w:rPr>
            </w:pPr>
            <w:r>
              <w:rPr>
                <w:rFonts w:hint="eastAsia" w:ascii="仿宋_GB2312" w:hAnsi="宋体" w:eastAsia="仿宋_GB2312" w:cs="宋体"/>
                <w:kern w:val="0"/>
                <w:sz w:val="32"/>
                <w:szCs w:val="32"/>
              </w:rPr>
              <w:t>1、房屋（平方米）</w:t>
            </w:r>
          </w:p>
        </w:tc>
        <w:tc>
          <w:tcPr>
            <w:tcW w:w="3155"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32"/>
                <w:szCs w:val="32"/>
              </w:rPr>
            </w:pPr>
          </w:p>
        </w:tc>
        <w:tc>
          <w:tcPr>
            <w:tcW w:w="5103"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32"/>
                <w:szCs w:val="32"/>
              </w:rPr>
            </w:pP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jc w:val="left"/>
              <w:rPr>
                <w:rFonts w:ascii="仿宋_GB2312" w:hAnsi="宋体" w:eastAsia="仿宋_GB2312" w:cs="宋体"/>
                <w:kern w:val="0"/>
                <w:sz w:val="32"/>
                <w:szCs w:val="32"/>
              </w:rPr>
            </w:pPr>
            <w:r>
              <w:rPr>
                <w:rFonts w:hint="eastAsia" w:ascii="仿宋_GB2312" w:hAnsi="宋体" w:eastAsia="仿宋_GB2312" w:cs="宋体"/>
                <w:kern w:val="0"/>
                <w:sz w:val="32"/>
                <w:szCs w:val="32"/>
              </w:rPr>
              <w:t xml:space="preserve">  其中：办公用房（平方米）</w:t>
            </w:r>
          </w:p>
        </w:tc>
        <w:tc>
          <w:tcPr>
            <w:tcW w:w="3155"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32"/>
                <w:szCs w:val="32"/>
              </w:rPr>
            </w:pPr>
          </w:p>
        </w:tc>
        <w:tc>
          <w:tcPr>
            <w:tcW w:w="5103"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32"/>
                <w:szCs w:val="32"/>
              </w:rPr>
            </w:pP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jc w:val="left"/>
              <w:rPr>
                <w:rFonts w:ascii="仿宋_GB2312" w:hAnsi="宋体" w:eastAsia="仿宋_GB2312" w:cs="宋体"/>
                <w:kern w:val="0"/>
                <w:sz w:val="32"/>
                <w:szCs w:val="32"/>
              </w:rPr>
            </w:pPr>
            <w:r>
              <w:rPr>
                <w:rFonts w:hint="eastAsia" w:ascii="仿宋_GB2312" w:hAnsi="宋体" w:eastAsia="仿宋_GB2312" w:cs="宋体"/>
                <w:kern w:val="0"/>
                <w:sz w:val="32"/>
                <w:szCs w:val="32"/>
              </w:rPr>
              <w:t>2、车辆（台、辆）</w:t>
            </w:r>
          </w:p>
        </w:tc>
        <w:tc>
          <w:tcPr>
            <w:tcW w:w="3155"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32"/>
                <w:szCs w:val="32"/>
              </w:rPr>
            </w:pPr>
          </w:p>
        </w:tc>
        <w:tc>
          <w:tcPr>
            <w:tcW w:w="5103"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32"/>
                <w:szCs w:val="32"/>
              </w:rPr>
            </w:pP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jc w:val="left"/>
              <w:rPr>
                <w:rFonts w:ascii="仿宋_GB2312" w:hAnsi="宋体" w:eastAsia="仿宋_GB2312" w:cs="宋体"/>
                <w:kern w:val="0"/>
                <w:sz w:val="32"/>
                <w:szCs w:val="32"/>
              </w:rPr>
            </w:pPr>
            <w:r>
              <w:rPr>
                <w:rFonts w:hint="eastAsia" w:ascii="仿宋_GB2312" w:hAnsi="宋体" w:eastAsia="仿宋_GB2312" w:cs="宋体"/>
                <w:kern w:val="0"/>
                <w:sz w:val="32"/>
                <w:szCs w:val="32"/>
              </w:rPr>
              <w:t>3、单价在20万元以上设备</w:t>
            </w:r>
          </w:p>
        </w:tc>
        <w:tc>
          <w:tcPr>
            <w:tcW w:w="3155"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32"/>
                <w:szCs w:val="32"/>
              </w:rPr>
            </w:pPr>
            <w:r>
              <w:rPr>
                <w:rFonts w:hint="eastAsia" w:ascii="仿宋_GB2312" w:hAnsi="宋体" w:eastAsia="仿宋_GB2312" w:cs="宋体"/>
                <w:kern w:val="0"/>
                <w:sz w:val="32"/>
                <w:szCs w:val="32"/>
              </w:rPr>
              <w:t>——</w:t>
            </w:r>
          </w:p>
        </w:tc>
        <w:tc>
          <w:tcPr>
            <w:tcW w:w="5103"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32"/>
                <w:szCs w:val="32"/>
              </w:rPr>
            </w:pP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jc w:val="left"/>
              <w:rPr>
                <w:rFonts w:ascii="仿宋_GB2312" w:hAnsi="宋体" w:eastAsia="仿宋_GB2312" w:cs="宋体"/>
                <w:kern w:val="0"/>
                <w:sz w:val="32"/>
                <w:szCs w:val="32"/>
              </w:rPr>
            </w:pPr>
            <w:r>
              <w:rPr>
                <w:rFonts w:hint="eastAsia" w:ascii="仿宋_GB2312" w:hAnsi="宋体" w:eastAsia="仿宋_GB2312" w:cs="宋体"/>
                <w:kern w:val="0"/>
                <w:sz w:val="32"/>
                <w:szCs w:val="32"/>
              </w:rPr>
              <w:t>4、其他固定资产</w:t>
            </w:r>
          </w:p>
        </w:tc>
        <w:tc>
          <w:tcPr>
            <w:tcW w:w="3155"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32"/>
                <w:szCs w:val="32"/>
              </w:rPr>
            </w:pPr>
            <w:r>
              <w:rPr>
                <w:rFonts w:hint="eastAsia" w:ascii="仿宋_GB2312" w:hAnsi="宋体" w:eastAsia="仿宋_GB2312" w:cs="宋体"/>
                <w:kern w:val="0"/>
                <w:sz w:val="32"/>
                <w:szCs w:val="32"/>
              </w:rPr>
              <w:t>——</w:t>
            </w:r>
          </w:p>
        </w:tc>
        <w:tc>
          <w:tcPr>
            <w:tcW w:w="5103"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32"/>
                <w:szCs w:val="32"/>
              </w:rPr>
            </w:pPr>
            <w:r>
              <w:rPr>
                <w:rFonts w:hint="eastAsia" w:ascii="仿宋_GB2312" w:hAnsi="宋体" w:eastAsia="仿宋_GB2312" w:cs="宋体"/>
                <w:kern w:val="0"/>
                <w:sz w:val="32"/>
                <w:szCs w:val="32"/>
              </w:rPr>
              <w:t>12.9</w:t>
            </w:r>
          </w:p>
        </w:tc>
      </w:tr>
    </w:tbl>
    <w:p>
      <w:pPr>
        <w:autoSpaceDE w:val="0"/>
        <w:autoSpaceDN w:val="0"/>
        <w:adjustRightInd w:val="0"/>
        <w:ind w:left="420" w:leftChars="200"/>
        <w:jc w:val="center"/>
        <w:rPr>
          <w:rFonts w:ascii="仿宋" w:hAnsi="仿宋" w:eastAsia="仿宋"/>
          <w:sz w:val="32"/>
        </w:rPr>
      </w:pP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八、名词解释</w:t>
      </w:r>
    </w:p>
    <w:p>
      <w:pPr>
        <w:ind w:firstLine="720"/>
        <w:rPr>
          <w:rFonts w:ascii="仿宋" w:hAnsi="仿宋" w:eastAsia="仿宋"/>
          <w:b/>
          <w:sz w:val="32"/>
          <w:szCs w:val="32"/>
        </w:rPr>
      </w:pPr>
      <w:r>
        <w:rPr>
          <w:rFonts w:hint="eastAsia" w:ascii="仿宋" w:hAnsi="仿宋" w:eastAsia="仿宋"/>
          <w:b/>
          <w:sz w:val="32"/>
          <w:szCs w:val="32"/>
        </w:rPr>
        <w:t>1.财政拨款收入</w:t>
      </w:r>
    </w:p>
    <w:p>
      <w:pPr>
        <w:ind w:firstLine="720"/>
        <w:rPr>
          <w:rFonts w:ascii="仿宋_GB2312" w:hAnsi="仿宋" w:eastAsia="仿宋_GB2312"/>
          <w:sz w:val="32"/>
          <w:szCs w:val="32"/>
        </w:rPr>
      </w:pPr>
      <w:r>
        <w:rPr>
          <w:rFonts w:hint="eastAsia" w:ascii="仿宋_GB2312" w:hAnsi="仿宋" w:eastAsia="仿宋_GB2312"/>
          <w:sz w:val="32"/>
          <w:szCs w:val="32"/>
        </w:rPr>
        <w:t>财政拨款收入是指财政部门按照批复的预算核拨给单位的财政预算资金。</w:t>
      </w:r>
    </w:p>
    <w:p>
      <w:pPr>
        <w:ind w:firstLine="720"/>
        <w:rPr>
          <w:rFonts w:ascii="仿宋" w:hAnsi="仿宋" w:eastAsia="仿宋"/>
          <w:b/>
          <w:sz w:val="32"/>
          <w:szCs w:val="32"/>
        </w:rPr>
      </w:pPr>
      <w:r>
        <w:rPr>
          <w:rFonts w:hint="eastAsia" w:ascii="仿宋" w:hAnsi="仿宋" w:eastAsia="仿宋"/>
          <w:b/>
          <w:sz w:val="32"/>
          <w:szCs w:val="32"/>
        </w:rPr>
        <w:t>2.基本支出、项目支出</w:t>
      </w:r>
    </w:p>
    <w:p>
      <w:pPr>
        <w:ind w:firstLine="720"/>
        <w:rPr>
          <w:rFonts w:ascii="仿宋_GB2312" w:hAnsi="仿宋" w:eastAsia="仿宋_GB2312"/>
          <w:sz w:val="32"/>
          <w:szCs w:val="32"/>
        </w:rPr>
      </w:pPr>
      <w:r>
        <w:rPr>
          <w:rFonts w:hint="eastAsia" w:ascii="仿宋_GB2312" w:hAnsi="仿宋" w:eastAsia="仿宋_GB2312"/>
          <w:sz w:val="32"/>
          <w:szCs w:val="32"/>
        </w:rPr>
        <w:t>基本支出是指预算单位为保障机构正常运转和完成日常工作而发生的各项支出，包括人员经费和日常公用经费。</w:t>
      </w:r>
    </w:p>
    <w:p>
      <w:pPr>
        <w:ind w:firstLine="720"/>
        <w:rPr>
          <w:rFonts w:ascii="仿宋_GB2312" w:hAnsi="仿宋" w:eastAsia="仿宋_GB2312"/>
          <w:sz w:val="32"/>
          <w:szCs w:val="32"/>
        </w:rPr>
      </w:pPr>
      <w:r>
        <w:rPr>
          <w:rFonts w:hint="eastAsia" w:ascii="仿宋_GB2312" w:hAnsi="仿宋" w:eastAsia="仿宋_GB2312"/>
          <w:sz w:val="32"/>
          <w:szCs w:val="32"/>
        </w:rPr>
        <w:t>项目支出是指在基本支出之外完成特定行政任务和事业发展目标所发生的支出。</w:t>
      </w:r>
    </w:p>
    <w:p>
      <w:pPr>
        <w:ind w:firstLine="720"/>
        <w:rPr>
          <w:rFonts w:ascii="仿宋" w:hAnsi="仿宋" w:eastAsia="仿宋"/>
          <w:b/>
          <w:sz w:val="32"/>
          <w:szCs w:val="32"/>
        </w:rPr>
      </w:pPr>
      <w:r>
        <w:rPr>
          <w:rFonts w:hint="eastAsia" w:ascii="仿宋" w:hAnsi="仿宋" w:eastAsia="仿宋"/>
          <w:b/>
          <w:sz w:val="32"/>
          <w:szCs w:val="32"/>
        </w:rPr>
        <w:t>3.一般公共服务支出</w:t>
      </w:r>
    </w:p>
    <w:p>
      <w:pPr>
        <w:ind w:firstLine="720"/>
        <w:rPr>
          <w:rFonts w:ascii="仿宋_GB2312" w:hAnsi="仿宋" w:eastAsia="仿宋_GB2312"/>
          <w:sz w:val="32"/>
          <w:szCs w:val="32"/>
        </w:rPr>
      </w:pPr>
      <w:r>
        <w:rPr>
          <w:rFonts w:hint="eastAsia" w:ascii="仿宋_GB2312" w:hAnsi="仿宋" w:eastAsia="仿宋_GB2312"/>
          <w:sz w:val="32"/>
          <w:szCs w:val="32"/>
        </w:rPr>
        <w:t>一般公共服务支出是指反映预算单位一般公共服务的支出。</w:t>
      </w:r>
    </w:p>
    <w:p>
      <w:pPr>
        <w:ind w:firstLine="720"/>
        <w:rPr>
          <w:rFonts w:ascii="仿宋" w:hAnsi="仿宋" w:eastAsia="仿宋"/>
          <w:b/>
          <w:sz w:val="32"/>
          <w:szCs w:val="32"/>
        </w:rPr>
      </w:pPr>
      <w:r>
        <w:rPr>
          <w:rFonts w:hint="eastAsia" w:ascii="仿宋" w:hAnsi="仿宋" w:eastAsia="仿宋"/>
          <w:b/>
          <w:sz w:val="32"/>
          <w:szCs w:val="32"/>
        </w:rPr>
        <w:t>4.文化体育与传媒支出</w:t>
      </w:r>
    </w:p>
    <w:p>
      <w:pPr>
        <w:ind w:firstLine="720"/>
        <w:rPr>
          <w:rFonts w:ascii="仿宋_GB2312" w:hAnsi="仿宋" w:eastAsia="仿宋_GB2312"/>
          <w:sz w:val="32"/>
          <w:szCs w:val="32"/>
        </w:rPr>
      </w:pPr>
      <w:r>
        <w:rPr>
          <w:rFonts w:hint="eastAsia" w:ascii="仿宋_GB2312" w:hAnsi="仿宋" w:eastAsia="仿宋_GB2312"/>
          <w:sz w:val="32"/>
          <w:szCs w:val="32"/>
        </w:rPr>
        <w:t>文化体育与传媒支出是指反映预算单位在文化、文物、体育、广播影视、新闻出版等方面的支出。</w:t>
      </w:r>
    </w:p>
    <w:p>
      <w:pPr>
        <w:ind w:firstLine="720"/>
        <w:rPr>
          <w:rFonts w:ascii="仿宋" w:hAnsi="仿宋" w:eastAsia="仿宋"/>
          <w:b/>
          <w:sz w:val="32"/>
          <w:szCs w:val="32"/>
        </w:rPr>
      </w:pPr>
      <w:r>
        <w:rPr>
          <w:rFonts w:hint="eastAsia" w:ascii="仿宋" w:hAnsi="仿宋" w:eastAsia="仿宋"/>
          <w:b/>
          <w:sz w:val="32"/>
          <w:szCs w:val="32"/>
        </w:rPr>
        <w:t>5.社会保障和就业支出</w:t>
      </w:r>
    </w:p>
    <w:p>
      <w:pPr>
        <w:ind w:firstLine="720"/>
        <w:rPr>
          <w:rFonts w:ascii="仿宋_GB2312" w:hAnsi="仿宋" w:eastAsia="仿宋_GB2312"/>
          <w:sz w:val="32"/>
          <w:szCs w:val="32"/>
        </w:rPr>
      </w:pPr>
      <w:r>
        <w:rPr>
          <w:rFonts w:hint="eastAsia" w:ascii="仿宋_GB2312" w:hAnsi="仿宋" w:eastAsia="仿宋_GB2312"/>
          <w:sz w:val="32"/>
          <w:szCs w:val="32"/>
        </w:rPr>
        <w:t>社会保障和就业支出是指预算单位在社会保障和就业方面的支出。</w:t>
      </w:r>
    </w:p>
    <w:p>
      <w:pPr>
        <w:ind w:firstLine="720"/>
        <w:rPr>
          <w:rFonts w:ascii="仿宋" w:hAnsi="仿宋" w:eastAsia="仿宋"/>
          <w:b/>
          <w:sz w:val="32"/>
          <w:szCs w:val="32"/>
        </w:rPr>
      </w:pPr>
      <w:r>
        <w:rPr>
          <w:rFonts w:hint="eastAsia" w:ascii="仿宋" w:hAnsi="仿宋" w:eastAsia="仿宋"/>
          <w:b/>
          <w:sz w:val="32"/>
          <w:szCs w:val="32"/>
        </w:rPr>
        <w:t>6.机关运行经费</w:t>
      </w:r>
    </w:p>
    <w:p>
      <w:pPr>
        <w:ind w:firstLine="720"/>
        <w:rPr>
          <w:rFonts w:ascii="仿宋_GB2312" w:hAnsi="仿宋" w:eastAsia="仿宋_GB2312"/>
          <w:sz w:val="32"/>
          <w:szCs w:val="32"/>
        </w:rPr>
      </w:pPr>
      <w:r>
        <w:rPr>
          <w:rFonts w:hint="eastAsia" w:ascii="仿宋_GB2312" w:hAnsi="仿宋" w:eastAsia="仿宋_GB2312"/>
          <w:sz w:val="32"/>
          <w:szCs w:val="32"/>
        </w:rPr>
        <w:t>机关运行经费是指为保障行政单位运行支出的人员工资和用于购买货物、服务的各项资金，包括人员经费、办公费、印刷费、邮电费、差旅费、会议费、福利费、日常维修费、专用材料及一般设备购置费、办公用房水电费、公务用车运行维护费及其他费用。</w:t>
      </w:r>
    </w:p>
    <w:p>
      <w:pPr>
        <w:ind w:firstLine="720"/>
        <w:rPr>
          <w:rFonts w:ascii="仿宋" w:hAnsi="仿宋" w:eastAsia="仿宋"/>
          <w:b/>
          <w:sz w:val="32"/>
          <w:szCs w:val="32"/>
        </w:rPr>
      </w:pPr>
      <w:r>
        <w:rPr>
          <w:rFonts w:hint="eastAsia" w:ascii="仿宋" w:hAnsi="仿宋" w:eastAsia="仿宋"/>
          <w:b/>
          <w:sz w:val="32"/>
          <w:szCs w:val="32"/>
        </w:rPr>
        <w:t>7.“三公”经费</w:t>
      </w:r>
    </w:p>
    <w:p>
      <w:pPr>
        <w:ind w:firstLine="720"/>
        <w:rPr>
          <w:rFonts w:ascii="仿宋_GB2312" w:hAnsi="仿宋" w:eastAsia="仿宋_GB2312"/>
          <w:sz w:val="32"/>
          <w:szCs w:val="32"/>
        </w:rPr>
      </w:pPr>
      <w:r>
        <w:rPr>
          <w:rFonts w:hint="eastAsia" w:ascii="仿宋_GB2312" w:hAnsi="仿宋" w:eastAsia="仿宋_GB2312"/>
          <w:sz w:val="32"/>
          <w:szCs w:val="32"/>
        </w:rPr>
        <w:t>“三公”经费是指因公出国（境）费、公务用车购置及运行维护费和公务接待费。</w:t>
      </w:r>
    </w:p>
    <w:p>
      <w:pPr>
        <w:ind w:firstLine="720"/>
        <w:rPr>
          <w:rFonts w:ascii="仿宋_GB2312" w:hAnsi="仿宋" w:eastAsia="仿宋_GB2312"/>
          <w:sz w:val="32"/>
          <w:szCs w:val="32"/>
        </w:rPr>
      </w:pPr>
      <w:r>
        <w:rPr>
          <w:rFonts w:hint="eastAsia" w:ascii="仿宋_GB2312" w:hAnsi="仿宋" w:eastAsia="仿宋_GB2312"/>
          <w:sz w:val="32"/>
          <w:szCs w:val="32"/>
        </w:rPr>
        <w:t>因公出国（境）费是指单位公务出国（境）的国际旅费、国外城市间交通费、住宿费、伙食费、培训费、公杂费等支出。</w:t>
      </w:r>
    </w:p>
    <w:p>
      <w:pPr>
        <w:ind w:firstLine="720"/>
        <w:rPr>
          <w:rFonts w:ascii="仿宋_GB2312" w:hAnsi="仿宋" w:eastAsia="仿宋_GB2312"/>
          <w:sz w:val="32"/>
          <w:szCs w:val="32"/>
        </w:rPr>
      </w:pPr>
      <w:r>
        <w:rPr>
          <w:rFonts w:hint="eastAsia" w:ascii="仿宋_GB2312" w:hAnsi="仿宋" w:eastAsia="仿宋_GB2312"/>
          <w:sz w:val="32"/>
          <w:szCs w:val="32"/>
        </w:rPr>
        <w:t>公务用车购置及运行维护费是指单位购置公务用车及公务用车租用费、燃料费、维修费、路桥费、保险费等支出。</w:t>
      </w:r>
    </w:p>
    <w:p>
      <w:pPr>
        <w:ind w:firstLine="720"/>
        <w:rPr>
          <w:rFonts w:ascii="仿宋_GB2312" w:hAnsi="仿宋" w:eastAsia="仿宋_GB2312"/>
          <w:sz w:val="32"/>
          <w:szCs w:val="32"/>
        </w:rPr>
      </w:pPr>
      <w:r>
        <w:rPr>
          <w:rFonts w:hint="eastAsia" w:ascii="仿宋_GB2312" w:hAnsi="仿宋" w:eastAsia="仿宋_GB2312"/>
          <w:sz w:val="32"/>
          <w:szCs w:val="32"/>
        </w:rPr>
        <w:t>公务接待费是指单位按规定开支的各类公务接待（含外宾接待）费用。</w:t>
      </w: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cs="仿宋_GB2312"/>
          <w:sz w:val="32"/>
          <w:szCs w:val="32"/>
        </w:rPr>
        <w:t>九、其他需要说明的事项</w:t>
      </w:r>
    </w:p>
    <w:p>
      <w:pPr>
        <w:ind w:firstLine="688" w:firstLineChars="215"/>
        <w:rPr>
          <w:rFonts w:ascii="仿宋_GB2312" w:hAnsi="仿宋" w:eastAsia="仿宋_GB2312"/>
          <w:sz w:val="32"/>
          <w:szCs w:val="32"/>
        </w:rPr>
      </w:pPr>
      <w:r>
        <w:rPr>
          <w:rFonts w:hint="eastAsia" w:ascii="仿宋_GB2312" w:hAnsi="仿宋" w:eastAsia="仿宋_GB2312"/>
          <w:sz w:val="32"/>
          <w:szCs w:val="32"/>
        </w:rPr>
        <w:t>无。</w:t>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方正小标宋_GBK">
    <w:panose1 w:val="02000000000000000000"/>
    <w:charset w:val="86"/>
    <w:family w:val="script"/>
    <w:pitch w:val="default"/>
    <w:sig w:usb0="A00002BF" w:usb1="38CF7CFA" w:usb2="00082016" w:usb3="00000000" w:csb0="00040001" w:csb1="00000000"/>
  </w:font>
  <w:font w:name="方正书宋_GBK">
    <w:panose1 w:val="02000000000000000000"/>
    <w:charset w:val="86"/>
    <w:family w:val="script"/>
    <w:pitch w:val="default"/>
    <w:sig w:usb0="A00002BF" w:usb1="38CF7CFA" w:usb2="00082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3576F4"/>
    <w:rsid w:val="00071288"/>
    <w:rsid w:val="000B3C55"/>
    <w:rsid w:val="000E14DE"/>
    <w:rsid w:val="0012404D"/>
    <w:rsid w:val="00187BA2"/>
    <w:rsid w:val="00202AA8"/>
    <w:rsid w:val="00235D6E"/>
    <w:rsid w:val="002529A3"/>
    <w:rsid w:val="00284CD4"/>
    <w:rsid w:val="002940C5"/>
    <w:rsid w:val="0031526D"/>
    <w:rsid w:val="00345A4D"/>
    <w:rsid w:val="003576F4"/>
    <w:rsid w:val="003A2BA9"/>
    <w:rsid w:val="00437FEC"/>
    <w:rsid w:val="004A5E16"/>
    <w:rsid w:val="00551A0D"/>
    <w:rsid w:val="0063034A"/>
    <w:rsid w:val="00664920"/>
    <w:rsid w:val="006A2358"/>
    <w:rsid w:val="00705260"/>
    <w:rsid w:val="00832657"/>
    <w:rsid w:val="008618C0"/>
    <w:rsid w:val="00916BC2"/>
    <w:rsid w:val="009969B9"/>
    <w:rsid w:val="009B6565"/>
    <w:rsid w:val="009D7374"/>
    <w:rsid w:val="00A23A45"/>
    <w:rsid w:val="00AC22AE"/>
    <w:rsid w:val="00C42BCB"/>
    <w:rsid w:val="00C50826"/>
    <w:rsid w:val="00D506ED"/>
    <w:rsid w:val="00D77FCE"/>
    <w:rsid w:val="00F418AC"/>
    <w:rsid w:val="35E939FB"/>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footer"/>
    <w:basedOn w:val="1"/>
    <w:link w:val="7"/>
    <w:unhideWhenUsed/>
    <w:uiPriority w:val="99"/>
    <w:pPr>
      <w:tabs>
        <w:tab w:val="center" w:pos="4153"/>
        <w:tab w:val="right" w:pos="8306"/>
      </w:tabs>
      <w:snapToGrid w:val="0"/>
      <w:jc w:val="left"/>
    </w:pPr>
    <w:rPr>
      <w:sz w:val="18"/>
      <w:szCs w:val="18"/>
    </w:rPr>
  </w:style>
  <w:style w:type="paragraph" w:styleId="3">
    <w:name w:val="header"/>
    <w:basedOn w:val="1"/>
    <w:link w:val="6"/>
    <w:unhideWhenUsed/>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uiPriority w:val="99"/>
    <w:rPr>
      <w:rFonts w:ascii="Times New Roman" w:hAnsi="Times New Roman" w:eastAsia="宋体" w:cs="Times New Roman"/>
      <w:sz w:val="18"/>
      <w:szCs w:val="18"/>
    </w:rPr>
  </w:style>
  <w:style w:type="character" w:customStyle="1" w:styleId="7">
    <w:name w:val="页脚 Char"/>
    <w:basedOn w:val="5"/>
    <w:link w:val="2"/>
    <w:uiPriority w:val="99"/>
    <w:rPr>
      <w:rFonts w:ascii="Times New Roman" w:hAnsi="Times New Roman" w:eastAsia="宋体" w:cs="Times New Roman"/>
      <w:sz w:val="18"/>
      <w:szCs w:val="18"/>
    </w:rPr>
  </w:style>
  <w:style w:type="paragraph" w:styleId="8">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微软中国</Company>
  <Pages>11</Pages>
  <Words>551</Words>
  <Characters>3143</Characters>
  <Lines>26</Lines>
  <Paragraphs>7</Paragraphs>
  <TotalTime>245</TotalTime>
  <ScaleCrop>false</ScaleCrop>
  <LinksUpToDate>false</LinksUpToDate>
  <CharactersWithSpaces>3687</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2017-08-21T09:42:00Z</dcterms:created>
  <dc:creator>微软用户</dc:creator>
  <cp:lastModifiedBy>雾野sama公子白?</cp:lastModifiedBy>
  <dcterms:modified xsi:type="dcterms:W3CDTF">2024-01-04T06:27:55Z</dcterms:modified>
  <cp:revision>30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8A9F86629A33452E859596937FE2ACC4</vt:lpwstr>
  </property>
</Properties>
</file>