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cs="宋体"/>
          <w:b/>
          <w:bCs/>
          <w:sz w:val="44"/>
          <w:szCs w:val="44"/>
        </w:rPr>
      </w:pPr>
    </w:p>
    <w:p>
      <w:pPr>
        <w:ind w:firstLine="4996" w:firstLineChars="1131"/>
        <w:rPr>
          <w:rFonts w:ascii="宋体" w:cs="宋体"/>
          <w:b/>
          <w:bCs/>
          <w:sz w:val="44"/>
          <w:szCs w:val="44"/>
        </w:rPr>
      </w:pPr>
      <w:r>
        <w:rPr>
          <w:rFonts w:hint="eastAsia" w:ascii="宋体" w:hAnsi="宋体" w:cs="宋体"/>
          <w:b/>
          <w:bCs/>
          <w:sz w:val="44"/>
          <w:szCs w:val="44"/>
        </w:rPr>
        <w:t>无极县工商业联合会</w:t>
      </w:r>
      <w:r>
        <w:rPr>
          <w:rFonts w:ascii="宋体" w:hAnsi="宋体" w:cs="宋体"/>
          <w:b/>
          <w:bCs/>
          <w:sz w:val="44"/>
          <w:szCs w:val="44"/>
        </w:rPr>
        <w:t xml:space="preserve">   </w:t>
      </w:r>
    </w:p>
    <w:p>
      <w:pPr>
        <w:jc w:val="center"/>
        <w:rPr>
          <w:rFonts w:ascii="宋体" w:cs="宋体"/>
          <w:b/>
          <w:bCs/>
          <w:sz w:val="44"/>
          <w:szCs w:val="44"/>
        </w:rPr>
      </w:pPr>
      <w:bookmarkStart w:id="0" w:name="_GoBack"/>
      <w:r>
        <w:rPr>
          <w:rFonts w:ascii="宋体" w:hAnsi="宋体" w:cs="宋体"/>
          <w:b/>
          <w:bCs/>
          <w:sz w:val="44"/>
          <w:szCs w:val="44"/>
        </w:rPr>
        <w:t>2017</w:t>
      </w:r>
      <w:r>
        <w:rPr>
          <w:rFonts w:hint="eastAsia" w:ascii="宋体" w:hAnsi="宋体" w:cs="宋体"/>
          <w:b/>
          <w:bCs/>
          <w:sz w:val="44"/>
          <w:szCs w:val="44"/>
        </w:rPr>
        <w:t>年部门预算信息公开说明目录</w:t>
      </w:r>
    </w:p>
    <w:bookmarkEnd w:id="0"/>
    <w:p/>
    <w:p/>
    <w:p/>
    <w:p>
      <w:pPr>
        <w:ind w:firstLine="640" w:firstLineChars="200"/>
        <w:rPr>
          <w:rFonts w:ascii="宋体" w:cs="仿宋_GB2312"/>
          <w:sz w:val="32"/>
          <w:szCs w:val="32"/>
        </w:rPr>
      </w:pPr>
      <w:r>
        <w:rPr>
          <w:rFonts w:hint="eastAsia" w:ascii="宋体" w:hAnsi="宋体" w:cs="仿宋_GB2312"/>
          <w:sz w:val="32"/>
          <w:szCs w:val="32"/>
        </w:rPr>
        <w:t>一、部门职责及机构设置情况</w:t>
      </w:r>
    </w:p>
    <w:p>
      <w:pPr>
        <w:ind w:firstLine="640" w:firstLineChars="200"/>
        <w:rPr>
          <w:rFonts w:ascii="宋体" w:cs="仿宋_GB2312"/>
          <w:sz w:val="32"/>
          <w:szCs w:val="32"/>
        </w:rPr>
      </w:pPr>
      <w:r>
        <w:rPr>
          <w:rFonts w:hint="eastAsia" w:ascii="宋体" w:hAnsi="宋体" w:cs="仿宋_GB2312"/>
          <w:sz w:val="32"/>
          <w:szCs w:val="32"/>
        </w:rPr>
        <w:t>二、部门预算安排的总体情况</w:t>
      </w:r>
    </w:p>
    <w:p>
      <w:pPr>
        <w:ind w:firstLine="640" w:firstLineChars="200"/>
        <w:rPr>
          <w:rFonts w:ascii="宋体" w:cs="仿宋_GB2312"/>
          <w:sz w:val="32"/>
          <w:szCs w:val="32"/>
        </w:rPr>
      </w:pPr>
      <w:r>
        <w:rPr>
          <w:rFonts w:hint="eastAsia" w:ascii="宋体" w:hAnsi="宋体" w:cs="仿宋_GB2312"/>
          <w:sz w:val="32"/>
          <w:szCs w:val="32"/>
        </w:rPr>
        <w:t>三、机关运行经费安排情况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四、财政拨款“三公”经费预算情况及增减变化原因</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五、绩效预算信息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六、政府采购预算情况</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七、国有资产信息</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八、名词解释</w:t>
      </w:r>
    </w:p>
    <w:p>
      <w:pPr>
        <w:autoSpaceDE w:val="0"/>
        <w:autoSpaceDN w:val="0"/>
        <w:adjustRightInd w:val="0"/>
        <w:ind w:firstLine="640" w:firstLineChars="200"/>
        <w:jc w:val="left"/>
        <w:rPr>
          <w:rFonts w:ascii="宋体" w:cs="仿宋_GB2312"/>
          <w:sz w:val="32"/>
          <w:szCs w:val="32"/>
        </w:rPr>
      </w:pPr>
      <w:r>
        <w:rPr>
          <w:rFonts w:hint="eastAsia" w:ascii="宋体" w:hAnsi="宋体" w:cs="仿宋_GB2312"/>
          <w:sz w:val="32"/>
          <w:szCs w:val="32"/>
        </w:rPr>
        <w:t>九、其他需要说明的事项</w:t>
      </w:r>
    </w:p>
    <w:p>
      <w:pPr>
        <w:autoSpaceDE w:val="0"/>
        <w:autoSpaceDN w:val="0"/>
        <w:adjustRightInd w:val="0"/>
        <w:ind w:firstLine="640" w:firstLineChars="200"/>
        <w:jc w:val="left"/>
        <w:rPr>
          <w:rFonts w:ascii="宋体" w:cs="仿宋_GB2312"/>
          <w:sz w:val="32"/>
          <w:szCs w:val="32"/>
        </w:rPr>
      </w:pPr>
    </w:p>
    <w:p/>
    <w:p>
      <w:pPr>
        <w:ind w:firstLine="640" w:firstLineChars="200"/>
        <w:rPr>
          <w:rFonts w:ascii="仿宋_GB2312" w:hAnsi="仿宋" w:eastAsia="仿宋_GB2312" w:cs="仿宋"/>
          <w:sz w:val="32"/>
          <w:szCs w:val="32"/>
        </w:rPr>
      </w:pPr>
      <w:r>
        <w:rPr>
          <w:rFonts w:hint="eastAsia" w:ascii="宋体" w:hAnsi="宋体" w:cs="仿宋_GB2312"/>
          <w:sz w:val="32"/>
          <w:szCs w:val="32"/>
        </w:rPr>
        <w:t>按照</w:t>
      </w:r>
      <w:r>
        <w:rPr>
          <w:rFonts w:hint="eastAsia" w:ascii="宋体" w:hAnsi="宋体" w:cs="仿宋_GB2312"/>
          <w:sz w:val="32"/>
          <w:szCs w:val="32"/>
          <w:lang w:eastAsia="zh-CN"/>
        </w:rPr>
        <w:t>《中华人民共和国预算法》</w:t>
      </w:r>
      <w:r>
        <w:rPr>
          <w:rFonts w:hint="eastAsia" w:ascii="宋体" w:hAnsi="宋体" w:cs="仿宋_GB2312"/>
          <w:sz w:val="32"/>
          <w:szCs w:val="32"/>
        </w:rPr>
        <w:t>、《地方预决算公开操作规程》和《河北省省级预算公开办法》规定，现将无极县工商业联合会</w:t>
      </w:r>
      <w:r>
        <w:rPr>
          <w:rFonts w:ascii="宋体" w:hAnsi="宋体" w:cs="仿宋_GB2312"/>
          <w:sz w:val="32"/>
          <w:szCs w:val="32"/>
        </w:rPr>
        <w:t>2017</w:t>
      </w:r>
      <w:r>
        <w:rPr>
          <w:rFonts w:hint="eastAsia" w:ascii="宋体" w:hAnsi="宋体" w:cs="仿宋_GB2312"/>
          <w:sz w:val="32"/>
          <w:szCs w:val="32"/>
        </w:rPr>
        <w:t>年部门预算公开如下：</w:t>
      </w:r>
    </w:p>
    <w:p>
      <w:pPr>
        <w:ind w:left="800"/>
        <w:rPr>
          <w:rFonts w:ascii="黑体" w:hAnsi="黑体" w:eastAsia="黑体" w:cs="仿宋_GB2312"/>
          <w:sz w:val="32"/>
          <w:szCs w:val="32"/>
        </w:rPr>
      </w:pPr>
      <w:r>
        <w:rPr>
          <w:rFonts w:hint="eastAsia" w:ascii="黑体" w:hAnsi="黑体" w:eastAsia="黑体" w:cs="仿宋_GB2312"/>
          <w:sz w:val="32"/>
          <w:szCs w:val="32"/>
        </w:rPr>
        <w:t>一、部门职责及机构设置情况</w:t>
      </w:r>
    </w:p>
    <w:p>
      <w:pPr>
        <w:ind w:firstLine="645"/>
        <w:rPr>
          <w:rFonts w:ascii="楷体" w:hAnsi="楷体" w:eastAsia="楷体" w:cs="仿宋_GB2312"/>
          <w:sz w:val="32"/>
          <w:szCs w:val="32"/>
        </w:rPr>
      </w:pPr>
      <w:r>
        <w:rPr>
          <w:rFonts w:hint="eastAsia" w:ascii="楷体" w:hAnsi="楷体" w:eastAsia="楷体" w:cs="仿宋_GB2312"/>
          <w:sz w:val="32"/>
          <w:szCs w:val="32"/>
        </w:rPr>
        <w:t>（一）部门职责</w:t>
      </w:r>
    </w:p>
    <w:p>
      <w:pPr>
        <w:ind w:firstLine="640" w:firstLineChars="200"/>
        <w:rPr>
          <w:rFonts w:ascii="仿宋" w:hAnsi="仿宋" w:eastAsia="仿宋" w:cs="仿宋_GB2312"/>
          <w:sz w:val="32"/>
          <w:szCs w:val="32"/>
        </w:rPr>
      </w:pPr>
      <w:r>
        <w:rPr>
          <w:rFonts w:hint="eastAsia" w:ascii="仿宋" w:hAnsi="仿宋" w:eastAsia="仿宋" w:cs="仿宋_GB2312"/>
          <w:sz w:val="32"/>
          <w:szCs w:val="32"/>
        </w:rPr>
        <w:t>做为县委、县政府联系非公有制经济的“桥梁”和“纽带”。帮助政府管理、服务、协调非公有制经济的“助手”。维护非公有制经济人士的合法权益，参政议政，倡导光彩事业活动。</w:t>
      </w:r>
    </w:p>
    <w:p>
      <w:pPr>
        <w:ind w:firstLine="645"/>
        <w:rPr>
          <w:rFonts w:ascii="楷体" w:hAnsi="楷体" w:eastAsia="楷体" w:cs="仿宋_GB2312"/>
          <w:sz w:val="32"/>
          <w:szCs w:val="32"/>
        </w:rPr>
      </w:pPr>
      <w:r>
        <w:rPr>
          <w:rFonts w:hint="eastAsia" w:ascii="楷体" w:hAnsi="楷体" w:eastAsia="楷体" w:cs="仿宋_GB2312"/>
          <w:sz w:val="32"/>
          <w:szCs w:val="32"/>
        </w:rPr>
        <w:t>（二）机构设置</w:t>
      </w:r>
    </w:p>
    <w:p>
      <w:pPr>
        <w:jc w:val="center"/>
        <w:outlineLvl w:val="0"/>
        <w:rPr>
          <w:rFonts w:ascii="仿宋" w:hAnsi="仿宋" w:eastAsia="仿宋" w:cs="仿宋"/>
          <w:sz w:val="32"/>
          <w:szCs w:val="32"/>
        </w:rPr>
      </w:pPr>
      <w:r>
        <w:rPr>
          <w:rFonts w:hint="eastAsia" w:ascii="仿宋" w:hAnsi="仿宋" w:eastAsia="仿宋" w:cs="仿宋"/>
          <w:sz w:val="32"/>
          <w:szCs w:val="32"/>
        </w:rPr>
        <w:t>部门机构设置情况</w:t>
      </w:r>
    </w:p>
    <w:tbl>
      <w:tblPr>
        <w:tblStyle w:val="4"/>
        <w:tblW w:w="111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165"/>
        <w:gridCol w:w="2290"/>
        <w:gridCol w:w="1835"/>
        <w:gridCol w:w="282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165"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单位名称</w:t>
            </w:r>
          </w:p>
        </w:tc>
        <w:tc>
          <w:tcPr>
            <w:tcW w:w="2290"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单位性质</w:t>
            </w:r>
          </w:p>
        </w:tc>
        <w:tc>
          <w:tcPr>
            <w:tcW w:w="1835"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单位规格</w:t>
            </w:r>
          </w:p>
        </w:tc>
        <w:tc>
          <w:tcPr>
            <w:tcW w:w="2828" w:type="dxa"/>
            <w:vMerge w:val="restart"/>
            <w:vAlign w:val="center"/>
          </w:tcPr>
          <w:p>
            <w:pPr>
              <w:spacing w:line="300" w:lineRule="exact"/>
              <w:jc w:val="center"/>
              <w:rPr>
                <w:rFonts w:ascii="方正书宋_GBK" w:eastAsia="方正书宋_GBK"/>
                <w:b/>
                <w:sz w:val="28"/>
                <w:szCs w:val="28"/>
              </w:rPr>
            </w:pPr>
            <w:r>
              <w:rPr>
                <w:rFonts w:hint="eastAsia" w:ascii="方正书宋_GBK" w:eastAsia="方正书宋_GBK"/>
                <w:b/>
                <w:sz w:val="28"/>
                <w:szCs w:val="28"/>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12" w:hRule="atLeast"/>
          <w:tblHeader/>
          <w:jc w:val="center"/>
        </w:trPr>
        <w:tc>
          <w:tcPr>
            <w:tcW w:w="4165" w:type="dxa"/>
            <w:vMerge w:val="continue"/>
            <w:vAlign w:val="center"/>
          </w:tcPr>
          <w:p>
            <w:pPr>
              <w:spacing w:line="300" w:lineRule="exact"/>
              <w:jc w:val="left"/>
              <w:outlineLvl w:val="0"/>
              <w:rPr>
                <w:sz w:val="28"/>
                <w:szCs w:val="28"/>
              </w:rPr>
            </w:pPr>
          </w:p>
        </w:tc>
        <w:tc>
          <w:tcPr>
            <w:tcW w:w="2290" w:type="dxa"/>
            <w:vMerge w:val="continue"/>
            <w:vAlign w:val="center"/>
          </w:tcPr>
          <w:p>
            <w:pPr>
              <w:spacing w:line="300" w:lineRule="exact"/>
              <w:jc w:val="left"/>
              <w:outlineLvl w:val="0"/>
              <w:rPr>
                <w:sz w:val="28"/>
                <w:szCs w:val="28"/>
              </w:rPr>
            </w:pPr>
          </w:p>
        </w:tc>
        <w:tc>
          <w:tcPr>
            <w:tcW w:w="1835" w:type="dxa"/>
            <w:vMerge w:val="continue"/>
            <w:vAlign w:val="center"/>
          </w:tcPr>
          <w:p>
            <w:pPr>
              <w:spacing w:line="300" w:lineRule="exact"/>
              <w:jc w:val="left"/>
              <w:outlineLvl w:val="0"/>
              <w:rPr>
                <w:sz w:val="28"/>
                <w:szCs w:val="28"/>
              </w:rPr>
            </w:pPr>
          </w:p>
        </w:tc>
        <w:tc>
          <w:tcPr>
            <w:tcW w:w="2828" w:type="dxa"/>
            <w:vMerge w:val="continue"/>
            <w:vAlign w:val="center"/>
          </w:tcPr>
          <w:p>
            <w:pPr>
              <w:spacing w:line="300" w:lineRule="exact"/>
              <w:jc w:val="left"/>
              <w:outlineLvl w:val="0"/>
              <w:rPr>
                <w:sz w:val="28"/>
                <w:szCs w:val="28"/>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780" w:hRule="atLeast"/>
          <w:jc w:val="center"/>
        </w:trPr>
        <w:tc>
          <w:tcPr>
            <w:tcW w:w="4165" w:type="dxa"/>
            <w:vAlign w:val="center"/>
          </w:tcPr>
          <w:p>
            <w:pPr>
              <w:spacing w:line="300" w:lineRule="exact"/>
              <w:jc w:val="left"/>
              <w:rPr>
                <w:rFonts w:ascii="方正书宋_GBK" w:eastAsia="方正书宋_GBK"/>
                <w:sz w:val="28"/>
                <w:szCs w:val="28"/>
              </w:rPr>
            </w:pPr>
            <w:r>
              <w:rPr>
                <w:rFonts w:hint="eastAsia" w:ascii="方正书宋_GBK" w:eastAsia="方正书宋_GBK"/>
                <w:sz w:val="28"/>
                <w:szCs w:val="28"/>
              </w:rPr>
              <w:t>无极县工商业联合会</w:t>
            </w:r>
          </w:p>
        </w:tc>
        <w:tc>
          <w:tcPr>
            <w:tcW w:w="2290"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行政</w:t>
            </w:r>
          </w:p>
        </w:tc>
        <w:tc>
          <w:tcPr>
            <w:tcW w:w="1835"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正科级</w:t>
            </w:r>
          </w:p>
        </w:tc>
        <w:tc>
          <w:tcPr>
            <w:tcW w:w="2828" w:type="dxa"/>
            <w:vAlign w:val="center"/>
          </w:tcPr>
          <w:p>
            <w:pPr>
              <w:spacing w:line="300" w:lineRule="exact"/>
              <w:jc w:val="center"/>
              <w:rPr>
                <w:rFonts w:ascii="方正书宋_GBK" w:eastAsia="方正书宋_GBK"/>
                <w:sz w:val="28"/>
                <w:szCs w:val="28"/>
              </w:rPr>
            </w:pPr>
            <w:r>
              <w:rPr>
                <w:rFonts w:hint="eastAsia" w:ascii="方正书宋_GBK" w:eastAsia="方正书宋_GBK"/>
                <w:sz w:val="28"/>
                <w:szCs w:val="28"/>
              </w:rPr>
              <w:t>财政拨款</w:t>
            </w:r>
          </w:p>
        </w:tc>
      </w:tr>
    </w:tbl>
    <w:p>
      <w:pPr>
        <w:rPr>
          <w:rFonts w:ascii="楷体" w:hAnsi="楷体" w:eastAsia="楷体" w:cs="仿宋_GB2312"/>
          <w:sz w:val="32"/>
          <w:szCs w:val="32"/>
        </w:rPr>
      </w:pPr>
    </w:p>
    <w:p>
      <w:pPr>
        <w:ind w:firstLine="640" w:firstLineChars="200"/>
        <w:rPr>
          <w:rFonts w:ascii="黑体" w:hAnsi="黑体" w:eastAsia="黑体" w:cs="仿宋_GB2312"/>
          <w:sz w:val="32"/>
          <w:szCs w:val="32"/>
        </w:rPr>
      </w:pPr>
      <w:r>
        <w:rPr>
          <w:rFonts w:hint="eastAsia" w:ascii="黑体" w:hAnsi="黑体" w:eastAsia="黑体" w:cs="仿宋_GB2312"/>
          <w:sz w:val="32"/>
          <w:szCs w:val="32"/>
        </w:rPr>
        <w:t>二、部门预算安排的总体情况</w:t>
      </w:r>
    </w:p>
    <w:p>
      <w:pPr>
        <w:ind w:firstLine="640" w:firstLineChars="200"/>
        <w:rPr>
          <w:rFonts w:ascii="黑体" w:hAnsi="仿宋_GB2312" w:eastAsia="黑体" w:cs="仿宋_GB2312"/>
          <w:sz w:val="30"/>
          <w:szCs w:val="30"/>
        </w:rPr>
      </w:pPr>
      <w:r>
        <w:rPr>
          <w:rFonts w:hint="eastAsia" w:ascii="仿宋" w:hAnsi="仿宋" w:eastAsia="仿宋" w:cs="仿宋_GB2312"/>
          <w:sz w:val="32"/>
          <w:szCs w:val="32"/>
        </w:rPr>
        <w:t>按照预算管理有关规定，目前我县部门预算的编制实行综合预算制度，即全部收入和支出都反映在预算里，我部门及所属单位所有收支都包含在部门预算中</w:t>
      </w:r>
      <w:r>
        <w:rPr>
          <w:rFonts w:hint="eastAsia" w:ascii="黑体" w:hAnsi="仿宋_GB2312" w:eastAsia="黑体" w:cs="仿宋_GB2312"/>
          <w:sz w:val="30"/>
          <w:szCs w:val="30"/>
        </w:rPr>
        <w:t>。</w:t>
      </w:r>
    </w:p>
    <w:p>
      <w:pPr>
        <w:rPr>
          <w:rFonts w:ascii="楷体" w:hAnsi="楷体" w:eastAsia="楷体" w:cs="仿宋_GB2312"/>
          <w:sz w:val="32"/>
          <w:szCs w:val="32"/>
        </w:rPr>
      </w:pPr>
      <w:r>
        <w:rPr>
          <w:rFonts w:ascii="楷体" w:hAnsi="楷体" w:eastAsia="楷体" w:cs="仿宋_GB2312"/>
          <w:sz w:val="32"/>
          <w:szCs w:val="32"/>
        </w:rPr>
        <w:t xml:space="preserve">    </w:t>
      </w:r>
      <w:r>
        <w:rPr>
          <w:rFonts w:hint="eastAsia" w:ascii="楷体" w:hAnsi="楷体" w:eastAsia="楷体" w:cs="仿宋_GB2312"/>
          <w:sz w:val="32"/>
          <w:szCs w:val="32"/>
        </w:rPr>
        <w:t>（一）收入说明</w:t>
      </w:r>
    </w:p>
    <w:p>
      <w:pPr>
        <w:ind w:firstLine="102" w:firstLineChars="32"/>
        <w:rPr>
          <w:rFonts w:ascii="仿宋" w:hAnsi="仿宋" w:eastAsia="仿宋" w:cs="仿宋_GB2312"/>
          <w:sz w:val="32"/>
          <w:szCs w:val="32"/>
        </w:rPr>
      </w:pPr>
      <w:r>
        <w:rPr>
          <w:rFonts w:hint="eastAsia" w:ascii="仿宋" w:hAnsi="仿宋" w:eastAsia="仿宋" w:cs="仿宋_GB2312"/>
          <w:sz w:val="32"/>
          <w:szCs w:val="32"/>
        </w:rPr>
        <w:t xml:space="preserve">    无极县工商联</w:t>
      </w:r>
      <w:r>
        <w:rPr>
          <w:rFonts w:ascii="仿宋" w:hAnsi="仿宋" w:eastAsia="仿宋" w:cs="仿宋_GB2312"/>
          <w:sz w:val="32"/>
          <w:szCs w:val="32"/>
        </w:rPr>
        <w:t>2017</w:t>
      </w:r>
      <w:r>
        <w:rPr>
          <w:rFonts w:hint="eastAsia" w:ascii="仿宋" w:hAnsi="仿宋" w:eastAsia="仿宋" w:cs="仿宋_GB2312"/>
          <w:sz w:val="32"/>
          <w:szCs w:val="32"/>
        </w:rPr>
        <w:t>年预算收入总计</w:t>
      </w:r>
      <w:r>
        <w:rPr>
          <w:rFonts w:ascii="仿宋" w:hAnsi="仿宋" w:eastAsia="仿宋" w:cs="仿宋_GB2312"/>
          <w:sz w:val="32"/>
          <w:szCs w:val="32"/>
        </w:rPr>
        <w:t>46.19</w:t>
      </w:r>
      <w:r>
        <w:rPr>
          <w:rFonts w:hint="eastAsia" w:ascii="仿宋" w:hAnsi="仿宋" w:eastAsia="仿宋" w:cs="仿宋_GB2312"/>
          <w:sz w:val="32"/>
          <w:szCs w:val="32"/>
        </w:rPr>
        <w:t>万元。其中，一般公共预算收入</w:t>
      </w:r>
      <w:r>
        <w:rPr>
          <w:rFonts w:ascii="仿宋" w:hAnsi="仿宋" w:eastAsia="仿宋" w:cs="仿宋_GB2312"/>
          <w:sz w:val="32"/>
          <w:szCs w:val="32"/>
        </w:rPr>
        <w:t>46.19</w:t>
      </w:r>
      <w:r>
        <w:rPr>
          <w:rFonts w:hint="eastAsia" w:ascii="仿宋" w:hAnsi="仿宋" w:eastAsia="仿宋" w:cs="仿宋_GB2312"/>
          <w:sz w:val="32"/>
          <w:szCs w:val="32"/>
        </w:rPr>
        <w:t>万元、政府性基金收入</w:t>
      </w:r>
      <w:r>
        <w:rPr>
          <w:rFonts w:ascii="仿宋" w:hAnsi="仿宋" w:eastAsia="仿宋" w:cs="仿宋_GB2312"/>
          <w:sz w:val="32"/>
          <w:szCs w:val="32"/>
        </w:rPr>
        <w:t>0</w:t>
      </w:r>
      <w:r>
        <w:rPr>
          <w:rFonts w:hint="eastAsia" w:ascii="仿宋" w:hAnsi="仿宋" w:eastAsia="仿宋" w:cs="仿宋_GB2312"/>
          <w:sz w:val="32"/>
          <w:szCs w:val="32"/>
        </w:rPr>
        <w:t>万元、财政专户核拨收入</w:t>
      </w:r>
      <w:r>
        <w:rPr>
          <w:rFonts w:ascii="仿宋" w:hAnsi="仿宋" w:eastAsia="仿宋" w:cs="仿宋_GB2312"/>
          <w:sz w:val="32"/>
          <w:szCs w:val="32"/>
        </w:rPr>
        <w:t>0</w:t>
      </w:r>
      <w:r>
        <w:rPr>
          <w:rFonts w:hint="eastAsia" w:ascii="仿宋" w:hAnsi="仿宋" w:eastAsia="仿宋" w:cs="仿宋_GB2312"/>
          <w:sz w:val="32"/>
          <w:szCs w:val="32"/>
        </w:rPr>
        <w:t>万元，其他来源收入</w:t>
      </w:r>
      <w:r>
        <w:rPr>
          <w:rFonts w:ascii="仿宋" w:hAnsi="仿宋" w:eastAsia="仿宋" w:cs="仿宋_GB2312"/>
          <w:sz w:val="32"/>
          <w:szCs w:val="32"/>
        </w:rPr>
        <w:t>0</w:t>
      </w:r>
      <w:r>
        <w:rPr>
          <w:rFonts w:hint="eastAsia" w:ascii="仿宋" w:hAnsi="仿宋" w:eastAsia="仿宋" w:cs="仿宋_GB2312"/>
          <w:sz w:val="32"/>
          <w:szCs w:val="32"/>
        </w:rPr>
        <w:t>万元。</w:t>
      </w:r>
    </w:p>
    <w:p>
      <w:pPr>
        <w:numPr>
          <w:ilvl w:val="0"/>
          <w:numId w:val="1"/>
        </w:numPr>
        <w:ind w:firstLine="645"/>
        <w:rPr>
          <w:rFonts w:ascii="楷体" w:hAnsi="楷体" w:eastAsia="楷体"/>
          <w:sz w:val="32"/>
          <w:szCs w:val="32"/>
        </w:rPr>
      </w:pPr>
      <w:r>
        <w:rPr>
          <w:rFonts w:hint="eastAsia" w:ascii="楷体" w:hAnsi="楷体" w:eastAsia="楷体"/>
          <w:sz w:val="32"/>
          <w:szCs w:val="32"/>
        </w:rPr>
        <w:t>支出说明</w:t>
      </w:r>
    </w:p>
    <w:p>
      <w:pPr>
        <w:ind w:firstLine="784" w:firstLineChars="245"/>
        <w:rPr>
          <w:rFonts w:ascii="仿宋" w:hAnsi="仿宋" w:eastAsia="仿宋" w:cs="仿宋_GB2312"/>
          <w:sz w:val="32"/>
          <w:szCs w:val="32"/>
        </w:rPr>
      </w:pPr>
      <w:r>
        <w:rPr>
          <w:rFonts w:ascii="仿宋" w:hAnsi="仿宋" w:eastAsia="仿宋" w:cs="仿宋_GB2312"/>
          <w:sz w:val="32"/>
          <w:szCs w:val="32"/>
        </w:rPr>
        <w:t>2017</w:t>
      </w:r>
      <w:r>
        <w:rPr>
          <w:rFonts w:hint="eastAsia" w:ascii="仿宋" w:hAnsi="仿宋" w:eastAsia="仿宋" w:cs="仿宋_GB2312"/>
          <w:sz w:val="32"/>
          <w:szCs w:val="32"/>
        </w:rPr>
        <w:t>年预算支出</w:t>
      </w:r>
      <w:r>
        <w:rPr>
          <w:rFonts w:ascii="仿宋" w:hAnsi="仿宋" w:eastAsia="仿宋" w:cs="仿宋_GB2312"/>
          <w:sz w:val="32"/>
          <w:szCs w:val="32"/>
        </w:rPr>
        <w:t>46.19</w:t>
      </w:r>
      <w:r>
        <w:rPr>
          <w:rFonts w:hint="eastAsia" w:ascii="仿宋" w:hAnsi="仿宋" w:eastAsia="仿宋" w:cs="仿宋_GB2312"/>
          <w:sz w:val="32"/>
          <w:szCs w:val="32"/>
        </w:rPr>
        <w:t>万元。其中，人员经费支出</w:t>
      </w:r>
      <w:r>
        <w:rPr>
          <w:rFonts w:ascii="仿宋" w:hAnsi="仿宋" w:eastAsia="仿宋" w:cs="仿宋_GB2312"/>
          <w:sz w:val="32"/>
          <w:szCs w:val="32"/>
        </w:rPr>
        <w:t>44.69</w:t>
      </w:r>
      <w:r>
        <w:rPr>
          <w:rFonts w:hint="eastAsia" w:ascii="仿宋" w:hAnsi="仿宋" w:eastAsia="仿宋" w:cs="仿宋_GB2312"/>
          <w:sz w:val="32"/>
          <w:szCs w:val="32"/>
        </w:rPr>
        <w:t>万元，正常公用经费</w:t>
      </w:r>
      <w:r>
        <w:rPr>
          <w:rFonts w:ascii="仿宋" w:hAnsi="仿宋" w:eastAsia="仿宋" w:cs="仿宋_GB2312"/>
          <w:sz w:val="32"/>
          <w:szCs w:val="32"/>
        </w:rPr>
        <w:t>1.5</w:t>
      </w:r>
      <w:r>
        <w:rPr>
          <w:rFonts w:hint="eastAsia" w:ascii="仿宋" w:hAnsi="仿宋" w:eastAsia="仿宋" w:cs="仿宋_GB2312"/>
          <w:sz w:val="32"/>
          <w:szCs w:val="32"/>
        </w:rPr>
        <w:t>万元，项目支出</w:t>
      </w:r>
      <w:r>
        <w:rPr>
          <w:rFonts w:ascii="仿宋" w:hAnsi="仿宋" w:eastAsia="仿宋" w:cs="仿宋_GB2312"/>
          <w:sz w:val="32"/>
          <w:szCs w:val="32"/>
        </w:rPr>
        <w:t>0</w:t>
      </w:r>
      <w:r>
        <w:rPr>
          <w:rFonts w:hint="eastAsia" w:ascii="仿宋" w:hAnsi="仿宋" w:eastAsia="仿宋" w:cs="仿宋_GB2312"/>
          <w:sz w:val="32"/>
          <w:szCs w:val="32"/>
        </w:rPr>
        <w:t>万元。</w:t>
      </w:r>
    </w:p>
    <w:p>
      <w:pPr>
        <w:numPr>
          <w:ilvl w:val="0"/>
          <w:numId w:val="2"/>
        </w:numPr>
        <w:ind w:firstLine="645"/>
        <w:rPr>
          <w:rFonts w:ascii="楷体" w:hAnsi="楷体" w:eastAsia="楷体"/>
          <w:sz w:val="32"/>
          <w:szCs w:val="32"/>
        </w:rPr>
      </w:pPr>
      <w:r>
        <w:rPr>
          <w:rFonts w:hint="eastAsia" w:ascii="楷体" w:hAnsi="楷体" w:eastAsia="楷体"/>
          <w:sz w:val="32"/>
          <w:szCs w:val="32"/>
        </w:rPr>
        <w:t>比上年增减情况</w:t>
      </w:r>
    </w:p>
    <w:p>
      <w:pPr>
        <w:ind w:firstLine="102" w:firstLineChars="32"/>
        <w:rPr>
          <w:rFonts w:ascii="仿宋" w:hAnsi="仿宋" w:eastAsia="仿宋" w:cs="仿宋_GB2312"/>
          <w:sz w:val="32"/>
          <w:szCs w:val="32"/>
        </w:rPr>
      </w:pPr>
      <w:r>
        <w:rPr>
          <w:rFonts w:ascii="仿宋_GB2312" w:eastAsia="仿宋_GB2312" w:cs="仿宋_GB2312"/>
          <w:bCs/>
          <w:sz w:val="32"/>
          <w:szCs w:val="32"/>
        </w:rPr>
        <w:t xml:space="preserve">    </w:t>
      </w:r>
      <w:r>
        <w:rPr>
          <w:rFonts w:ascii="仿宋" w:hAnsi="仿宋" w:eastAsia="仿宋" w:cs="仿宋_GB2312"/>
          <w:sz w:val="32"/>
          <w:szCs w:val="32"/>
        </w:rPr>
        <w:t>2017</w:t>
      </w:r>
      <w:r>
        <w:rPr>
          <w:rFonts w:hint="eastAsia" w:ascii="仿宋" w:hAnsi="仿宋" w:eastAsia="仿宋" w:cs="仿宋_GB2312"/>
          <w:sz w:val="32"/>
          <w:szCs w:val="32"/>
        </w:rPr>
        <w:t>年预算收入总计</w:t>
      </w:r>
      <w:r>
        <w:rPr>
          <w:rFonts w:ascii="仿宋" w:hAnsi="仿宋" w:eastAsia="仿宋" w:cs="仿宋_GB2312"/>
          <w:sz w:val="32"/>
          <w:szCs w:val="32"/>
        </w:rPr>
        <w:t>46.19</w:t>
      </w:r>
      <w:r>
        <w:rPr>
          <w:rFonts w:hint="eastAsia" w:ascii="仿宋" w:hAnsi="仿宋" w:eastAsia="仿宋" w:cs="仿宋_GB2312"/>
          <w:sz w:val="32"/>
          <w:szCs w:val="32"/>
        </w:rPr>
        <w:t>万元，与</w:t>
      </w:r>
      <w:r>
        <w:rPr>
          <w:rFonts w:ascii="仿宋" w:hAnsi="仿宋" w:eastAsia="仿宋" w:cs="仿宋_GB2312"/>
          <w:sz w:val="32"/>
          <w:szCs w:val="32"/>
        </w:rPr>
        <w:t>2016</w:t>
      </w:r>
      <w:r>
        <w:rPr>
          <w:rFonts w:hint="eastAsia" w:ascii="仿宋" w:hAnsi="仿宋" w:eastAsia="仿宋" w:cs="仿宋_GB2312"/>
          <w:sz w:val="32"/>
          <w:szCs w:val="32"/>
        </w:rPr>
        <w:t>年相比增加</w:t>
      </w:r>
      <w:r>
        <w:rPr>
          <w:rFonts w:ascii="仿宋" w:hAnsi="仿宋" w:eastAsia="仿宋" w:cs="仿宋_GB2312"/>
          <w:sz w:val="32"/>
          <w:szCs w:val="32"/>
        </w:rPr>
        <w:t>10.47</w:t>
      </w:r>
      <w:r>
        <w:rPr>
          <w:rFonts w:hint="eastAsia" w:ascii="仿宋" w:hAnsi="仿宋" w:eastAsia="仿宋" w:cs="仿宋_GB2312"/>
          <w:sz w:val="32"/>
          <w:szCs w:val="32"/>
        </w:rPr>
        <w:t>万元，增加原因为工资改革，人员经费增加。</w:t>
      </w:r>
    </w:p>
    <w:p>
      <w:pPr>
        <w:ind w:firstLine="640" w:firstLineChars="200"/>
        <w:rPr>
          <w:rFonts w:ascii="黑体" w:hAnsi="黑体" w:eastAsia="黑体" w:cs="仿宋_GB2312"/>
          <w:sz w:val="32"/>
          <w:szCs w:val="32"/>
        </w:rPr>
      </w:pPr>
      <w:r>
        <w:rPr>
          <w:rFonts w:hint="eastAsia" w:ascii="黑体" w:hAnsi="黑体" w:eastAsia="黑体" w:cs="仿宋_GB2312"/>
          <w:sz w:val="32"/>
          <w:szCs w:val="32"/>
        </w:rPr>
        <w:t>三、机关运行经费安排情况</w:t>
      </w:r>
    </w:p>
    <w:p>
      <w:pPr>
        <w:adjustRightInd w:val="0"/>
        <w:snapToGrid w:val="0"/>
        <w:spacing w:line="600" w:lineRule="exact"/>
        <w:ind w:firstLine="732" w:firstLineChars="229"/>
        <w:jc w:val="left"/>
        <w:rPr>
          <w:rFonts w:ascii="仿宋" w:hAnsi="仿宋" w:eastAsia="仿宋"/>
          <w:sz w:val="32"/>
          <w:szCs w:val="32"/>
        </w:rPr>
      </w:pPr>
      <w:r>
        <w:rPr>
          <w:rFonts w:ascii="仿宋" w:hAnsi="仿宋" w:eastAsia="仿宋" w:cs="仿宋_GB2312"/>
          <w:sz w:val="32"/>
          <w:szCs w:val="32"/>
        </w:rPr>
        <w:t>2017</w:t>
      </w:r>
      <w:r>
        <w:rPr>
          <w:rFonts w:hint="eastAsia" w:ascii="仿宋" w:hAnsi="仿宋" w:eastAsia="仿宋" w:cs="仿宋_GB2312"/>
          <w:sz w:val="32"/>
          <w:szCs w:val="32"/>
        </w:rPr>
        <w:t>年机关运行经费共计安排</w:t>
      </w:r>
      <w:r>
        <w:rPr>
          <w:rFonts w:ascii="仿宋" w:hAnsi="仿宋" w:eastAsia="仿宋" w:cs="仿宋_GB2312"/>
          <w:sz w:val="32"/>
          <w:szCs w:val="32"/>
        </w:rPr>
        <w:t xml:space="preserve"> 1.06 </w:t>
      </w:r>
      <w:r>
        <w:rPr>
          <w:rFonts w:hint="eastAsia" w:ascii="仿宋" w:hAnsi="仿宋" w:eastAsia="仿宋" w:cs="仿宋_GB2312"/>
          <w:sz w:val="32"/>
          <w:szCs w:val="32"/>
        </w:rPr>
        <w:t>万元，主要用于我部门日常办公和邮电费的日常运行支出</w:t>
      </w:r>
      <w:r>
        <w:rPr>
          <w:rFonts w:hint="eastAsia" w:ascii="仿宋" w:hAnsi="仿宋" w:eastAsia="仿宋"/>
          <w:sz w:val="32"/>
          <w:szCs w:val="32"/>
        </w:rPr>
        <w:t>。</w:t>
      </w:r>
    </w:p>
    <w:p>
      <w:pPr>
        <w:numPr>
          <w:ilvl w:val="0"/>
          <w:numId w:val="3"/>
        </w:num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财政拨款“三公”经费预算情况及增减变化原因</w:t>
      </w:r>
    </w:p>
    <w:p>
      <w:pPr>
        <w:adjustRightInd w:val="0"/>
        <w:snapToGrid w:val="0"/>
        <w:spacing w:line="600" w:lineRule="exact"/>
        <w:ind w:firstLine="640" w:firstLineChars="200"/>
        <w:jc w:val="left"/>
        <w:rPr>
          <w:rFonts w:ascii="黑体" w:hAnsi="黑体" w:eastAsia="黑体" w:cs="仿宋_GB2312"/>
          <w:sz w:val="32"/>
          <w:szCs w:val="32"/>
        </w:rPr>
      </w:pPr>
      <w:r>
        <w:rPr>
          <w:rFonts w:ascii="仿宋" w:hAnsi="仿宋" w:eastAsia="仿宋" w:cs="仿宋_GB2312"/>
          <w:sz w:val="32"/>
          <w:szCs w:val="32"/>
        </w:rPr>
        <w:t>2017</w:t>
      </w:r>
      <w:r>
        <w:rPr>
          <w:rFonts w:hint="eastAsia" w:ascii="仿宋" w:hAnsi="仿宋" w:eastAsia="仿宋" w:cs="仿宋_GB2312"/>
          <w:sz w:val="32"/>
          <w:szCs w:val="32"/>
        </w:rPr>
        <w:t>年“三公”经费支出</w:t>
      </w:r>
      <w:r>
        <w:rPr>
          <w:rFonts w:ascii="仿宋" w:hAnsi="仿宋" w:eastAsia="仿宋" w:cs="仿宋_GB2312"/>
          <w:sz w:val="32"/>
          <w:szCs w:val="32"/>
        </w:rPr>
        <w:t>0</w:t>
      </w:r>
      <w:r>
        <w:rPr>
          <w:rFonts w:hint="eastAsia" w:ascii="仿宋" w:hAnsi="仿宋" w:eastAsia="仿宋" w:cs="仿宋_GB2312"/>
          <w:sz w:val="32"/>
          <w:szCs w:val="32"/>
        </w:rPr>
        <w:t>万元。其中，因公出国（境）费</w:t>
      </w:r>
      <w:r>
        <w:rPr>
          <w:rFonts w:ascii="仿宋" w:hAnsi="仿宋" w:eastAsia="仿宋" w:cs="仿宋_GB2312"/>
          <w:sz w:val="32"/>
          <w:szCs w:val="32"/>
        </w:rPr>
        <w:t>0</w:t>
      </w:r>
      <w:r>
        <w:rPr>
          <w:rFonts w:hint="eastAsia" w:ascii="仿宋" w:hAnsi="仿宋" w:eastAsia="仿宋" w:cs="仿宋_GB2312"/>
          <w:sz w:val="32"/>
          <w:szCs w:val="32"/>
        </w:rPr>
        <w:t>万元；公务用车购置</w:t>
      </w:r>
      <w:r>
        <w:rPr>
          <w:rFonts w:ascii="仿宋" w:hAnsi="仿宋" w:eastAsia="仿宋" w:cs="仿宋_GB2312"/>
          <w:sz w:val="32"/>
          <w:szCs w:val="32"/>
        </w:rPr>
        <w:t>0</w:t>
      </w:r>
      <w:r>
        <w:rPr>
          <w:rFonts w:hint="eastAsia" w:ascii="仿宋" w:hAnsi="仿宋" w:eastAsia="仿宋" w:cs="仿宋_GB2312"/>
          <w:sz w:val="32"/>
          <w:szCs w:val="32"/>
        </w:rPr>
        <w:t>万元，公务用车运行维护费</w:t>
      </w:r>
      <w:r>
        <w:rPr>
          <w:rFonts w:ascii="仿宋" w:hAnsi="仿宋" w:eastAsia="仿宋" w:cs="仿宋_GB2312"/>
          <w:sz w:val="32"/>
          <w:szCs w:val="32"/>
        </w:rPr>
        <w:t>0</w:t>
      </w:r>
      <w:r>
        <w:rPr>
          <w:rFonts w:hint="eastAsia" w:ascii="仿宋" w:hAnsi="仿宋" w:eastAsia="仿宋" w:cs="仿宋_GB2312"/>
          <w:sz w:val="32"/>
          <w:szCs w:val="32"/>
        </w:rPr>
        <w:t>万元；公务接待费</w:t>
      </w:r>
      <w:r>
        <w:rPr>
          <w:rFonts w:ascii="仿宋" w:hAnsi="仿宋" w:eastAsia="仿宋" w:cs="仿宋_GB2312"/>
          <w:sz w:val="32"/>
          <w:szCs w:val="32"/>
        </w:rPr>
        <w:t>0</w:t>
      </w:r>
      <w:r>
        <w:rPr>
          <w:rFonts w:hint="eastAsia" w:ascii="仿宋" w:hAnsi="仿宋" w:eastAsia="仿宋" w:cs="仿宋_GB2312"/>
          <w:sz w:val="32"/>
          <w:szCs w:val="32"/>
        </w:rPr>
        <w:t>万元</w:t>
      </w:r>
      <w:r>
        <w:rPr>
          <w:rFonts w:hint="eastAsia" w:ascii="仿宋_GB2312" w:eastAsia="仿宋_GB2312" w:cs="仿宋_GB2312"/>
          <w:bCs/>
          <w:sz w:val="32"/>
          <w:szCs w:val="32"/>
        </w:rPr>
        <w:t>。与上年持平，无增减变化。</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五、绩效预算信息</w:t>
      </w:r>
    </w:p>
    <w:p>
      <w:pPr>
        <w:ind w:firstLine="645"/>
        <w:rPr>
          <w:rFonts w:ascii="楷体" w:hAnsi="楷体" w:eastAsia="楷体"/>
          <w:sz w:val="32"/>
          <w:szCs w:val="32"/>
        </w:rPr>
      </w:pPr>
      <w:r>
        <w:rPr>
          <w:rFonts w:hint="eastAsia" w:ascii="楷体" w:hAnsi="楷体" w:eastAsia="楷体"/>
          <w:sz w:val="32"/>
          <w:szCs w:val="32"/>
        </w:rPr>
        <w:t>（一）总体绩效目标</w:t>
      </w:r>
    </w:p>
    <w:p>
      <w:pPr>
        <w:adjustRightInd w:val="0"/>
        <w:snapToGrid w:val="0"/>
        <w:spacing w:line="600" w:lineRule="exact"/>
        <w:ind w:firstLine="720" w:firstLineChars="225"/>
        <w:jc w:val="left"/>
        <w:rPr>
          <w:rFonts w:ascii="仿宋" w:hAnsi="仿宋" w:eastAsia="仿宋" w:cs="仿宋_GB2312"/>
          <w:sz w:val="32"/>
          <w:szCs w:val="32"/>
        </w:rPr>
      </w:pPr>
      <w:r>
        <w:rPr>
          <w:rFonts w:hint="eastAsia" w:ascii="仿宋" w:hAnsi="仿宋" w:eastAsia="仿宋" w:cs="仿宋_GB2312"/>
          <w:sz w:val="32"/>
          <w:szCs w:val="32"/>
        </w:rPr>
        <w:t>工商业联合会是党领导的工商界组成的人民团体和民间商会，具有统战性、经济性、民间性相统一的特征，是党委、政府联系非公有制经济人士的桥梁和纽带。主要任务是：</w:t>
      </w:r>
    </w:p>
    <w:p>
      <w:pPr>
        <w:adjustRightInd w:val="0"/>
        <w:snapToGrid w:val="0"/>
        <w:spacing w:line="600"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一、参与县委、县政府大政方针及重要问题的政治协商，发挥民主监督作用，积极参政议政。</w:t>
      </w:r>
    </w:p>
    <w:p>
      <w:pPr>
        <w:adjustRightInd w:val="0"/>
        <w:snapToGrid w:val="0"/>
        <w:spacing w:line="600"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二、密切与会员的联系，畅通反映意见建议的渠道，表彰宣传先进典型，做好工商界代表人士政治安排的推荐工作。</w:t>
      </w:r>
    </w:p>
    <w:p>
      <w:pPr>
        <w:adjustRightInd w:val="0"/>
        <w:snapToGrid w:val="0"/>
        <w:spacing w:line="600"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三、加强和改进非公有制经济人士思想政治工作。引导会员学习贯彻党和国家的方针政策，自觉走共同富裕道路，爱国、敬业、诚信、守法、贡献，当好中国特色社会主义事业建设者。</w:t>
      </w:r>
      <w:r>
        <w:rPr>
          <w:rFonts w:ascii="仿宋" w:hAnsi="仿宋" w:eastAsia="仿宋" w:cs="仿宋_GB2312"/>
          <w:sz w:val="32"/>
          <w:szCs w:val="32"/>
        </w:rPr>
        <w:t xml:space="preserve"> </w:t>
      </w:r>
      <w:r>
        <w:rPr>
          <w:rFonts w:hint="eastAsia" w:ascii="仿宋" w:hAnsi="仿宋" w:eastAsia="仿宋" w:cs="仿宋_GB2312"/>
          <w:sz w:val="32"/>
          <w:szCs w:val="32"/>
        </w:rPr>
        <w:t>引导会员积极承担社会责任，加强企业文化建设，支持企业党建工作和工会建设。</w:t>
      </w:r>
    </w:p>
    <w:p>
      <w:pPr>
        <w:adjustRightInd w:val="0"/>
        <w:snapToGrid w:val="0"/>
        <w:spacing w:line="600"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四、引导会员按照科学发展观的要求，转变经济发展方式，重视生态环保，建立和谐劳动关系。遵守国家的法律、法规，规范经营、照章纳税，建立现代企业制度，维护市场经济秩序。</w:t>
      </w:r>
    </w:p>
    <w:p>
      <w:pPr>
        <w:adjustRightInd w:val="0"/>
        <w:snapToGrid w:val="0"/>
        <w:spacing w:line="600"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五、代表并维护会员的合法权益，反映会员的意见、要求和建议，参与经济纠纷的调解、仲裁。</w:t>
      </w:r>
    </w:p>
    <w:p>
      <w:pPr>
        <w:adjustRightInd w:val="0"/>
        <w:snapToGrid w:val="0"/>
        <w:spacing w:line="600" w:lineRule="exact"/>
        <w:ind w:firstLine="640" w:firstLineChars="200"/>
        <w:jc w:val="left"/>
        <w:rPr>
          <w:rFonts w:ascii="仿宋" w:hAnsi="仿宋" w:eastAsia="仿宋" w:cs="仿宋_GB2312"/>
          <w:sz w:val="32"/>
          <w:szCs w:val="32"/>
        </w:rPr>
      </w:pPr>
      <w:r>
        <w:rPr>
          <w:rFonts w:hint="eastAsia" w:ascii="仿宋" w:hAnsi="仿宋" w:eastAsia="仿宋" w:cs="仿宋_GB2312"/>
          <w:sz w:val="32"/>
          <w:szCs w:val="32"/>
        </w:rPr>
        <w:t>六、为会员提供培训、融资、科技、法律、信息咨询等服务，提供对内、对外经贸交流服务，提供公共关系沟通协调服务，帮助会员增强自主创新能力，提高核心竞争力和可持续发展能力。</w:t>
      </w:r>
    </w:p>
    <w:p>
      <w:pPr>
        <w:numPr>
          <w:ilvl w:val="0"/>
          <w:numId w:val="4"/>
        </w:numPr>
        <w:ind w:firstLine="645"/>
        <w:rPr>
          <w:rFonts w:ascii="楷体" w:hAnsi="楷体" w:eastAsia="楷体"/>
          <w:sz w:val="32"/>
          <w:szCs w:val="32"/>
        </w:rPr>
      </w:pPr>
      <w:r>
        <w:rPr>
          <w:rFonts w:hint="eastAsia" w:ascii="楷体" w:hAnsi="楷体" w:eastAsia="楷体"/>
          <w:sz w:val="32"/>
          <w:szCs w:val="32"/>
        </w:rPr>
        <w:t>职责分类绩效目标</w:t>
      </w:r>
    </w:p>
    <w:p>
      <w:pPr>
        <w:adjustRightInd w:val="0"/>
        <w:snapToGrid w:val="0"/>
        <w:spacing w:line="600" w:lineRule="exact"/>
        <w:ind w:firstLine="560" w:firstLineChars="200"/>
        <w:jc w:val="left"/>
        <w:rPr>
          <w:rFonts w:ascii="仿宋" w:hAnsi="仿宋" w:eastAsia="仿宋" w:cs="仿宋_GB2312"/>
          <w:sz w:val="32"/>
          <w:szCs w:val="32"/>
        </w:rPr>
      </w:pPr>
      <w:r>
        <w:rPr>
          <w:rFonts w:ascii="方正仿宋_GBK" w:eastAsia="方正仿宋_GBK"/>
          <w:sz w:val="28"/>
        </w:rPr>
        <w:t xml:space="preserve"> </w:t>
      </w:r>
      <w:r>
        <w:rPr>
          <w:rFonts w:hint="eastAsia" w:ascii="仿宋" w:hAnsi="仿宋" w:eastAsia="仿宋" w:cs="仿宋_GB2312"/>
          <w:sz w:val="32"/>
          <w:szCs w:val="32"/>
        </w:rPr>
        <w:t>在县委县政府的领导下，我们设立了</w:t>
      </w:r>
      <w:r>
        <w:rPr>
          <w:rFonts w:ascii="仿宋" w:hAnsi="仿宋" w:eastAsia="仿宋" w:cs="仿宋_GB2312"/>
          <w:sz w:val="32"/>
          <w:szCs w:val="32"/>
        </w:rPr>
        <w:t>1</w:t>
      </w:r>
      <w:r>
        <w:rPr>
          <w:rFonts w:hint="eastAsia" w:ascii="仿宋" w:hAnsi="仿宋" w:eastAsia="仿宋" w:cs="仿宋_GB2312"/>
          <w:sz w:val="32"/>
          <w:szCs w:val="32"/>
        </w:rPr>
        <w:t>、提升参政议政水平</w:t>
      </w:r>
      <w:r>
        <w:rPr>
          <w:rFonts w:ascii="仿宋" w:hAnsi="仿宋" w:eastAsia="仿宋" w:cs="仿宋_GB2312"/>
          <w:sz w:val="32"/>
          <w:szCs w:val="32"/>
        </w:rPr>
        <w:t>2</w:t>
      </w:r>
      <w:r>
        <w:rPr>
          <w:rFonts w:hint="eastAsia" w:ascii="仿宋" w:hAnsi="仿宋" w:eastAsia="仿宋" w:cs="仿宋_GB2312"/>
          <w:sz w:val="32"/>
          <w:szCs w:val="32"/>
        </w:rPr>
        <w:t>、助力京津冀三地民营企业发展</w:t>
      </w:r>
      <w:r>
        <w:rPr>
          <w:rFonts w:ascii="仿宋" w:hAnsi="仿宋" w:eastAsia="仿宋" w:cs="仿宋_GB2312"/>
          <w:sz w:val="32"/>
          <w:szCs w:val="32"/>
        </w:rPr>
        <w:t>3</w:t>
      </w:r>
      <w:r>
        <w:rPr>
          <w:rFonts w:hint="eastAsia" w:ascii="仿宋" w:hAnsi="仿宋" w:eastAsia="仿宋" w:cs="仿宋_GB2312"/>
          <w:sz w:val="32"/>
          <w:szCs w:val="32"/>
        </w:rPr>
        <w:t>、提升民营企业家素质三项目标。并设立了优良中差四个标准，力争完成任务。</w:t>
      </w:r>
    </w:p>
    <w:p>
      <w:pPr>
        <w:numPr>
          <w:ilvl w:val="0"/>
          <w:numId w:val="5"/>
        </w:numPr>
        <w:ind w:firstLine="645"/>
        <w:rPr>
          <w:rFonts w:ascii="楷体" w:hAnsi="楷体" w:eastAsia="楷体"/>
          <w:sz w:val="32"/>
          <w:szCs w:val="32"/>
        </w:rPr>
      </w:pPr>
      <w:r>
        <w:rPr>
          <w:rFonts w:hint="eastAsia" w:ascii="楷体" w:hAnsi="楷体" w:eastAsia="楷体"/>
          <w:sz w:val="32"/>
          <w:szCs w:val="32"/>
        </w:rPr>
        <w:t>部门职责</w:t>
      </w:r>
      <w:r>
        <w:rPr>
          <w:rFonts w:ascii="楷体" w:hAnsi="楷体" w:eastAsia="楷体"/>
          <w:sz w:val="32"/>
          <w:szCs w:val="32"/>
        </w:rPr>
        <w:t>-</w:t>
      </w:r>
      <w:r>
        <w:rPr>
          <w:rFonts w:hint="eastAsia" w:ascii="楷体" w:hAnsi="楷体" w:eastAsia="楷体"/>
          <w:sz w:val="32"/>
          <w:szCs w:val="32"/>
        </w:rPr>
        <w:t>工作活动绩效目标</w:t>
      </w:r>
    </w:p>
    <w:p>
      <w:pPr>
        <w:jc w:val="center"/>
        <w:outlineLvl w:val="0"/>
        <w:rPr>
          <w:rFonts w:ascii="仿宋" w:hAnsi="仿宋" w:eastAsia="仿宋"/>
          <w:sz w:val="32"/>
        </w:rPr>
      </w:pPr>
      <w:r>
        <w:rPr>
          <w:rFonts w:hint="eastAsia" w:ascii="仿宋" w:hAnsi="仿宋" w:eastAsia="仿宋"/>
          <w:sz w:val="32"/>
        </w:rPr>
        <w:t>部门职责</w:t>
      </w:r>
      <w:r>
        <w:rPr>
          <w:rFonts w:ascii="仿宋" w:hAnsi="仿宋" w:eastAsia="仿宋"/>
          <w:sz w:val="32"/>
        </w:rPr>
        <w:t>-</w:t>
      </w:r>
      <w:r>
        <w:rPr>
          <w:rFonts w:hint="eastAsia" w:ascii="仿宋" w:hAnsi="仿宋" w:eastAsia="仿宋"/>
          <w:sz w:val="32"/>
        </w:rPr>
        <w:t>工作活动绩效目标</w:t>
      </w:r>
    </w:p>
    <w:tbl>
      <w:tblPr>
        <w:tblStyle w:val="4"/>
        <w:tblW w:w="139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1417"/>
        <w:gridCol w:w="737"/>
        <w:gridCol w:w="737"/>
        <w:gridCol w:w="73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10986" w:type="dxa"/>
            <w:gridSpan w:val="5"/>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ascii="方正小标宋_GBK" w:eastAsia="方正小标宋_GBK"/>
                <w:sz w:val="24"/>
              </w:rPr>
              <w:t>714</w:t>
            </w:r>
            <w:r>
              <w:rPr>
                <w:rFonts w:hint="eastAsia" w:ascii="方正小标宋_GBK" w:eastAsia="方正小标宋_GBK"/>
                <w:sz w:val="24"/>
              </w:rPr>
              <w:t>工商联</w:t>
            </w:r>
          </w:p>
        </w:tc>
        <w:tc>
          <w:tcPr>
            <w:tcW w:w="2948" w:type="dxa"/>
            <w:gridSpan w:val="4"/>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ascii="方正书宋_GBK" w:eastAsia="方正书宋_GBK"/>
                <w:b/>
              </w:rPr>
            </w:pPr>
            <w:r>
              <w:rPr>
                <w:rFonts w:hint="eastAsia" w:ascii="方正书宋_GBK" w:eastAsia="方正书宋_GBK"/>
                <w:b/>
              </w:rPr>
              <w:t>职责活动</w:t>
            </w:r>
          </w:p>
        </w:tc>
        <w:tc>
          <w:tcPr>
            <w:tcW w:w="1276" w:type="dxa"/>
            <w:vMerge w:val="restart"/>
            <w:vAlign w:val="center"/>
          </w:tcPr>
          <w:p>
            <w:pPr>
              <w:spacing w:line="300" w:lineRule="exact"/>
              <w:jc w:val="center"/>
              <w:rPr>
                <w:rFonts w:ascii="方正书宋_GBK" w:eastAsia="方正书宋_GBK"/>
                <w:b/>
              </w:rPr>
            </w:pPr>
            <w:r>
              <w:rPr>
                <w:rFonts w:hint="eastAsia" w:ascii="方正书宋_GBK" w:eastAsia="方正书宋_GBK"/>
                <w:b/>
              </w:rPr>
              <w:t>年度预算数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内容描述</w:t>
            </w:r>
          </w:p>
        </w:tc>
        <w:tc>
          <w:tcPr>
            <w:tcW w:w="2976"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1417" w:type="dxa"/>
            <w:vMerge w:val="restart"/>
            <w:vAlign w:val="center"/>
          </w:tcPr>
          <w:p>
            <w:pPr>
              <w:spacing w:line="300" w:lineRule="exact"/>
              <w:jc w:val="center"/>
              <w:rPr>
                <w:rFonts w:ascii="方正书宋_GBK" w:eastAsia="方正书宋_GBK"/>
                <w:b/>
              </w:rPr>
            </w:pPr>
            <w:r>
              <w:rPr>
                <w:rFonts w:hint="eastAsia" w:ascii="方正书宋_GBK" w:eastAsia="方正书宋_GBK"/>
                <w:b/>
              </w:rPr>
              <w:t>绩效指标</w:t>
            </w:r>
          </w:p>
        </w:tc>
        <w:tc>
          <w:tcPr>
            <w:tcW w:w="2948" w:type="dxa"/>
            <w:gridSpan w:val="4"/>
            <w:vAlign w:val="center"/>
          </w:tcPr>
          <w:p>
            <w:pPr>
              <w:spacing w:line="300" w:lineRule="exact"/>
              <w:jc w:val="center"/>
              <w:rPr>
                <w:rFonts w:ascii="方正书宋_GBK" w:eastAsia="方正书宋_GBK"/>
                <w:b/>
              </w:rPr>
            </w:pPr>
            <w:r>
              <w:rPr>
                <w:rFonts w:hint="eastAsia" w:ascii="方正书宋_GBK" w:eastAsia="方正书宋_GBK"/>
                <w:b/>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pPr>
          </w:p>
        </w:tc>
        <w:tc>
          <w:tcPr>
            <w:tcW w:w="12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2976" w:type="dxa"/>
            <w:vMerge w:val="continue"/>
            <w:vAlign w:val="center"/>
          </w:tcPr>
          <w:p>
            <w:pPr>
              <w:spacing w:line="300" w:lineRule="exact"/>
              <w:jc w:val="left"/>
              <w:outlineLvl w:val="0"/>
            </w:pPr>
          </w:p>
        </w:tc>
        <w:tc>
          <w:tcPr>
            <w:tcW w:w="1417" w:type="dxa"/>
            <w:vMerge w:val="continue"/>
            <w:vAlign w:val="center"/>
          </w:tcPr>
          <w:p>
            <w:pPr>
              <w:spacing w:line="300" w:lineRule="exact"/>
              <w:jc w:val="left"/>
              <w:outlineLvl w:val="0"/>
            </w:pP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优</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良</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中</w:t>
            </w:r>
          </w:p>
        </w:tc>
        <w:tc>
          <w:tcPr>
            <w:tcW w:w="737" w:type="dxa"/>
            <w:vAlign w:val="center"/>
          </w:tcPr>
          <w:p>
            <w:pPr>
              <w:spacing w:line="300" w:lineRule="exact"/>
              <w:jc w:val="center"/>
              <w:rPr>
                <w:rFonts w:ascii="方正书宋_GBK" w:eastAsia="方正书宋_GBK"/>
                <w:b/>
              </w:rPr>
            </w:pPr>
            <w:r>
              <w:rPr>
                <w:rFonts w:hint="eastAsia" w:ascii="方正书宋_GBK" w:eastAsia="方正书宋_GBK"/>
                <w:b/>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参政议政</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参政议政、社会服务等事项</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增强组织凝聚力和社会影响力，提升参政议政水平。组织经贸洽谈、招商引资等经济活动，助力县域经济发展。</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参政议政</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组织开展调研，向县政协提交大会发言和集体提案，反映社情民意，与县政府对口单位紧密联系。开展各种活动及相关会议</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提升参政议政水平，为社会发展建言献策。</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提交调研报告数量</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提交县政协大会集体提案</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社会服务</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积极搭建服务平台，举办招商会、银企对接会、招商引资，民企活动及法律维权、科技进民企活动。加强与知名企业的合作交流。组织会员企业参与农村面貌改造提升行动、社会扶贫和公益事业。</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引导会员积极承担社会责任，热心公益事业发挥工商联在政府管理和服务非公有制经济中的助手作用，助力县域经济发展</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银企对接会次数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ascii="方正书宋_GBK" w:eastAsia="方正书宋_GBK"/>
              </w:rPr>
              <w:t>1</w:t>
            </w:r>
          </w:p>
        </w:tc>
        <w:tc>
          <w:tcPr>
            <w:tcW w:w="737" w:type="dxa"/>
            <w:vAlign w:val="center"/>
          </w:tcPr>
          <w:p>
            <w:pPr>
              <w:spacing w:line="300" w:lineRule="exact"/>
              <w:jc w:val="center"/>
              <w:rPr>
                <w:rFonts w:ascii="方正书宋_GBK" w:eastAsia="方正书宋_GBK"/>
              </w:rPr>
            </w:pPr>
            <w:r>
              <w:rPr>
                <w:rFonts w:ascii="方正书宋_GBK" w:eastAsia="方正书宋_GBK"/>
              </w:rPr>
              <w:t>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法律维权服务次数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组织招商引资活动次数</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w:t>
            </w:r>
          </w:p>
        </w:tc>
        <w:tc>
          <w:tcPr>
            <w:tcW w:w="737" w:type="dxa"/>
            <w:vAlign w:val="center"/>
          </w:tcPr>
          <w:p>
            <w:pPr>
              <w:spacing w:line="300" w:lineRule="exact"/>
              <w:jc w:val="center"/>
              <w:rPr>
                <w:rFonts w:ascii="方正书宋_GBK" w:eastAsia="方正书宋_GBK"/>
              </w:rPr>
            </w:pPr>
            <w:r>
              <w:rPr>
                <w:rFonts w:ascii="方正书宋_GBK" w:eastAsia="方正书宋_GBK"/>
              </w:rPr>
              <w:t>3</w:t>
            </w:r>
          </w:p>
        </w:tc>
        <w:tc>
          <w:tcPr>
            <w:tcW w:w="737" w:type="dxa"/>
            <w:vAlign w:val="center"/>
          </w:tcPr>
          <w:p>
            <w:pPr>
              <w:spacing w:line="300" w:lineRule="exact"/>
              <w:jc w:val="center"/>
              <w:rPr>
                <w:rFonts w:ascii="方正书宋_GBK" w:eastAsia="方正书宋_GBK"/>
              </w:rPr>
            </w:pPr>
            <w:r>
              <w:rPr>
                <w:rFonts w:ascii="方正书宋_GBK" w:eastAsia="方正书宋_GBK"/>
              </w:rPr>
              <w:t>2</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组织建设</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组织建设及宣传教育、培训等事项</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发展工商联会员、指导基层工商联组织建设；组织培训、思想政治教育，对非公有制经济优秀事迹进行宣传等事项。</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ascii="方正书宋_GBK" w:eastAsia="方正书宋_GBK"/>
                <w:b/>
              </w:rPr>
            </w:pPr>
            <w:r>
              <w:rPr>
                <w:rFonts w:hint="eastAsia" w:ascii="方正书宋_GBK" w:eastAsia="方正书宋_GBK"/>
                <w:b/>
              </w:rPr>
              <w:t>　　组织建设及宣传教育、培训</w:t>
            </w:r>
          </w:p>
        </w:tc>
        <w:tc>
          <w:tcPr>
            <w:tcW w:w="1276" w:type="dxa"/>
            <w:vMerge w:val="restart"/>
            <w:vAlign w:val="center"/>
          </w:tcPr>
          <w:p>
            <w:pPr>
              <w:spacing w:line="300" w:lineRule="exact"/>
              <w:jc w:val="left"/>
              <w:rPr>
                <w:rFonts w:ascii="方正书宋_GBK" w:eastAsia="方正书宋_GBK"/>
              </w:rPr>
            </w:pP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贯彻省市工商联组织建设工作方针，指导全县各级组织的建设，维护会员合法权益，组织换届、培训、思想教育和基层建设工作，对非公有制经济优秀事迹进行宣传。</w:t>
            </w:r>
          </w:p>
        </w:tc>
        <w:tc>
          <w:tcPr>
            <w:tcW w:w="2976" w:type="dxa"/>
            <w:vMerge w:val="restart"/>
            <w:vAlign w:val="center"/>
          </w:tcPr>
          <w:p>
            <w:pPr>
              <w:spacing w:line="300" w:lineRule="exact"/>
              <w:jc w:val="left"/>
              <w:rPr>
                <w:rFonts w:ascii="方正书宋_GBK" w:eastAsia="方正书宋_GBK"/>
              </w:rPr>
            </w:pPr>
            <w:r>
              <w:rPr>
                <w:rFonts w:hint="eastAsia" w:ascii="方正书宋_GBK" w:eastAsia="方正书宋_GBK"/>
              </w:rPr>
              <w:t>指导全县各级组织建设。提升民营企业家素质，推进民营企业文化建设，提升工商联工作影响力。</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新会员培训合格率</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培训人次</w:t>
            </w:r>
            <w:r>
              <w:rPr>
                <w:rFonts w:ascii="方正书宋_GBK" w:eastAsia="方正书宋_GBK"/>
              </w:rPr>
              <w:t>(</w:t>
            </w:r>
            <w:r>
              <w:rPr>
                <w:rFonts w:hint="eastAsia" w:ascii="方正书宋_GBK" w:eastAsia="方正书宋_GBK"/>
              </w:rPr>
              <w:t>人）</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40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ascii="方正书宋_GBK" w:eastAsia="方正书宋_GBK"/>
                <w:b/>
              </w:rPr>
            </w:pPr>
          </w:p>
        </w:tc>
        <w:tc>
          <w:tcPr>
            <w:tcW w:w="12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2976" w:type="dxa"/>
            <w:vMerge w:val="continue"/>
            <w:vAlign w:val="center"/>
          </w:tcPr>
          <w:p>
            <w:pPr>
              <w:spacing w:line="300" w:lineRule="exact"/>
              <w:jc w:val="left"/>
              <w:rPr>
                <w:rFonts w:ascii="方正书宋_GBK" w:eastAsia="方正书宋_GBK"/>
              </w:rPr>
            </w:pPr>
          </w:p>
        </w:tc>
        <w:tc>
          <w:tcPr>
            <w:tcW w:w="1417" w:type="dxa"/>
            <w:vAlign w:val="center"/>
          </w:tcPr>
          <w:p>
            <w:pPr>
              <w:spacing w:line="300" w:lineRule="exact"/>
              <w:jc w:val="left"/>
              <w:rPr>
                <w:rFonts w:ascii="方正书宋_GBK" w:eastAsia="方正书宋_GBK"/>
              </w:rPr>
            </w:pPr>
            <w:r>
              <w:rPr>
                <w:rFonts w:hint="eastAsia" w:ascii="方正书宋_GBK" w:eastAsia="方正书宋_GBK"/>
              </w:rPr>
              <w:t>新会员培训率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工商联事务管理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综合性事务管理等事项</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保障工商联各项工作顺利开展</w:t>
            </w:r>
          </w:p>
        </w:tc>
        <w:tc>
          <w:tcPr>
            <w:tcW w:w="1417" w:type="dxa"/>
            <w:vAlign w:val="center"/>
          </w:tcPr>
          <w:p>
            <w:pPr>
              <w:spacing w:line="300" w:lineRule="exact"/>
              <w:jc w:val="left"/>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c>
          <w:tcPr>
            <w:tcW w:w="737"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ascii="方正书宋_GBK" w:eastAsia="方正书宋_GBK"/>
                <w:b/>
              </w:rPr>
            </w:pPr>
            <w:r>
              <w:rPr>
                <w:rFonts w:hint="eastAsia" w:ascii="方正书宋_GBK" w:eastAsia="方正书宋_GBK"/>
                <w:b/>
              </w:rPr>
              <w:t>　　综合事务管理</w:t>
            </w:r>
          </w:p>
        </w:tc>
        <w:tc>
          <w:tcPr>
            <w:tcW w:w="1276" w:type="dxa"/>
            <w:vAlign w:val="center"/>
          </w:tcPr>
          <w:p>
            <w:pPr>
              <w:spacing w:line="300" w:lineRule="exact"/>
              <w:jc w:val="left"/>
              <w:rPr>
                <w:rFonts w:ascii="方正书宋_GBK" w:eastAsia="方正书宋_GBK"/>
              </w:rPr>
            </w:pPr>
          </w:p>
        </w:tc>
        <w:tc>
          <w:tcPr>
            <w:tcW w:w="2976" w:type="dxa"/>
            <w:vAlign w:val="center"/>
          </w:tcPr>
          <w:p>
            <w:pPr>
              <w:spacing w:line="300" w:lineRule="exact"/>
              <w:jc w:val="left"/>
              <w:rPr>
                <w:rFonts w:ascii="方正书宋_GBK" w:eastAsia="方正书宋_GBK"/>
              </w:rPr>
            </w:pPr>
            <w:r>
              <w:rPr>
                <w:rFonts w:hint="eastAsia" w:ascii="方正书宋_GBK" w:eastAsia="方正书宋_GBK"/>
              </w:rPr>
              <w:t>档案、信息、机关各类会议、财务、机要、保密、安全保卫、固定资产、车辆等管理和后勤保障工作。</w:t>
            </w:r>
          </w:p>
        </w:tc>
        <w:tc>
          <w:tcPr>
            <w:tcW w:w="2976" w:type="dxa"/>
            <w:vAlign w:val="center"/>
          </w:tcPr>
          <w:p>
            <w:pPr>
              <w:spacing w:line="300" w:lineRule="exact"/>
              <w:jc w:val="left"/>
              <w:rPr>
                <w:rFonts w:ascii="方正书宋_GBK" w:eastAsia="方正书宋_GBK"/>
              </w:rPr>
            </w:pPr>
            <w:r>
              <w:rPr>
                <w:rFonts w:hint="eastAsia" w:ascii="方正书宋_GBK" w:eastAsia="方正书宋_GBK"/>
              </w:rPr>
              <w:t>保证工商联日常工作正常运转</w:t>
            </w:r>
          </w:p>
        </w:tc>
        <w:tc>
          <w:tcPr>
            <w:tcW w:w="1417" w:type="dxa"/>
            <w:vAlign w:val="center"/>
          </w:tcPr>
          <w:p>
            <w:pPr>
              <w:spacing w:line="300" w:lineRule="exact"/>
              <w:jc w:val="left"/>
              <w:rPr>
                <w:rFonts w:ascii="方正书宋_GBK" w:eastAsia="方正书宋_GBK"/>
              </w:rPr>
            </w:pPr>
            <w:r>
              <w:rPr>
                <w:rFonts w:hint="eastAsia" w:ascii="方正书宋_GBK" w:eastAsia="方正书宋_GBK"/>
              </w:rPr>
              <w:t>综合事务工作完成率</w:t>
            </w:r>
          </w:p>
        </w:tc>
        <w:tc>
          <w:tcPr>
            <w:tcW w:w="737" w:type="dxa"/>
            <w:vAlign w:val="center"/>
          </w:tcPr>
          <w:p>
            <w:pPr>
              <w:spacing w:line="300" w:lineRule="exact"/>
              <w:jc w:val="center"/>
              <w:rPr>
                <w:rFonts w:ascii="方正书宋_GBK" w:eastAsia="方正书宋_GBK"/>
              </w:rPr>
            </w:pPr>
            <w:r>
              <w:rPr>
                <w:rFonts w:ascii="方正书宋_GBK" w:eastAsia="方正书宋_GBK"/>
              </w:rPr>
              <w:t>100%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95%</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c>
          <w:tcPr>
            <w:tcW w:w="737" w:type="dxa"/>
            <w:vAlign w:val="center"/>
          </w:tcPr>
          <w:p>
            <w:pPr>
              <w:spacing w:line="300" w:lineRule="exact"/>
              <w:jc w:val="center"/>
              <w:rPr>
                <w:rFonts w:ascii="方正书宋_GBK" w:eastAsia="方正书宋_GBK"/>
              </w:rPr>
            </w:pPr>
            <w:r>
              <w:rPr>
                <w:rFonts w:hint="eastAsia" w:ascii="方正书宋_GBK" w:eastAsia="方正书宋_GBK"/>
              </w:rPr>
              <w:t>＜</w:t>
            </w:r>
            <w:r>
              <w:rPr>
                <w:rFonts w:ascii="方正书宋_GBK" w:eastAsia="方正书宋_GBK"/>
              </w:rPr>
              <w:t>90%</w:t>
            </w:r>
          </w:p>
        </w:tc>
      </w:tr>
    </w:tbl>
    <w:p>
      <w:pPr>
        <w:spacing w:line="300" w:lineRule="exact"/>
        <w:jc w:val="left"/>
        <w:outlineLvl w:val="0"/>
        <w:sectPr>
          <w:headerReference r:id="rId5" w:type="first"/>
          <w:footerReference r:id="rId8" w:type="first"/>
          <w:headerReference r:id="rId3" w:type="default"/>
          <w:footerReference r:id="rId6" w:type="default"/>
          <w:headerReference r:id="rId4" w:type="even"/>
          <w:footerReference r:id="rId7" w:type="even"/>
          <w:pgSz w:w="16839" w:h="11907" w:orient="landscape"/>
          <w:pgMar w:top="1020" w:right="1361" w:bottom="1020" w:left="1361" w:header="851" w:footer="992" w:gutter="0"/>
          <w:cols w:space="720" w:num="1"/>
          <w:docGrid w:type="lines" w:linePitch="312" w:charSpace="0"/>
        </w:sectPr>
      </w:pP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六、政府采购预算情况</w:t>
      </w:r>
    </w:p>
    <w:p>
      <w:pPr>
        <w:adjustRightInd w:val="0"/>
        <w:snapToGrid w:val="0"/>
        <w:spacing w:line="600" w:lineRule="exact"/>
        <w:ind w:firstLine="640" w:firstLineChars="200"/>
        <w:jc w:val="left"/>
        <w:rPr>
          <w:rFonts w:ascii="仿宋" w:hAnsi="仿宋" w:eastAsia="仿宋" w:cs="仿宋_GB2312"/>
          <w:sz w:val="32"/>
          <w:szCs w:val="32"/>
        </w:rPr>
      </w:pPr>
      <w:r>
        <w:rPr>
          <w:rFonts w:ascii="仿宋" w:hAnsi="仿宋" w:eastAsia="仿宋" w:cs="仿宋_GB2312"/>
          <w:sz w:val="32"/>
          <w:szCs w:val="32"/>
        </w:rPr>
        <w:t>2017</w:t>
      </w:r>
      <w:r>
        <w:rPr>
          <w:rFonts w:hint="eastAsia" w:ascii="仿宋" w:hAnsi="仿宋" w:eastAsia="仿宋" w:cs="仿宋_GB2312"/>
          <w:sz w:val="32"/>
          <w:szCs w:val="32"/>
        </w:rPr>
        <w:t>年我部门安排政府采购预算</w:t>
      </w:r>
      <w:r>
        <w:rPr>
          <w:rFonts w:ascii="仿宋" w:hAnsi="仿宋" w:eastAsia="仿宋" w:cs="仿宋_GB2312"/>
          <w:sz w:val="32"/>
          <w:szCs w:val="32"/>
        </w:rPr>
        <w:t>0</w:t>
      </w:r>
      <w:r>
        <w:rPr>
          <w:rFonts w:hint="eastAsia" w:ascii="仿宋" w:hAnsi="仿宋" w:eastAsia="仿宋" w:cs="仿宋_GB2312"/>
          <w:sz w:val="32"/>
          <w:szCs w:val="32"/>
        </w:rPr>
        <w:t>万元。</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pStyle w:val="7"/>
        <w:ind w:firstLine="640" w:firstLineChars="200"/>
        <w:rPr>
          <w:rFonts w:ascii="仿宋" w:hAnsi="仿宋" w:eastAsia="仿宋"/>
          <w:bCs/>
          <w:sz w:val="32"/>
          <w:szCs w:val="32"/>
          <w:lang w:eastAsia="zh-CN"/>
        </w:rPr>
      </w:pPr>
      <w:r>
        <w:rPr>
          <w:rFonts w:hint="eastAsia" w:ascii="仿宋_GB2312" w:hAnsi="仿宋_GB2312" w:eastAsia="仿宋_GB2312" w:cs="仿宋_GB2312"/>
          <w:sz w:val="32"/>
          <w:szCs w:val="32"/>
          <w:lang w:eastAsia="zh-CN"/>
        </w:rPr>
        <w:t>无极县工商联上年末固定资产为1.5万元（详见下表）。本年度拟购置固定资产为0万元。</w:t>
      </w:r>
    </w:p>
    <w:p>
      <w:pPr>
        <w:autoSpaceDE w:val="0"/>
        <w:autoSpaceDN w:val="0"/>
        <w:adjustRightInd w:val="0"/>
        <w:ind w:left="420" w:leftChars="200" w:firstLine="2400" w:firstLineChars="750"/>
        <w:rPr>
          <w:rFonts w:ascii="仿宋" w:hAnsi="仿宋" w:eastAsia="仿宋"/>
          <w:sz w:val="32"/>
        </w:rPr>
      </w:pPr>
      <w:r>
        <w:rPr>
          <w:rFonts w:hint="eastAsia" w:ascii="仿宋" w:hAnsi="仿宋" w:eastAsia="仿宋"/>
          <w:sz w:val="32"/>
        </w:rPr>
        <w:t xml:space="preserve">           工商联固定资产占用情况表</w:t>
      </w:r>
    </w:p>
    <w:tbl>
      <w:tblPr>
        <w:tblStyle w:val="4"/>
        <w:tblW w:w="10305" w:type="dxa"/>
        <w:tblInd w:w="1091" w:type="dxa"/>
        <w:tblLayout w:type="fixed"/>
        <w:tblCellMar>
          <w:top w:w="0" w:type="dxa"/>
          <w:left w:w="108" w:type="dxa"/>
          <w:bottom w:w="0" w:type="dxa"/>
          <w:right w:w="108" w:type="dxa"/>
        </w:tblCellMar>
      </w:tblPr>
      <w:tblGrid>
        <w:gridCol w:w="3150"/>
        <w:gridCol w:w="2745"/>
        <w:gridCol w:w="4410"/>
      </w:tblGrid>
      <w:tr>
        <w:tblPrEx>
          <w:tblCellMar>
            <w:top w:w="0" w:type="dxa"/>
            <w:left w:w="108" w:type="dxa"/>
            <w:bottom w:w="0" w:type="dxa"/>
            <w:right w:w="108" w:type="dxa"/>
          </w:tblCellMar>
        </w:tblPrEx>
        <w:trPr>
          <w:trHeight w:val="510" w:hRule="atLeast"/>
        </w:trPr>
        <w:tc>
          <w:tcPr>
            <w:tcW w:w="5895" w:type="dxa"/>
            <w:gridSpan w:val="2"/>
            <w:tcBorders>
              <w:top w:val="nil"/>
              <w:left w:val="nil"/>
              <w:bottom w:val="nil"/>
              <w:right w:val="nil"/>
            </w:tcBorders>
            <w:vAlign w:val="center"/>
          </w:tcPr>
          <w:p>
            <w:pPr>
              <w:widowControl/>
              <w:jc w:val="left"/>
              <w:rPr>
                <w:rFonts w:ascii="宋体" w:cs="宋体"/>
                <w:kern w:val="0"/>
                <w:sz w:val="22"/>
              </w:rPr>
            </w:pPr>
            <w:r>
              <w:rPr>
                <w:rFonts w:hint="eastAsia" w:ascii="宋体" w:hAnsi="宋体" w:cs="宋体"/>
                <w:kern w:val="0"/>
                <w:sz w:val="22"/>
              </w:rPr>
              <w:t>编制部门：</w:t>
            </w:r>
            <w:r>
              <w:rPr>
                <w:rFonts w:hint="eastAsia"/>
              </w:rPr>
              <w:t>无极县工商联</w:t>
            </w:r>
          </w:p>
        </w:tc>
        <w:tc>
          <w:tcPr>
            <w:tcW w:w="4410" w:type="dxa"/>
            <w:tcBorders>
              <w:top w:val="nil"/>
              <w:left w:val="nil"/>
              <w:bottom w:val="nil"/>
              <w:right w:val="nil"/>
            </w:tcBorders>
            <w:vAlign w:val="center"/>
          </w:tcPr>
          <w:p>
            <w:pPr>
              <w:widowControl/>
              <w:jc w:val="left"/>
              <w:rPr>
                <w:rFonts w:ascii="宋体" w:cs="宋体"/>
                <w:kern w:val="0"/>
                <w:sz w:val="18"/>
                <w:szCs w:val="18"/>
              </w:rPr>
            </w:pPr>
            <w:r>
              <w:rPr>
                <w:rFonts w:hint="eastAsia" w:ascii="宋体" w:hAnsi="宋体" w:cs="宋体"/>
                <w:kern w:val="0"/>
                <w:sz w:val="18"/>
                <w:szCs w:val="18"/>
              </w:rPr>
              <w:t>截止时间：</w:t>
            </w:r>
            <w:r>
              <w:rPr>
                <w:rFonts w:ascii="宋体" w:hAnsi="宋体" w:cs="宋体"/>
                <w:kern w:val="0"/>
                <w:sz w:val="18"/>
                <w:szCs w:val="18"/>
              </w:rPr>
              <w:t>2016</w:t>
            </w:r>
            <w:r>
              <w:rPr>
                <w:rFonts w:hint="eastAsia" w:ascii="宋体" w:hAnsi="宋体" w:cs="宋体"/>
                <w:kern w:val="0"/>
                <w:sz w:val="18"/>
                <w:szCs w:val="18"/>
              </w:rPr>
              <w:t>年</w:t>
            </w:r>
            <w:r>
              <w:rPr>
                <w:rFonts w:ascii="宋体" w:hAnsi="宋体" w:cs="宋体"/>
                <w:kern w:val="0"/>
                <w:sz w:val="18"/>
                <w:szCs w:val="18"/>
              </w:rPr>
              <w:t>12</w:t>
            </w:r>
            <w:r>
              <w:rPr>
                <w:rFonts w:hint="eastAsia" w:ascii="宋体" w:hAnsi="宋体" w:cs="宋体"/>
                <w:kern w:val="0"/>
                <w:sz w:val="18"/>
                <w:szCs w:val="18"/>
              </w:rPr>
              <w:t>月</w:t>
            </w:r>
            <w:r>
              <w:rPr>
                <w:rFonts w:ascii="宋体" w:hAnsi="宋体" w:cs="宋体"/>
                <w:kern w:val="0"/>
                <w:sz w:val="18"/>
                <w:szCs w:val="18"/>
              </w:rPr>
              <w:t>31</w:t>
            </w:r>
            <w:r>
              <w:rPr>
                <w:rFonts w:hint="eastAsia" w:ascii="宋体" w:hAnsi="宋体" w:cs="宋体"/>
                <w:kern w:val="0"/>
                <w:sz w:val="18"/>
                <w:szCs w:val="18"/>
              </w:rPr>
              <w:t>日</w:t>
            </w:r>
            <w:r>
              <w:rPr>
                <w:rFonts w:ascii="宋体" w:hAnsi="宋体" w:cs="宋体"/>
                <w:kern w:val="0"/>
                <w:sz w:val="18"/>
                <w:szCs w:val="18"/>
              </w:rPr>
              <w:t xml:space="preserve">  </w:t>
            </w:r>
          </w:p>
        </w:tc>
      </w:tr>
      <w:tr>
        <w:tblPrEx>
          <w:tblCellMar>
            <w:top w:w="0" w:type="dxa"/>
            <w:left w:w="108" w:type="dxa"/>
            <w:bottom w:w="0" w:type="dxa"/>
            <w:right w:w="108" w:type="dxa"/>
          </w:tblCellMar>
        </w:tblPrEx>
        <w:trPr>
          <w:trHeight w:val="645" w:hRule="atLeast"/>
        </w:trPr>
        <w:tc>
          <w:tcPr>
            <w:tcW w:w="3150"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项</w:t>
            </w:r>
            <w:r>
              <w:rPr>
                <w:rFonts w:ascii="宋体" w:hAnsi="宋体" w:cs="宋体"/>
                <w:b/>
                <w:bCs/>
                <w:kern w:val="0"/>
                <w:sz w:val="22"/>
              </w:rPr>
              <w:t xml:space="preserve">   </w:t>
            </w:r>
            <w:r>
              <w:rPr>
                <w:rFonts w:hint="eastAsia" w:ascii="宋体" w:hAnsi="宋体" w:cs="宋体"/>
                <w:b/>
                <w:bCs/>
                <w:kern w:val="0"/>
                <w:sz w:val="22"/>
              </w:rPr>
              <w:t>目</w:t>
            </w:r>
          </w:p>
        </w:tc>
        <w:tc>
          <w:tcPr>
            <w:tcW w:w="2745"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数量</w:t>
            </w:r>
          </w:p>
        </w:tc>
        <w:tc>
          <w:tcPr>
            <w:tcW w:w="4410" w:type="dxa"/>
            <w:tcBorders>
              <w:top w:val="single" w:color="auto" w:sz="4" w:space="0"/>
              <w:left w:val="nil"/>
              <w:bottom w:val="single" w:color="auto" w:sz="4" w:space="0"/>
              <w:right w:val="single" w:color="auto" w:sz="4" w:space="0"/>
            </w:tcBorders>
            <w:vAlign w:val="center"/>
          </w:tcPr>
          <w:p>
            <w:pPr>
              <w:widowControl/>
              <w:jc w:val="center"/>
              <w:rPr>
                <w:rFonts w:asci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3150" w:type="dxa"/>
            <w:tcBorders>
              <w:top w:val="nil"/>
              <w:left w:val="single" w:color="auto" w:sz="4" w:space="0"/>
              <w:bottom w:val="single" w:color="auto" w:sz="4" w:space="0"/>
              <w:right w:val="single" w:color="auto" w:sz="4" w:space="0"/>
            </w:tcBorders>
            <w:vAlign w:val="center"/>
          </w:tcPr>
          <w:p>
            <w:pPr>
              <w:widowControl/>
              <w:jc w:val="center"/>
              <w:rPr>
                <w:rFonts w:ascii="宋体" w:cs="宋体"/>
                <w:kern w:val="0"/>
                <w:sz w:val="22"/>
              </w:rPr>
            </w:pPr>
            <w:r>
              <w:rPr>
                <w:rFonts w:hint="eastAsia" w:ascii="宋体" w:hAnsi="宋体" w:cs="宋体"/>
                <w:kern w:val="0"/>
                <w:sz w:val="22"/>
              </w:rPr>
              <w:t>资产总额</w:t>
            </w:r>
          </w:p>
        </w:tc>
        <w:tc>
          <w:tcPr>
            <w:tcW w:w="274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441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cs="宋体"/>
                <w:kern w:val="0"/>
                <w:sz w:val="22"/>
              </w:rPr>
              <w:t>1.5</w:t>
            </w:r>
          </w:p>
        </w:tc>
      </w:tr>
      <w:tr>
        <w:tblPrEx>
          <w:tblCellMar>
            <w:top w:w="0" w:type="dxa"/>
            <w:left w:w="108" w:type="dxa"/>
            <w:bottom w:w="0" w:type="dxa"/>
            <w:right w:w="108" w:type="dxa"/>
          </w:tblCellMar>
        </w:tblPrEx>
        <w:trPr>
          <w:trHeight w:val="645" w:hRule="atLeast"/>
        </w:trPr>
        <w:tc>
          <w:tcPr>
            <w:tcW w:w="3150"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1</w:t>
            </w:r>
            <w:r>
              <w:rPr>
                <w:rFonts w:hint="eastAsia" w:ascii="宋体" w:hAnsi="宋体" w:cs="宋体"/>
                <w:kern w:val="0"/>
                <w:sz w:val="22"/>
              </w:rPr>
              <w:t>、房屋（平方米）</w:t>
            </w:r>
          </w:p>
        </w:tc>
        <w:tc>
          <w:tcPr>
            <w:tcW w:w="274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c>
          <w:tcPr>
            <w:tcW w:w="4410"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645" w:hRule="atLeast"/>
        </w:trPr>
        <w:tc>
          <w:tcPr>
            <w:tcW w:w="3150"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 xml:space="preserve">  </w:t>
            </w:r>
            <w:r>
              <w:rPr>
                <w:rFonts w:hint="eastAsia" w:ascii="宋体" w:hAnsi="宋体" w:cs="宋体"/>
                <w:kern w:val="0"/>
                <w:sz w:val="22"/>
              </w:rPr>
              <w:t>其中：办公用房（平方米）</w:t>
            </w:r>
          </w:p>
        </w:tc>
        <w:tc>
          <w:tcPr>
            <w:tcW w:w="274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c>
          <w:tcPr>
            <w:tcW w:w="4410"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645" w:hRule="atLeast"/>
        </w:trPr>
        <w:tc>
          <w:tcPr>
            <w:tcW w:w="3150"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2</w:t>
            </w:r>
            <w:r>
              <w:rPr>
                <w:rFonts w:hint="eastAsia" w:ascii="宋体" w:hAnsi="宋体" w:cs="宋体"/>
                <w:kern w:val="0"/>
                <w:sz w:val="22"/>
              </w:rPr>
              <w:t>、车辆（台、辆）</w:t>
            </w:r>
          </w:p>
        </w:tc>
        <w:tc>
          <w:tcPr>
            <w:tcW w:w="2745"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c>
          <w:tcPr>
            <w:tcW w:w="4410"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645" w:hRule="atLeast"/>
        </w:trPr>
        <w:tc>
          <w:tcPr>
            <w:tcW w:w="3150"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3</w:t>
            </w:r>
            <w:r>
              <w:rPr>
                <w:rFonts w:hint="eastAsia" w:ascii="宋体" w:hAnsi="宋体" w:cs="宋体"/>
                <w:kern w:val="0"/>
                <w:sz w:val="22"/>
              </w:rPr>
              <w:t>、单价在</w:t>
            </w:r>
            <w:r>
              <w:rPr>
                <w:rFonts w:ascii="宋体" w:hAnsi="宋体" w:cs="宋体"/>
                <w:kern w:val="0"/>
                <w:sz w:val="22"/>
              </w:rPr>
              <w:t>20</w:t>
            </w:r>
            <w:r>
              <w:rPr>
                <w:rFonts w:hint="eastAsia" w:ascii="宋体" w:hAnsi="宋体" w:cs="宋体"/>
                <w:kern w:val="0"/>
                <w:sz w:val="22"/>
              </w:rPr>
              <w:t>万元以上设备</w:t>
            </w:r>
          </w:p>
        </w:tc>
        <w:tc>
          <w:tcPr>
            <w:tcW w:w="274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4410" w:type="dxa"/>
            <w:tcBorders>
              <w:top w:val="nil"/>
              <w:left w:val="nil"/>
              <w:bottom w:val="single" w:color="auto" w:sz="4" w:space="0"/>
              <w:right w:val="single" w:color="auto" w:sz="4" w:space="0"/>
            </w:tcBorders>
            <w:vAlign w:val="center"/>
          </w:tcPr>
          <w:p>
            <w:pPr>
              <w:widowControl/>
              <w:jc w:val="center"/>
              <w:rPr>
                <w:rFonts w:ascii="宋体" w:cs="宋体"/>
                <w:kern w:val="0"/>
                <w:sz w:val="22"/>
              </w:rPr>
            </w:pPr>
          </w:p>
        </w:tc>
      </w:tr>
      <w:tr>
        <w:tblPrEx>
          <w:tblCellMar>
            <w:top w:w="0" w:type="dxa"/>
            <w:left w:w="108" w:type="dxa"/>
            <w:bottom w:w="0" w:type="dxa"/>
            <w:right w:w="108" w:type="dxa"/>
          </w:tblCellMar>
        </w:tblPrEx>
        <w:trPr>
          <w:trHeight w:val="645" w:hRule="atLeast"/>
        </w:trPr>
        <w:tc>
          <w:tcPr>
            <w:tcW w:w="3150" w:type="dxa"/>
            <w:tcBorders>
              <w:top w:val="nil"/>
              <w:left w:val="single" w:color="auto" w:sz="4" w:space="0"/>
              <w:bottom w:val="single" w:color="auto" w:sz="4" w:space="0"/>
              <w:right w:val="single" w:color="auto" w:sz="4" w:space="0"/>
            </w:tcBorders>
            <w:vAlign w:val="center"/>
          </w:tcPr>
          <w:p>
            <w:pPr>
              <w:widowControl/>
              <w:jc w:val="left"/>
              <w:rPr>
                <w:rFonts w:ascii="宋体" w:cs="宋体"/>
                <w:kern w:val="0"/>
                <w:sz w:val="22"/>
              </w:rPr>
            </w:pPr>
            <w:r>
              <w:rPr>
                <w:rFonts w:ascii="宋体" w:hAnsi="宋体" w:cs="宋体"/>
                <w:kern w:val="0"/>
                <w:sz w:val="22"/>
              </w:rPr>
              <w:t>4</w:t>
            </w:r>
            <w:r>
              <w:rPr>
                <w:rFonts w:hint="eastAsia" w:ascii="宋体" w:hAnsi="宋体" w:cs="宋体"/>
                <w:kern w:val="0"/>
                <w:sz w:val="22"/>
              </w:rPr>
              <w:t>、其他固定资产</w:t>
            </w:r>
          </w:p>
        </w:tc>
        <w:tc>
          <w:tcPr>
            <w:tcW w:w="2745"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hAnsi="宋体" w:cs="宋体"/>
                <w:kern w:val="0"/>
                <w:sz w:val="22"/>
              </w:rPr>
              <w:t>——</w:t>
            </w:r>
          </w:p>
        </w:tc>
        <w:tc>
          <w:tcPr>
            <w:tcW w:w="4410" w:type="dxa"/>
            <w:tcBorders>
              <w:top w:val="nil"/>
              <w:left w:val="nil"/>
              <w:bottom w:val="single" w:color="auto" w:sz="4" w:space="0"/>
              <w:right w:val="single" w:color="auto" w:sz="4" w:space="0"/>
            </w:tcBorders>
            <w:vAlign w:val="center"/>
          </w:tcPr>
          <w:p>
            <w:pPr>
              <w:widowControl/>
              <w:jc w:val="center"/>
              <w:rPr>
                <w:rFonts w:ascii="宋体" w:cs="宋体"/>
                <w:kern w:val="0"/>
                <w:sz w:val="22"/>
              </w:rPr>
            </w:pPr>
            <w:r>
              <w:rPr>
                <w:rFonts w:ascii="宋体" w:cs="宋体"/>
                <w:kern w:val="0"/>
                <w:sz w:val="22"/>
              </w:rPr>
              <w:t>1.5</w:t>
            </w:r>
          </w:p>
        </w:tc>
      </w:tr>
    </w:tbl>
    <w:p>
      <w:pPr>
        <w:autoSpaceDE w:val="0"/>
        <w:autoSpaceDN w:val="0"/>
        <w:adjustRightInd w:val="0"/>
        <w:spacing w:line="560" w:lineRule="exact"/>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spacing w:line="560" w:lineRule="exact"/>
        <w:ind w:firstLine="720"/>
        <w:rPr>
          <w:rFonts w:ascii="仿宋" w:hAnsi="仿宋" w:eastAsia="仿宋"/>
          <w:b/>
          <w:sz w:val="32"/>
          <w:szCs w:val="32"/>
        </w:rPr>
      </w:pPr>
      <w:r>
        <w:rPr>
          <w:rFonts w:ascii="仿宋" w:hAnsi="仿宋" w:eastAsia="仿宋"/>
          <w:b/>
          <w:sz w:val="32"/>
          <w:szCs w:val="32"/>
        </w:rPr>
        <w:t>1.</w:t>
      </w:r>
      <w:r>
        <w:rPr>
          <w:rFonts w:hint="eastAsia" w:ascii="仿宋" w:hAnsi="仿宋" w:eastAsia="仿宋"/>
          <w:b/>
          <w:sz w:val="32"/>
          <w:szCs w:val="32"/>
        </w:rPr>
        <w:t>财政拨款收入</w:t>
      </w:r>
    </w:p>
    <w:p>
      <w:pPr>
        <w:spacing w:line="560" w:lineRule="exact"/>
        <w:ind w:firstLine="720"/>
        <w:rPr>
          <w:rFonts w:ascii="仿宋" w:hAnsi="仿宋" w:eastAsia="仿宋"/>
          <w:sz w:val="32"/>
          <w:szCs w:val="32"/>
        </w:rPr>
      </w:pPr>
      <w:r>
        <w:rPr>
          <w:rFonts w:hint="eastAsia" w:ascii="仿宋" w:hAnsi="仿宋" w:eastAsia="仿宋"/>
          <w:sz w:val="32"/>
          <w:szCs w:val="32"/>
        </w:rPr>
        <w:t>财政拨款收入是指财政部门按照批复的预算核拨给单位的财政预算资金。</w:t>
      </w:r>
    </w:p>
    <w:p>
      <w:pPr>
        <w:spacing w:line="560" w:lineRule="exact"/>
        <w:ind w:firstLine="720"/>
        <w:rPr>
          <w:rFonts w:ascii="仿宋" w:hAnsi="仿宋" w:eastAsia="仿宋"/>
          <w:b/>
          <w:sz w:val="32"/>
          <w:szCs w:val="32"/>
        </w:rPr>
      </w:pPr>
      <w:r>
        <w:rPr>
          <w:rFonts w:ascii="仿宋" w:hAnsi="仿宋" w:eastAsia="仿宋"/>
          <w:b/>
          <w:sz w:val="32"/>
          <w:szCs w:val="32"/>
        </w:rPr>
        <w:t>2.</w:t>
      </w:r>
      <w:r>
        <w:rPr>
          <w:rFonts w:hint="eastAsia" w:ascii="仿宋" w:hAnsi="仿宋" w:eastAsia="仿宋"/>
          <w:b/>
          <w:sz w:val="32"/>
          <w:szCs w:val="32"/>
        </w:rPr>
        <w:t>基本支出、项目支出</w:t>
      </w:r>
    </w:p>
    <w:p>
      <w:pPr>
        <w:spacing w:line="560" w:lineRule="exact"/>
        <w:ind w:firstLine="720"/>
        <w:rPr>
          <w:rFonts w:ascii="仿宋" w:hAnsi="仿宋" w:eastAsia="仿宋"/>
          <w:sz w:val="32"/>
          <w:szCs w:val="32"/>
        </w:rPr>
      </w:pPr>
      <w:r>
        <w:rPr>
          <w:rFonts w:hint="eastAsia" w:ascii="仿宋" w:hAnsi="仿宋" w:eastAsia="仿宋"/>
          <w:sz w:val="32"/>
          <w:szCs w:val="32"/>
        </w:rPr>
        <w:t>基本支出是指预算单位为保障机构正常运转和完成日常工作而发生的各项支出，包括人员经费和日常公用经费。</w:t>
      </w:r>
    </w:p>
    <w:p>
      <w:pPr>
        <w:spacing w:line="560" w:lineRule="exact"/>
        <w:ind w:firstLine="720"/>
        <w:rPr>
          <w:rFonts w:ascii="仿宋" w:hAnsi="仿宋" w:eastAsia="仿宋"/>
          <w:sz w:val="32"/>
          <w:szCs w:val="32"/>
        </w:rPr>
      </w:pPr>
      <w:r>
        <w:rPr>
          <w:rFonts w:hint="eastAsia" w:ascii="仿宋" w:hAnsi="仿宋" w:eastAsia="仿宋"/>
          <w:sz w:val="32"/>
          <w:szCs w:val="32"/>
        </w:rPr>
        <w:t>项目支出是指在基本支出之外完成特定行政任务和事业发展目标所发生的支出。</w:t>
      </w:r>
    </w:p>
    <w:p>
      <w:pPr>
        <w:spacing w:line="560" w:lineRule="exact"/>
        <w:ind w:firstLine="720"/>
        <w:rPr>
          <w:rFonts w:ascii="仿宋" w:hAnsi="仿宋" w:eastAsia="仿宋"/>
          <w:b/>
          <w:sz w:val="32"/>
          <w:szCs w:val="32"/>
        </w:rPr>
      </w:pPr>
      <w:r>
        <w:rPr>
          <w:rFonts w:ascii="仿宋" w:hAnsi="仿宋" w:eastAsia="仿宋"/>
          <w:b/>
          <w:sz w:val="32"/>
          <w:szCs w:val="32"/>
        </w:rPr>
        <w:t>3.</w:t>
      </w:r>
      <w:r>
        <w:rPr>
          <w:rFonts w:hint="eastAsia" w:ascii="仿宋" w:hAnsi="仿宋" w:eastAsia="仿宋"/>
          <w:b/>
          <w:sz w:val="32"/>
          <w:szCs w:val="32"/>
        </w:rPr>
        <w:t>一般公共服务支出</w:t>
      </w:r>
    </w:p>
    <w:p>
      <w:pPr>
        <w:spacing w:line="560" w:lineRule="exact"/>
        <w:ind w:firstLine="720"/>
        <w:rPr>
          <w:rFonts w:ascii="仿宋" w:hAnsi="仿宋" w:eastAsia="仿宋"/>
          <w:sz w:val="32"/>
          <w:szCs w:val="32"/>
        </w:rPr>
      </w:pPr>
      <w:r>
        <w:rPr>
          <w:rFonts w:hint="eastAsia" w:ascii="仿宋" w:hAnsi="仿宋" w:eastAsia="仿宋"/>
          <w:sz w:val="32"/>
          <w:szCs w:val="32"/>
        </w:rPr>
        <w:t>一般公共服务支出是指反映预算单位一般公共服务的支出。</w:t>
      </w:r>
    </w:p>
    <w:p>
      <w:pPr>
        <w:spacing w:line="560" w:lineRule="exact"/>
        <w:ind w:firstLine="720"/>
        <w:rPr>
          <w:rFonts w:ascii="仿宋" w:hAnsi="仿宋" w:eastAsia="仿宋"/>
          <w:b/>
          <w:sz w:val="32"/>
          <w:szCs w:val="32"/>
        </w:rPr>
      </w:pPr>
      <w:r>
        <w:rPr>
          <w:rFonts w:ascii="仿宋" w:hAnsi="仿宋" w:eastAsia="仿宋"/>
          <w:b/>
          <w:sz w:val="32"/>
          <w:szCs w:val="32"/>
        </w:rPr>
        <w:t>4.</w:t>
      </w:r>
      <w:r>
        <w:rPr>
          <w:rFonts w:hint="eastAsia" w:ascii="仿宋" w:hAnsi="仿宋" w:eastAsia="仿宋"/>
          <w:b/>
          <w:sz w:val="32"/>
          <w:szCs w:val="32"/>
        </w:rPr>
        <w:t>文化体育与传媒支出</w:t>
      </w:r>
    </w:p>
    <w:p>
      <w:pPr>
        <w:spacing w:line="560" w:lineRule="exact"/>
        <w:ind w:firstLine="720"/>
        <w:rPr>
          <w:rFonts w:ascii="仿宋" w:hAnsi="仿宋" w:eastAsia="仿宋"/>
          <w:sz w:val="32"/>
          <w:szCs w:val="32"/>
        </w:rPr>
      </w:pPr>
      <w:r>
        <w:rPr>
          <w:rFonts w:hint="eastAsia" w:ascii="仿宋" w:hAnsi="仿宋" w:eastAsia="仿宋"/>
          <w:sz w:val="32"/>
          <w:szCs w:val="32"/>
        </w:rPr>
        <w:t>文化体育与传媒支出是指反映预算单位在文化、文物、体育、广播影视、新闻出版等方面的支出。</w:t>
      </w:r>
    </w:p>
    <w:p>
      <w:pPr>
        <w:spacing w:line="560" w:lineRule="exact"/>
        <w:ind w:firstLine="720"/>
        <w:rPr>
          <w:rFonts w:ascii="仿宋" w:hAnsi="仿宋" w:eastAsia="仿宋"/>
          <w:b/>
          <w:sz w:val="32"/>
          <w:szCs w:val="32"/>
        </w:rPr>
      </w:pPr>
      <w:r>
        <w:rPr>
          <w:rFonts w:ascii="仿宋" w:hAnsi="仿宋" w:eastAsia="仿宋"/>
          <w:b/>
          <w:sz w:val="32"/>
          <w:szCs w:val="32"/>
        </w:rPr>
        <w:t>5.</w:t>
      </w:r>
      <w:r>
        <w:rPr>
          <w:rFonts w:hint="eastAsia" w:ascii="仿宋" w:hAnsi="仿宋" w:eastAsia="仿宋"/>
          <w:b/>
          <w:sz w:val="32"/>
          <w:szCs w:val="32"/>
        </w:rPr>
        <w:t>社会保障和就业支出</w:t>
      </w:r>
    </w:p>
    <w:p>
      <w:pPr>
        <w:spacing w:line="560" w:lineRule="exact"/>
        <w:ind w:firstLine="720"/>
        <w:rPr>
          <w:rFonts w:ascii="仿宋" w:hAnsi="仿宋" w:eastAsia="仿宋"/>
          <w:sz w:val="32"/>
          <w:szCs w:val="32"/>
        </w:rPr>
      </w:pPr>
      <w:r>
        <w:rPr>
          <w:rFonts w:hint="eastAsia" w:ascii="仿宋" w:hAnsi="仿宋" w:eastAsia="仿宋"/>
          <w:sz w:val="32"/>
          <w:szCs w:val="32"/>
        </w:rPr>
        <w:t>社会保障和就业支出是指预算单位在社会保障和就业方面的支出。</w:t>
      </w:r>
    </w:p>
    <w:p>
      <w:pPr>
        <w:spacing w:line="560" w:lineRule="exact"/>
        <w:ind w:firstLine="720"/>
        <w:rPr>
          <w:rFonts w:ascii="仿宋" w:hAnsi="仿宋" w:eastAsia="仿宋"/>
          <w:b/>
          <w:sz w:val="32"/>
          <w:szCs w:val="32"/>
        </w:rPr>
      </w:pPr>
      <w:r>
        <w:rPr>
          <w:rFonts w:ascii="仿宋" w:hAnsi="仿宋" w:eastAsia="仿宋"/>
          <w:b/>
          <w:sz w:val="32"/>
          <w:szCs w:val="32"/>
        </w:rPr>
        <w:t>6.</w:t>
      </w:r>
      <w:r>
        <w:rPr>
          <w:rFonts w:hint="eastAsia" w:ascii="仿宋" w:hAnsi="仿宋" w:eastAsia="仿宋"/>
          <w:b/>
          <w:sz w:val="32"/>
          <w:szCs w:val="32"/>
        </w:rPr>
        <w:t>机关运行经费</w:t>
      </w:r>
    </w:p>
    <w:p>
      <w:pPr>
        <w:spacing w:line="560" w:lineRule="exact"/>
        <w:ind w:firstLine="720"/>
        <w:rPr>
          <w:rFonts w:ascii="仿宋" w:hAnsi="仿宋" w:eastAsia="仿宋"/>
          <w:sz w:val="32"/>
          <w:szCs w:val="32"/>
        </w:rPr>
      </w:pPr>
      <w:r>
        <w:rPr>
          <w:rFonts w:hint="eastAsia" w:ascii="仿宋" w:hAnsi="仿宋" w:eastAsia="仿宋"/>
          <w:sz w:val="32"/>
          <w:szCs w:val="32"/>
        </w:rPr>
        <w:t>机关运行经费是指为保障行政单位运行支出的人员工资和用于购买货物、服务的各项资金，包括人员经费、办公费、印刷费、邮电费、差旅费、会议费、福利费、日常维修费、专用材料及一般设备购置费、办公用房水电费、公务用车运行维护费及其他费用。</w:t>
      </w:r>
    </w:p>
    <w:p>
      <w:pPr>
        <w:spacing w:line="560" w:lineRule="exact"/>
        <w:ind w:firstLine="720"/>
        <w:rPr>
          <w:rFonts w:ascii="仿宋" w:hAnsi="仿宋" w:eastAsia="仿宋"/>
          <w:b/>
          <w:sz w:val="32"/>
          <w:szCs w:val="32"/>
        </w:rPr>
      </w:pPr>
      <w:r>
        <w:rPr>
          <w:rFonts w:ascii="仿宋" w:hAnsi="仿宋" w:eastAsia="仿宋"/>
          <w:b/>
          <w:sz w:val="32"/>
          <w:szCs w:val="32"/>
        </w:rPr>
        <w:t>7.</w:t>
      </w:r>
      <w:r>
        <w:rPr>
          <w:rFonts w:hint="eastAsia" w:ascii="仿宋" w:hAnsi="仿宋" w:eastAsia="仿宋"/>
          <w:b/>
          <w:sz w:val="32"/>
          <w:szCs w:val="32"/>
        </w:rPr>
        <w:t>“三公”经费</w:t>
      </w:r>
    </w:p>
    <w:p>
      <w:pPr>
        <w:spacing w:line="560" w:lineRule="exact"/>
        <w:ind w:firstLine="720"/>
        <w:rPr>
          <w:rFonts w:ascii="仿宋" w:hAnsi="仿宋" w:eastAsia="仿宋"/>
          <w:sz w:val="32"/>
          <w:szCs w:val="32"/>
        </w:rPr>
      </w:pPr>
      <w:r>
        <w:rPr>
          <w:rFonts w:hint="eastAsia" w:ascii="仿宋" w:hAnsi="仿宋" w:eastAsia="仿宋"/>
          <w:sz w:val="32"/>
          <w:szCs w:val="32"/>
        </w:rPr>
        <w:t>“三公”经费是指因公出国（境）费、公务用车购置及运行维护费和公务接待费。</w:t>
      </w:r>
    </w:p>
    <w:p>
      <w:pPr>
        <w:spacing w:line="560" w:lineRule="exact"/>
        <w:ind w:firstLine="720"/>
        <w:rPr>
          <w:rFonts w:ascii="仿宋" w:hAnsi="仿宋" w:eastAsia="仿宋"/>
          <w:sz w:val="32"/>
          <w:szCs w:val="32"/>
        </w:rPr>
      </w:pPr>
      <w:r>
        <w:rPr>
          <w:rFonts w:hint="eastAsia" w:ascii="仿宋" w:hAnsi="仿宋" w:eastAsia="仿宋"/>
          <w:sz w:val="32"/>
          <w:szCs w:val="32"/>
        </w:rPr>
        <w:t>因公出国（境）费是指单位公务出国（境）的国际旅费、国外城市间交通费、住宿费、伙食费、培训费、公杂费等支出。</w:t>
      </w:r>
    </w:p>
    <w:p>
      <w:pPr>
        <w:spacing w:line="560" w:lineRule="exact"/>
        <w:ind w:firstLine="720"/>
        <w:rPr>
          <w:rFonts w:ascii="仿宋" w:hAnsi="仿宋" w:eastAsia="仿宋"/>
          <w:sz w:val="32"/>
          <w:szCs w:val="32"/>
        </w:rPr>
      </w:pPr>
      <w:r>
        <w:rPr>
          <w:rFonts w:hint="eastAsia" w:ascii="仿宋" w:hAnsi="仿宋" w:eastAsia="仿宋"/>
          <w:sz w:val="32"/>
          <w:szCs w:val="32"/>
        </w:rPr>
        <w:t>公务用车购置及运行维护费是指单位购置公务用车及公务用车租用费、燃料费、维修费、路桥费、保险费等支出。</w:t>
      </w:r>
    </w:p>
    <w:p>
      <w:pPr>
        <w:spacing w:line="560" w:lineRule="exact"/>
        <w:ind w:firstLine="720"/>
        <w:rPr>
          <w:rFonts w:ascii="仿宋" w:hAnsi="仿宋" w:eastAsia="仿宋"/>
          <w:sz w:val="32"/>
          <w:szCs w:val="32"/>
        </w:rPr>
      </w:pPr>
      <w:r>
        <w:rPr>
          <w:rFonts w:hint="eastAsia" w:ascii="仿宋" w:hAnsi="仿宋" w:eastAsia="仿宋"/>
          <w:sz w:val="32"/>
          <w:szCs w:val="32"/>
        </w:rPr>
        <w:t>公务接待费是指单位按规定开支的各类公务接待（含外宾接待）费用。</w:t>
      </w:r>
    </w:p>
    <w:p>
      <w:pPr>
        <w:autoSpaceDE w:val="0"/>
        <w:autoSpaceDN w:val="0"/>
        <w:adjustRightInd w:val="0"/>
        <w:spacing w:line="560" w:lineRule="exact"/>
        <w:ind w:firstLine="640" w:firstLineChars="200"/>
        <w:jc w:val="left"/>
        <w:rPr>
          <w:rFonts w:ascii="黑体" w:hAnsi="黑体" w:eastAsia="黑体"/>
          <w:sz w:val="32"/>
          <w:szCs w:val="32"/>
        </w:rPr>
      </w:pPr>
      <w:r>
        <w:rPr>
          <w:rFonts w:hint="eastAsia" w:ascii="黑体" w:hAnsi="黑体" w:eastAsia="黑体" w:cs="仿宋_GB2312"/>
          <w:sz w:val="32"/>
          <w:szCs w:val="32"/>
        </w:rPr>
        <w:t>九、其他需要说明的事项</w:t>
      </w:r>
    </w:p>
    <w:p>
      <w:pPr>
        <w:spacing w:line="560" w:lineRule="exact"/>
        <w:ind w:firstLine="688" w:firstLineChars="215"/>
        <w:rPr>
          <w:rFonts w:ascii="仿宋" w:hAnsi="仿宋" w:eastAsia="仿宋"/>
          <w:sz w:val="32"/>
          <w:szCs w:val="32"/>
        </w:rPr>
      </w:pPr>
      <w:r>
        <w:rPr>
          <w:rFonts w:hint="eastAsia" w:ascii="仿宋" w:hAnsi="仿宋" w:eastAsia="仿宋"/>
          <w:sz w:val="32"/>
          <w:szCs w:val="32"/>
        </w:rPr>
        <w:t>无。</w:t>
      </w:r>
    </w:p>
    <w:sectPr>
      <w:headerReference r:id="rId11" w:type="first"/>
      <w:footerReference r:id="rId14" w:type="first"/>
      <w:headerReference r:id="rId9" w:type="default"/>
      <w:footerReference r:id="rId12" w:type="default"/>
      <w:headerReference r:id="rId10" w:type="even"/>
      <w:footerReference r:id="rId13" w:type="even"/>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1"/>
    <w:multiLevelType w:val="singleLevel"/>
    <w:tmpl w:val="00000001"/>
    <w:lvl w:ilvl="0" w:tentative="0">
      <w:start w:val="3"/>
      <w:numFmt w:val="chineseCounting"/>
      <w:suff w:val="nothing"/>
      <w:lvlText w:val="（%1）"/>
      <w:lvlJc w:val="left"/>
      <w:rPr>
        <w:rFonts w:cs="Times New Roman"/>
      </w:rPr>
    </w:lvl>
  </w:abstractNum>
  <w:abstractNum w:abstractNumId="1">
    <w:nsid w:val="00000002"/>
    <w:multiLevelType w:val="singleLevel"/>
    <w:tmpl w:val="00000002"/>
    <w:lvl w:ilvl="0" w:tentative="0">
      <w:start w:val="3"/>
      <w:numFmt w:val="chineseCounting"/>
      <w:suff w:val="nothing"/>
      <w:lvlText w:val="（%1）"/>
      <w:lvlJc w:val="left"/>
      <w:rPr>
        <w:rFonts w:cs="Times New Roman"/>
      </w:rPr>
    </w:lvl>
  </w:abstractNum>
  <w:abstractNum w:abstractNumId="2">
    <w:nsid w:val="00000004"/>
    <w:multiLevelType w:val="singleLevel"/>
    <w:tmpl w:val="00000004"/>
    <w:lvl w:ilvl="0" w:tentative="0">
      <w:start w:val="2"/>
      <w:numFmt w:val="chineseCounting"/>
      <w:suff w:val="nothing"/>
      <w:lvlText w:val="（%1）"/>
      <w:lvlJc w:val="left"/>
      <w:rPr>
        <w:rFonts w:cs="Times New Roman"/>
      </w:rPr>
    </w:lvl>
  </w:abstractNum>
  <w:abstractNum w:abstractNumId="3">
    <w:nsid w:val="00000005"/>
    <w:multiLevelType w:val="singleLevel"/>
    <w:tmpl w:val="00000005"/>
    <w:lvl w:ilvl="0" w:tentative="0">
      <w:start w:val="4"/>
      <w:numFmt w:val="chineseCounting"/>
      <w:suff w:val="nothing"/>
      <w:lvlText w:val="%1、"/>
      <w:lvlJc w:val="left"/>
      <w:rPr>
        <w:rFonts w:cs="Times New Roman"/>
      </w:rPr>
    </w:lvl>
  </w:abstractNum>
  <w:abstractNum w:abstractNumId="4">
    <w:nsid w:val="0000000C"/>
    <w:multiLevelType w:val="singleLevel"/>
    <w:tmpl w:val="0000000C"/>
    <w:lvl w:ilvl="0" w:tentative="0">
      <w:start w:val="2"/>
      <w:numFmt w:val="chineseCounting"/>
      <w:suff w:val="nothing"/>
      <w:lvlText w:val="（%1）"/>
      <w:lvlJc w:val="left"/>
      <w:rPr>
        <w:rFonts w:cs="Times New Roman"/>
      </w:rPr>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1"/>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817AF"/>
    <w:rsid w:val="007817AF"/>
    <w:rsid w:val="007A2462"/>
    <w:rsid w:val="00BF42D5"/>
    <w:rsid w:val="66E42F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Calibri"/>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nhideWhenUsed/>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iPriority w:val="0"/>
    <w:pPr>
      <w:tabs>
        <w:tab w:val="center" w:pos="4153"/>
        <w:tab w:val="right" w:pos="8306"/>
      </w:tabs>
      <w:snapToGrid w:val="0"/>
      <w:jc w:val="left"/>
    </w:pPr>
    <w:rPr>
      <w:sz w:val="18"/>
      <w:szCs w:val="18"/>
    </w:rPr>
  </w:style>
  <w:style w:type="paragraph" w:styleId="3">
    <w:name w:val="header"/>
    <w:basedOn w:val="1"/>
    <w:link w:val="9"/>
    <w:uiPriority w:val="0"/>
    <w:pPr>
      <w:pBdr>
        <w:bottom w:val="single" w:color="auto" w:sz="6" w:space="1"/>
      </w:pBdr>
      <w:tabs>
        <w:tab w:val="center" w:pos="4153"/>
        <w:tab w:val="right" w:pos="8306"/>
      </w:tabs>
      <w:snapToGrid w:val="0"/>
      <w:jc w:val="center"/>
    </w:pPr>
    <w:rPr>
      <w:sz w:val="18"/>
      <w:szCs w:val="18"/>
    </w:rPr>
  </w:style>
  <w:style w:type="paragraph" w:customStyle="1" w:styleId="6">
    <w:name w:val="List Paragraph1"/>
    <w:basedOn w:val="1"/>
    <w:uiPriority w:val="0"/>
    <w:pPr>
      <w:ind w:firstLine="420" w:firstLineChars="200"/>
    </w:pPr>
  </w:style>
  <w:style w:type="paragraph" w:customStyle="1" w:styleId="7">
    <w:name w:val="[Normal]"/>
    <w:qFormat/>
    <w:uiPriority w:val="0"/>
    <w:rPr>
      <w:rFonts w:ascii="宋体" w:hAnsi="Times New Roman" w:eastAsia="宋体" w:cs="Calibri"/>
      <w:sz w:val="24"/>
      <w:lang w:val="en-US" w:eastAsia="en-US" w:bidi="ar-SA"/>
    </w:rPr>
  </w:style>
  <w:style w:type="character" w:customStyle="1" w:styleId="8">
    <w:name w:val="页脚 Char"/>
    <w:link w:val="2"/>
    <w:semiHidden/>
    <w:qFormat/>
    <w:uiPriority w:val="0"/>
    <w:rPr>
      <w:rFonts w:ascii="Times New Roman" w:hAnsi="Times New Roman" w:eastAsia="宋体" w:cs="Times New Roman"/>
      <w:sz w:val="18"/>
      <w:szCs w:val="18"/>
    </w:rPr>
  </w:style>
  <w:style w:type="character" w:customStyle="1" w:styleId="9">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theme" Target="theme/theme1.xml"/><Relationship Id="rId14" Type="http://schemas.openxmlformats.org/officeDocument/2006/relationships/footer" Target="footer6.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6.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微软中国</Company>
  <Pages>1</Pages>
  <Words>488</Words>
  <Characters>2785</Characters>
  <Lines>23</Lines>
  <Paragraphs>6</Paragraphs>
  <TotalTime>1</TotalTime>
  <ScaleCrop>false</ScaleCrop>
  <LinksUpToDate>false</LinksUpToDate>
  <CharactersWithSpaces>3267</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2017-08-23T18:49:00Z</dcterms:created>
  <dc:creator>微软用户</dc:creator>
  <cp:lastModifiedBy>Administrator</cp:lastModifiedBy>
  <dcterms:modified xsi:type="dcterms:W3CDTF">2024-01-16T02:25:37Z</dcterms:modified>
  <dc:title>微软用户</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AB988657DF31435B8934E161940825B5</vt:lpwstr>
  </property>
</Properties>
</file>