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一、中国共产主义青年团无极县委员会本级收支预算</w:t>
      </w:r>
      <w:r>
        <w:tab/>
      </w:r>
      <w:r>
        <w:fldChar w:fldCharType="begin"/>
      </w:r>
      <w:r>
        <w:instrText xml:space="preserve">PAGEREF _Toc_4_4_0000000019 \h</w:instrText>
      </w:r>
      <w:r>
        <w:fldChar w:fldCharType="separate"/>
      </w:r>
      <w:r>
        <w:t>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3"/>
      </w:pPr>
      <w:bookmarkStart w:id="0" w:name="_Toc_4_4_0000000019"/>
      <w:r>
        <w:rPr>
          <w:rFonts w:ascii="方正小标宋_GBK" w:hAnsi="方正小标宋_GBK" w:eastAsia="方正小标宋_GBK" w:cs="方正小标宋_GBK"/>
          <w:color w:val="000000"/>
          <w:sz w:val="44"/>
        </w:rPr>
        <w:t>一、中国共产主义青年团无极县委员会本级收支预算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48.29</w:t>
            </w:r>
          </w:p>
        </w:tc>
        <w:tc>
          <w:tcPr>
            <w:tcW w:w="4535" w:type="dxa"/>
            <w:vAlign w:val="center"/>
          </w:tcPr>
          <w:p>
            <w:pPr>
              <w:pStyle w:val="12"/>
            </w:pPr>
            <w:r>
              <w:t>一、一般公共服务支出</w:t>
            </w:r>
          </w:p>
        </w:tc>
        <w:tc>
          <w:tcPr>
            <w:tcW w:w="2126" w:type="dxa"/>
            <w:vAlign w:val="center"/>
          </w:tcPr>
          <w:p>
            <w:pPr>
              <w:pStyle w:val="11"/>
            </w:pPr>
            <w:r>
              <w:t>42.31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48.29</w:t>
            </w:r>
          </w:p>
        </w:tc>
        <w:tc>
          <w:tcPr>
            <w:tcW w:w="4535" w:type="dxa"/>
            <w:vAlign w:val="center"/>
          </w:tcPr>
          <w:p>
            <w:pPr>
              <w:pStyle w:val="14"/>
            </w:pPr>
            <w:r>
              <w:t>本年支出合计</w:t>
            </w:r>
          </w:p>
        </w:tc>
        <w:tc>
          <w:tcPr>
            <w:tcW w:w="2126" w:type="dxa"/>
            <w:vAlign w:val="center"/>
          </w:tcPr>
          <w:p>
            <w:pPr>
              <w:pStyle w:val="15"/>
            </w:pPr>
            <w:r>
              <w:t>48.29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48.29</w:t>
            </w:r>
          </w:p>
        </w:tc>
        <w:tc>
          <w:tcPr>
            <w:tcW w:w="4535" w:type="dxa"/>
            <w:vAlign w:val="center"/>
          </w:tcPr>
          <w:p>
            <w:pPr>
              <w:pStyle w:val="14"/>
            </w:pPr>
            <w:r>
              <w:t>支出总计</w:t>
            </w:r>
          </w:p>
        </w:tc>
        <w:tc>
          <w:tcPr>
            <w:tcW w:w="2126" w:type="dxa"/>
            <w:vAlign w:val="center"/>
          </w:tcPr>
          <w:p>
            <w:pPr>
              <w:pStyle w:val="15"/>
            </w:pPr>
            <w:r>
              <w:t>48.29</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48.29</w:t>
            </w:r>
          </w:p>
        </w:tc>
        <w:tc>
          <w:tcPr>
            <w:tcW w:w="1134" w:type="dxa"/>
            <w:vAlign w:val="center"/>
          </w:tcPr>
          <w:p>
            <w:pPr>
              <w:pStyle w:val="15"/>
            </w:pPr>
            <w:r>
              <w:t>48.29</w:t>
            </w:r>
          </w:p>
        </w:tc>
        <w:tc>
          <w:tcPr>
            <w:tcW w:w="1134" w:type="dxa"/>
            <w:vAlign w:val="center"/>
          </w:tcPr>
          <w:p>
            <w:pPr>
              <w:pStyle w:val="15"/>
            </w:pPr>
            <w:r>
              <w:t>48.29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42.31</w:t>
            </w:r>
          </w:p>
        </w:tc>
        <w:tc>
          <w:tcPr>
            <w:tcW w:w="1134" w:type="dxa"/>
            <w:vAlign w:val="center"/>
          </w:tcPr>
          <w:p>
            <w:pPr>
              <w:pStyle w:val="11"/>
            </w:pPr>
            <w:r>
              <w:t>42.31</w:t>
            </w:r>
          </w:p>
        </w:tc>
        <w:tc>
          <w:tcPr>
            <w:tcW w:w="1134" w:type="dxa"/>
            <w:vAlign w:val="center"/>
          </w:tcPr>
          <w:p>
            <w:pPr>
              <w:pStyle w:val="11"/>
            </w:pPr>
            <w:r>
              <w:t>42.31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42.31</w:t>
            </w:r>
          </w:p>
        </w:tc>
        <w:tc>
          <w:tcPr>
            <w:tcW w:w="1134" w:type="dxa"/>
            <w:vAlign w:val="center"/>
          </w:tcPr>
          <w:p>
            <w:pPr>
              <w:pStyle w:val="11"/>
            </w:pPr>
            <w:r>
              <w:t>42.31</w:t>
            </w:r>
          </w:p>
        </w:tc>
        <w:tc>
          <w:tcPr>
            <w:tcW w:w="1134" w:type="dxa"/>
            <w:vAlign w:val="center"/>
          </w:tcPr>
          <w:p>
            <w:pPr>
              <w:pStyle w:val="11"/>
            </w:pPr>
            <w:r>
              <w:t>42.31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40.31</w:t>
            </w:r>
          </w:p>
        </w:tc>
        <w:tc>
          <w:tcPr>
            <w:tcW w:w="1134" w:type="dxa"/>
            <w:vAlign w:val="center"/>
          </w:tcPr>
          <w:p>
            <w:pPr>
              <w:pStyle w:val="11"/>
            </w:pPr>
            <w:r>
              <w:t>40.31</w:t>
            </w:r>
          </w:p>
        </w:tc>
        <w:tc>
          <w:tcPr>
            <w:tcW w:w="1134" w:type="dxa"/>
            <w:vAlign w:val="center"/>
          </w:tcPr>
          <w:p>
            <w:pPr>
              <w:pStyle w:val="11"/>
            </w:pPr>
            <w:r>
              <w:t>40.31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2012999</w:t>
            </w:r>
          </w:p>
        </w:tc>
        <w:tc>
          <w:tcPr>
            <w:tcW w:w="1559" w:type="dxa"/>
            <w:vAlign w:val="center"/>
          </w:tcPr>
          <w:p>
            <w:pPr>
              <w:pStyle w:val="12"/>
            </w:pPr>
            <w:r>
              <w:t>其他群众团体事务支出</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r>
              <w:t>3.90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r>
              <w:t>2.08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48.29</w:t>
            </w:r>
          </w:p>
        </w:tc>
        <w:tc>
          <w:tcPr>
            <w:tcW w:w="1361" w:type="dxa"/>
            <w:vAlign w:val="center"/>
          </w:tcPr>
          <w:p>
            <w:pPr>
              <w:pStyle w:val="15"/>
            </w:pPr>
            <w:r>
              <w:t>46.29</w:t>
            </w:r>
          </w:p>
        </w:tc>
        <w:tc>
          <w:tcPr>
            <w:tcW w:w="1361" w:type="dxa"/>
            <w:vAlign w:val="center"/>
          </w:tcPr>
          <w:p>
            <w:pPr>
              <w:pStyle w:val="15"/>
            </w:pPr>
            <w:r>
              <w:t>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42.31</w:t>
            </w:r>
          </w:p>
        </w:tc>
        <w:tc>
          <w:tcPr>
            <w:tcW w:w="1361" w:type="dxa"/>
            <w:vAlign w:val="center"/>
          </w:tcPr>
          <w:p>
            <w:pPr>
              <w:pStyle w:val="11"/>
            </w:pPr>
            <w:r>
              <w:t>40.31</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42.31</w:t>
            </w:r>
          </w:p>
        </w:tc>
        <w:tc>
          <w:tcPr>
            <w:tcW w:w="1361" w:type="dxa"/>
            <w:vAlign w:val="center"/>
          </w:tcPr>
          <w:p>
            <w:pPr>
              <w:pStyle w:val="11"/>
            </w:pPr>
            <w:r>
              <w:t>40.31</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40.31</w:t>
            </w:r>
          </w:p>
        </w:tc>
        <w:tc>
          <w:tcPr>
            <w:tcW w:w="1361" w:type="dxa"/>
            <w:vAlign w:val="center"/>
          </w:tcPr>
          <w:p>
            <w:pPr>
              <w:pStyle w:val="11"/>
            </w:pPr>
            <w:r>
              <w:t>40.31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2012999</w:t>
            </w:r>
          </w:p>
        </w:tc>
        <w:tc>
          <w:tcPr>
            <w:tcW w:w="4535" w:type="dxa"/>
            <w:vAlign w:val="center"/>
          </w:tcPr>
          <w:p>
            <w:pPr>
              <w:pStyle w:val="12"/>
            </w:pPr>
            <w:r>
              <w:t>其他群众团体事务支出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3.90</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3.90</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3.90</w:t>
            </w:r>
          </w:p>
        </w:tc>
        <w:tc>
          <w:tcPr>
            <w:tcW w:w="1361" w:type="dxa"/>
            <w:vAlign w:val="center"/>
          </w:tcPr>
          <w:p>
            <w:pPr>
              <w:pStyle w:val="11"/>
            </w:pPr>
            <w:r>
              <w:t>3.90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2.08</w:t>
            </w:r>
          </w:p>
        </w:tc>
        <w:tc>
          <w:tcPr>
            <w:tcW w:w="1361" w:type="dxa"/>
            <w:vAlign w:val="center"/>
          </w:tcPr>
          <w:p>
            <w:pPr>
              <w:pStyle w:val="11"/>
            </w:pPr>
            <w:r>
              <w:t>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2.08</w:t>
            </w:r>
          </w:p>
        </w:tc>
        <w:tc>
          <w:tcPr>
            <w:tcW w:w="1361" w:type="dxa"/>
            <w:vAlign w:val="center"/>
          </w:tcPr>
          <w:p>
            <w:pPr>
              <w:pStyle w:val="11"/>
            </w:pPr>
            <w:r>
              <w:t>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2.08</w:t>
            </w:r>
          </w:p>
        </w:tc>
        <w:tc>
          <w:tcPr>
            <w:tcW w:w="1361" w:type="dxa"/>
            <w:vAlign w:val="center"/>
          </w:tcPr>
          <w:p>
            <w:pPr>
              <w:pStyle w:val="11"/>
            </w:pPr>
            <w:r>
              <w:t>2.08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48.29</w:t>
            </w:r>
          </w:p>
        </w:tc>
        <w:tc>
          <w:tcPr>
            <w:tcW w:w="3402" w:type="dxa"/>
            <w:vAlign w:val="center"/>
          </w:tcPr>
          <w:p>
            <w:pPr>
              <w:pStyle w:val="12"/>
            </w:pPr>
            <w:r>
              <w:t>一、一般公共服务支出</w:t>
            </w:r>
          </w:p>
        </w:tc>
        <w:tc>
          <w:tcPr>
            <w:tcW w:w="1474" w:type="dxa"/>
            <w:vAlign w:val="center"/>
          </w:tcPr>
          <w:p>
            <w:pPr>
              <w:pStyle w:val="11"/>
            </w:pPr>
            <w:r>
              <w:t>42.31</w:t>
            </w:r>
          </w:p>
        </w:tc>
        <w:tc>
          <w:tcPr>
            <w:tcW w:w="1474" w:type="dxa"/>
            <w:vAlign w:val="center"/>
          </w:tcPr>
          <w:p>
            <w:pPr>
              <w:pStyle w:val="11"/>
            </w:pPr>
            <w:r>
              <w:t>42.31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3.90</w:t>
            </w:r>
          </w:p>
        </w:tc>
        <w:tc>
          <w:tcPr>
            <w:tcW w:w="1474" w:type="dxa"/>
            <w:vAlign w:val="center"/>
          </w:tcPr>
          <w:p>
            <w:pPr>
              <w:pStyle w:val="11"/>
            </w:pPr>
            <w:r>
              <w:t>3.90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2.08</w:t>
            </w:r>
          </w:p>
        </w:tc>
        <w:tc>
          <w:tcPr>
            <w:tcW w:w="1474" w:type="dxa"/>
            <w:vAlign w:val="center"/>
          </w:tcPr>
          <w:p>
            <w:pPr>
              <w:pStyle w:val="11"/>
            </w:pPr>
            <w:r>
              <w:t>2.08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48.29</w:t>
            </w:r>
          </w:p>
        </w:tc>
        <w:tc>
          <w:tcPr>
            <w:tcW w:w="3402" w:type="dxa"/>
            <w:vAlign w:val="center"/>
          </w:tcPr>
          <w:p>
            <w:pPr>
              <w:pStyle w:val="14"/>
            </w:pPr>
            <w:r>
              <w:t>本年支出合计</w:t>
            </w:r>
          </w:p>
        </w:tc>
        <w:tc>
          <w:tcPr>
            <w:tcW w:w="1474" w:type="dxa"/>
            <w:vAlign w:val="center"/>
          </w:tcPr>
          <w:p>
            <w:pPr>
              <w:pStyle w:val="15"/>
            </w:pPr>
            <w:r>
              <w:t>48.29</w:t>
            </w:r>
          </w:p>
        </w:tc>
        <w:tc>
          <w:tcPr>
            <w:tcW w:w="1474" w:type="dxa"/>
            <w:vAlign w:val="center"/>
          </w:tcPr>
          <w:p>
            <w:pPr>
              <w:pStyle w:val="15"/>
            </w:pPr>
            <w:r>
              <w:t>48.29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48.29</w:t>
            </w:r>
          </w:p>
        </w:tc>
        <w:tc>
          <w:tcPr>
            <w:tcW w:w="3402" w:type="dxa"/>
            <w:vAlign w:val="center"/>
          </w:tcPr>
          <w:p>
            <w:pPr>
              <w:pStyle w:val="14"/>
            </w:pPr>
            <w:r>
              <w:t>支出总计</w:t>
            </w:r>
          </w:p>
        </w:tc>
        <w:tc>
          <w:tcPr>
            <w:tcW w:w="1474" w:type="dxa"/>
            <w:vAlign w:val="center"/>
          </w:tcPr>
          <w:p>
            <w:pPr>
              <w:pStyle w:val="15"/>
            </w:pPr>
            <w:r>
              <w:t>48.29</w:t>
            </w:r>
          </w:p>
        </w:tc>
        <w:tc>
          <w:tcPr>
            <w:tcW w:w="1474" w:type="dxa"/>
            <w:vAlign w:val="center"/>
          </w:tcPr>
          <w:p>
            <w:pPr>
              <w:pStyle w:val="15"/>
            </w:pPr>
            <w:r>
              <w:t>48.29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48.29</w:t>
            </w:r>
          </w:p>
        </w:tc>
        <w:tc>
          <w:tcPr>
            <w:tcW w:w="2551" w:type="dxa"/>
            <w:vAlign w:val="center"/>
          </w:tcPr>
          <w:p>
            <w:pPr>
              <w:pStyle w:val="15"/>
            </w:pPr>
            <w:r>
              <w:t>46.29</w:t>
            </w:r>
          </w:p>
        </w:tc>
        <w:tc>
          <w:tcPr>
            <w:tcW w:w="2551"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42.31</w:t>
            </w:r>
          </w:p>
        </w:tc>
        <w:tc>
          <w:tcPr>
            <w:tcW w:w="2551" w:type="dxa"/>
            <w:vAlign w:val="center"/>
          </w:tcPr>
          <w:p>
            <w:pPr>
              <w:pStyle w:val="11"/>
            </w:pPr>
            <w:r>
              <w:t>40.31</w:t>
            </w: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42.31</w:t>
            </w:r>
          </w:p>
        </w:tc>
        <w:tc>
          <w:tcPr>
            <w:tcW w:w="2551" w:type="dxa"/>
            <w:vAlign w:val="center"/>
          </w:tcPr>
          <w:p>
            <w:pPr>
              <w:pStyle w:val="11"/>
            </w:pPr>
            <w:r>
              <w:t>40.31</w:t>
            </w: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40.31</w:t>
            </w:r>
          </w:p>
        </w:tc>
        <w:tc>
          <w:tcPr>
            <w:tcW w:w="2551" w:type="dxa"/>
            <w:vAlign w:val="center"/>
          </w:tcPr>
          <w:p>
            <w:pPr>
              <w:pStyle w:val="11"/>
            </w:pPr>
            <w:r>
              <w:t>40.31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2012999</w:t>
            </w:r>
          </w:p>
        </w:tc>
        <w:tc>
          <w:tcPr>
            <w:tcW w:w="4535" w:type="dxa"/>
            <w:vAlign w:val="center"/>
          </w:tcPr>
          <w:p>
            <w:pPr>
              <w:pStyle w:val="12"/>
            </w:pPr>
            <w:r>
              <w:t>其他群众团体事务支出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46.29</w:t>
            </w:r>
          </w:p>
        </w:tc>
        <w:tc>
          <w:tcPr>
            <w:tcW w:w="2551" w:type="dxa"/>
            <w:vAlign w:val="center"/>
          </w:tcPr>
          <w:p>
            <w:pPr>
              <w:pStyle w:val="15"/>
            </w:pPr>
            <w:r>
              <w:t>40.03</w:t>
            </w:r>
          </w:p>
        </w:tc>
        <w:tc>
          <w:tcPr>
            <w:tcW w:w="2551" w:type="dxa"/>
            <w:vAlign w:val="center"/>
          </w:tcPr>
          <w:p>
            <w:pPr>
              <w:pStyle w:val="15"/>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40.03</w:t>
            </w:r>
          </w:p>
        </w:tc>
        <w:tc>
          <w:tcPr>
            <w:tcW w:w="2551" w:type="dxa"/>
            <w:vAlign w:val="center"/>
          </w:tcPr>
          <w:p>
            <w:pPr>
              <w:pStyle w:val="11"/>
            </w:pPr>
            <w:r>
              <w:t>40.03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6.90</w:t>
            </w:r>
          </w:p>
        </w:tc>
        <w:tc>
          <w:tcPr>
            <w:tcW w:w="2551" w:type="dxa"/>
            <w:vAlign w:val="center"/>
          </w:tcPr>
          <w:p>
            <w:pPr>
              <w:pStyle w:val="11"/>
            </w:pPr>
            <w:r>
              <w:t>6.90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1.80</w:t>
            </w:r>
          </w:p>
        </w:tc>
        <w:tc>
          <w:tcPr>
            <w:tcW w:w="2551" w:type="dxa"/>
            <w:vAlign w:val="center"/>
          </w:tcPr>
          <w:p>
            <w:pPr>
              <w:pStyle w:val="11"/>
            </w:pPr>
            <w:r>
              <w:t>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3.90</w:t>
            </w:r>
          </w:p>
        </w:tc>
        <w:tc>
          <w:tcPr>
            <w:tcW w:w="2551" w:type="dxa"/>
            <w:vAlign w:val="center"/>
          </w:tcPr>
          <w:p>
            <w:pPr>
              <w:pStyle w:val="11"/>
            </w:pPr>
            <w:r>
              <w:t>3.90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2.08</w:t>
            </w:r>
          </w:p>
        </w:tc>
        <w:tc>
          <w:tcPr>
            <w:tcW w:w="2551" w:type="dxa"/>
            <w:vAlign w:val="center"/>
          </w:tcPr>
          <w:p>
            <w:pPr>
              <w:pStyle w:val="11"/>
            </w:pPr>
            <w:r>
              <w:t>2.08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0.15</w:t>
            </w:r>
          </w:p>
        </w:tc>
        <w:tc>
          <w:tcPr>
            <w:tcW w:w="2551" w:type="dxa"/>
            <w:vAlign w:val="center"/>
          </w:tcPr>
          <w:p>
            <w:pPr>
              <w:pStyle w:val="11"/>
            </w:pPr>
            <w:r>
              <w:t>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6.26</w:t>
            </w:r>
          </w:p>
        </w:tc>
        <w:tc>
          <w:tcPr>
            <w:tcW w:w="2551" w:type="dxa"/>
            <w:vAlign w:val="center"/>
          </w:tcPr>
          <w:p>
            <w:pPr>
              <w:pStyle w:val="11"/>
            </w:pPr>
          </w:p>
        </w:tc>
        <w:tc>
          <w:tcPr>
            <w:tcW w:w="2551" w:type="dxa"/>
            <w:vAlign w:val="center"/>
          </w:tcPr>
          <w:p>
            <w:pPr>
              <w:pStyle w:val="11"/>
            </w:pPr>
            <w:r>
              <w:t>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2.34</w:t>
            </w:r>
          </w:p>
        </w:tc>
        <w:tc>
          <w:tcPr>
            <w:tcW w:w="2551" w:type="dxa"/>
            <w:vAlign w:val="center"/>
          </w:tcPr>
          <w:p>
            <w:pPr>
              <w:pStyle w:val="11"/>
            </w:pPr>
          </w:p>
        </w:tc>
        <w:tc>
          <w:tcPr>
            <w:tcW w:w="2551" w:type="dxa"/>
            <w:vAlign w:val="center"/>
          </w:tcPr>
          <w:p>
            <w:pPr>
              <w:pStyle w:val="11"/>
            </w:pPr>
            <w:r>
              <w:t>2.34</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中国共产主义青年团无极县委员会本级2022年单位预算信息公开情况说明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、《地方预决算公开操作规程》和《关于进一步推进预算公开工作的实施意见》规定，现将中国共产主义青年团无极县委员会本级2022年单位预算公开如下：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1、行使共青团无极县委赋予的领导无极县共青团工作，指导全县少先队工作的职权。</w:t>
      </w:r>
    </w:p>
    <w:p>
      <w:pPr>
        <w:pStyle w:val="25"/>
      </w:pPr>
      <w:r>
        <w:t>2、参与制定全县的青少年事业发展规划和青少年工作方针、政策。对青少年活动阵地和青少年服务机构的建设等事务进行规划和管理。</w:t>
      </w:r>
    </w:p>
    <w:p>
      <w:pPr>
        <w:pStyle w:val="25"/>
      </w:pPr>
      <w:r>
        <w:t>3、参与全县有关青少年事务的法律、地方性法规的制定和实施，协助县委和县政府处理、协调与青少年利益相关的事务。</w:t>
      </w:r>
    </w:p>
    <w:p>
      <w:pPr>
        <w:pStyle w:val="25"/>
      </w:pPr>
      <w:r>
        <w:t>4、调查青少年思想动态和青少年工作状况，研究青少年工作理论和思想教育问题，提出相应对策，开展各种活动。</w:t>
      </w:r>
    </w:p>
    <w:p>
      <w:pPr>
        <w:pStyle w:val="25"/>
      </w:pPr>
      <w:r>
        <w:t>5、协助县政府教育部门做好中，小学学生的教育管理工作，维护学校稳定和社会安定团结。</w:t>
      </w:r>
    </w:p>
    <w:p>
      <w:pPr>
        <w:pStyle w:val="25"/>
      </w:pPr>
      <w:r>
        <w:t>6、在国家建设中，组织和带领青年发挥生力军和突击队作用。</w:t>
      </w:r>
    </w:p>
    <w:p>
      <w:pPr>
        <w:pStyle w:val="25"/>
      </w:pPr>
      <w:r>
        <w:t>7、参与制定有关全县的青年统战工作的政策，做好青年统战对象的团结教育工作，维护和促进祖国统一和民族团结。</w:t>
      </w:r>
    </w:p>
    <w:p>
      <w:pPr>
        <w:pStyle w:val="25"/>
      </w:pPr>
      <w:r>
        <w:t>8、承担县委、县政府和团市委交办的有关事项。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中国共产主义青年团无极县委员会本级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hint="eastAsia" w:eastAsia="方正仿宋_GBK"/>
          <w:color w:val="000000"/>
          <w:sz w:val="28"/>
          <w:lang w:val="en-US" w:eastAsia="zh-CN"/>
        </w:rPr>
        <w:t>单位</w:t>
      </w:r>
      <w:r>
        <w:rPr>
          <w:rFonts w:eastAsia="方正仿宋_GBK"/>
          <w:color w:val="000000"/>
          <w:sz w:val="28"/>
        </w:rPr>
        <w:t>预算的编制实行综合预算管理，即全部收入和支出都反映在预算中。中国共产主义青年团无极县委员会机关及所属事业单位的收支包含在</w:t>
      </w:r>
      <w:r>
        <w:rPr>
          <w:rFonts w:hint="eastAsia" w:eastAsia="方正仿宋_GBK"/>
          <w:color w:val="000000"/>
          <w:sz w:val="28"/>
          <w:lang w:val="en-US" w:eastAsia="zh-CN"/>
        </w:rPr>
        <w:t>单位</w:t>
      </w:r>
      <w:r>
        <w:rPr>
          <w:rFonts w:eastAsia="方正仿宋_GBK"/>
          <w:color w:val="000000"/>
          <w:sz w:val="28"/>
        </w:rPr>
        <w:t>预算中。</w:t>
      </w:r>
    </w:p>
    <w:p>
      <w:pPr>
        <w:spacing w:line="500" w:lineRule="exact"/>
        <w:ind w:firstLine="560"/>
        <w:rPr>
          <w:rFonts w:hint="eastAsia" w:eastAsia="方正仿宋_GBK"/>
          <w:color w:val="000000"/>
          <w:sz w:val="28"/>
          <w:highlight w:val="none"/>
        </w:rPr>
      </w:pPr>
      <w:r>
        <w:rPr>
          <w:rFonts w:hint="eastAsia" w:eastAsia="方正仿宋_GBK"/>
          <w:color w:val="000000"/>
          <w:sz w:val="28"/>
          <w:highlight w:val="none"/>
        </w:rPr>
        <w:t xml:space="preserve">1、收入说明 </w:t>
      </w:r>
    </w:p>
    <w:p>
      <w:pPr>
        <w:spacing w:line="500" w:lineRule="exact"/>
        <w:ind w:firstLine="560"/>
        <w:rPr>
          <w:rFonts w:hint="eastAsia" w:eastAsia="方正仿宋_GBK"/>
          <w:color w:val="000000"/>
          <w:sz w:val="28"/>
          <w:highlight w:val="none"/>
        </w:rPr>
      </w:pPr>
      <w:r>
        <w:rPr>
          <w:rFonts w:hint="eastAsia" w:eastAsia="方正仿宋_GBK"/>
          <w:color w:val="000000"/>
          <w:sz w:val="28"/>
          <w:highlight w:val="none"/>
        </w:rPr>
        <w:t>反映本</w:t>
      </w:r>
      <w:r>
        <w:rPr>
          <w:rFonts w:hint="eastAsia" w:eastAsia="方正仿宋_GBK"/>
          <w:color w:val="000000"/>
          <w:sz w:val="28"/>
          <w:highlight w:val="none"/>
          <w:lang w:val="en-US" w:eastAsia="zh-CN"/>
        </w:rPr>
        <w:t>单位</w:t>
      </w:r>
      <w:r>
        <w:rPr>
          <w:rFonts w:hint="eastAsia" w:eastAsia="方正仿宋_GBK"/>
          <w:color w:val="000000"/>
          <w:sz w:val="28"/>
          <w:highlight w:val="none"/>
        </w:rPr>
        <w:t>当年全部收入，2022年预算收入</w:t>
      </w:r>
      <w:r>
        <w:rPr>
          <w:rFonts w:hint="eastAsia" w:eastAsia="方正仿宋_GBK"/>
          <w:color w:val="000000"/>
          <w:sz w:val="28"/>
          <w:highlight w:val="none"/>
          <w:lang w:val="en-US" w:eastAsia="zh-CN"/>
        </w:rPr>
        <w:t>48.29</w:t>
      </w:r>
      <w:r>
        <w:rPr>
          <w:rFonts w:hint="eastAsia" w:eastAsia="方正仿宋_GBK"/>
          <w:color w:val="000000"/>
          <w:sz w:val="28"/>
          <w:highlight w:val="none"/>
        </w:rPr>
        <w:t>万元，其中：一般公共预算拨款</w:t>
      </w:r>
      <w:r>
        <w:rPr>
          <w:rFonts w:hint="eastAsia" w:eastAsia="方正仿宋_GBK"/>
          <w:color w:val="000000"/>
          <w:sz w:val="28"/>
          <w:highlight w:val="none"/>
          <w:lang w:val="en-US" w:eastAsia="zh-CN"/>
        </w:rPr>
        <w:t>48.29</w:t>
      </w:r>
      <w:r>
        <w:rPr>
          <w:rFonts w:hint="eastAsia" w:eastAsia="方正仿宋_GBK"/>
          <w:color w:val="000000"/>
          <w:sz w:val="28"/>
          <w:highlight w:val="none"/>
        </w:rPr>
        <w:t>万元，基金预算拨款0万元，财政专户核拨0万元，其他来源收入0万元。</w:t>
      </w:r>
    </w:p>
    <w:p>
      <w:pPr>
        <w:spacing w:line="500" w:lineRule="exact"/>
        <w:ind w:firstLine="560"/>
        <w:rPr>
          <w:rFonts w:hint="eastAsia" w:eastAsia="方正仿宋_GBK"/>
          <w:color w:val="000000"/>
          <w:sz w:val="28"/>
          <w:highlight w:val="none"/>
        </w:rPr>
      </w:pPr>
      <w:r>
        <w:rPr>
          <w:rFonts w:hint="eastAsia" w:eastAsia="方正仿宋_GBK"/>
          <w:color w:val="000000"/>
          <w:sz w:val="28"/>
          <w:highlight w:val="none"/>
        </w:rPr>
        <w:t>2、支出说明</w:t>
      </w:r>
    </w:p>
    <w:p>
      <w:pPr>
        <w:spacing w:line="500" w:lineRule="exact"/>
        <w:ind w:firstLine="560"/>
        <w:rPr>
          <w:rFonts w:hint="eastAsia" w:eastAsia="方正仿宋_GBK"/>
          <w:color w:val="000000"/>
          <w:sz w:val="28"/>
          <w:highlight w:val="yellow"/>
        </w:rPr>
      </w:pPr>
      <w:r>
        <w:rPr>
          <w:rFonts w:hint="eastAsia" w:eastAsia="方正仿宋_GBK"/>
          <w:color w:val="000000"/>
          <w:sz w:val="28"/>
          <w:highlight w:val="none"/>
        </w:rPr>
        <w:t>收支预算总表支出栏、基本支出表、项目支出表按经济分类和支出功能分类科目编制，反映 人大年度</w:t>
      </w:r>
      <w:r>
        <w:rPr>
          <w:rFonts w:hint="eastAsia" w:eastAsia="方正仿宋_GBK"/>
          <w:color w:val="000000"/>
          <w:sz w:val="28"/>
          <w:highlight w:val="none"/>
          <w:lang w:val="en-US" w:eastAsia="zh-CN"/>
        </w:rPr>
        <w:t>单位</w:t>
      </w:r>
      <w:r>
        <w:rPr>
          <w:rFonts w:hint="eastAsia" w:eastAsia="方正仿宋_GBK"/>
          <w:color w:val="000000"/>
          <w:sz w:val="28"/>
          <w:highlight w:val="none"/>
        </w:rPr>
        <w:t>预算中支出预算的总体情况。2022年</w:t>
      </w:r>
      <w:r>
        <w:rPr>
          <w:rFonts w:hint="eastAsia" w:eastAsia="方正仿宋_GBK"/>
          <w:color w:val="000000"/>
          <w:sz w:val="28"/>
          <w:highlight w:val="none"/>
          <w:lang w:val="en-US" w:eastAsia="zh-CN"/>
        </w:rPr>
        <w:t>单位</w:t>
      </w:r>
      <w:r>
        <w:rPr>
          <w:rFonts w:hint="eastAsia" w:eastAsia="方正仿宋_GBK"/>
          <w:color w:val="000000"/>
          <w:sz w:val="28"/>
          <w:highlight w:val="none"/>
        </w:rPr>
        <w:t>支出预算为</w:t>
      </w:r>
      <w:r>
        <w:rPr>
          <w:rFonts w:hint="eastAsia" w:eastAsia="方正仿宋_GBK"/>
          <w:color w:val="000000"/>
          <w:sz w:val="28"/>
          <w:highlight w:val="none"/>
          <w:lang w:val="en-US" w:eastAsia="zh-CN"/>
        </w:rPr>
        <w:t>48.29</w:t>
      </w:r>
      <w:r>
        <w:rPr>
          <w:rFonts w:hint="eastAsia" w:eastAsia="方正仿宋_GBK"/>
          <w:color w:val="000000"/>
          <w:sz w:val="28"/>
          <w:highlight w:val="none"/>
        </w:rPr>
        <w:t>万元，其中基本支出</w:t>
      </w:r>
      <w:r>
        <w:rPr>
          <w:rFonts w:hint="eastAsia" w:eastAsia="方正仿宋_GBK"/>
          <w:color w:val="000000"/>
          <w:sz w:val="28"/>
          <w:highlight w:val="none"/>
          <w:lang w:val="en-US" w:eastAsia="zh-CN"/>
        </w:rPr>
        <w:t>46.29</w:t>
      </w:r>
      <w:r>
        <w:rPr>
          <w:rFonts w:hint="eastAsia" w:eastAsia="方正仿宋_GBK"/>
          <w:color w:val="000000"/>
          <w:sz w:val="28"/>
          <w:highlight w:val="none"/>
        </w:rPr>
        <w:t>元，包括人员经费</w:t>
      </w:r>
      <w:r>
        <w:rPr>
          <w:rFonts w:hint="eastAsia" w:eastAsia="方正仿宋_GBK"/>
          <w:color w:val="000000"/>
          <w:sz w:val="28"/>
          <w:highlight w:val="none"/>
          <w:lang w:val="en-US" w:eastAsia="zh-CN"/>
        </w:rPr>
        <w:t>40.03</w:t>
      </w:r>
      <w:r>
        <w:rPr>
          <w:rFonts w:hint="eastAsia" w:eastAsia="方正仿宋_GBK"/>
          <w:color w:val="000000"/>
          <w:sz w:val="28"/>
          <w:highlight w:val="none"/>
        </w:rPr>
        <w:t>万元和日常公用经费</w:t>
      </w:r>
      <w:r>
        <w:rPr>
          <w:rFonts w:hint="eastAsia" w:eastAsia="方正仿宋_GBK"/>
          <w:color w:val="000000"/>
          <w:sz w:val="28"/>
          <w:highlight w:val="none"/>
          <w:lang w:val="en-US" w:eastAsia="zh-CN"/>
        </w:rPr>
        <w:t>6.26</w:t>
      </w:r>
      <w:r>
        <w:rPr>
          <w:rFonts w:hint="eastAsia" w:eastAsia="方正仿宋_GBK"/>
          <w:color w:val="000000"/>
          <w:sz w:val="28"/>
          <w:highlight w:val="none"/>
        </w:rPr>
        <w:t>万元；项目支出</w:t>
      </w:r>
      <w:r>
        <w:rPr>
          <w:rFonts w:hint="eastAsia" w:eastAsia="方正仿宋_GBK"/>
          <w:color w:val="000000"/>
          <w:sz w:val="28"/>
          <w:highlight w:val="none"/>
          <w:lang w:val="en-US" w:eastAsia="zh-CN"/>
        </w:rPr>
        <w:t>2</w:t>
      </w:r>
      <w:r>
        <w:rPr>
          <w:rFonts w:hint="eastAsia" w:eastAsia="方正仿宋_GBK"/>
          <w:color w:val="000000"/>
          <w:sz w:val="28"/>
          <w:highlight w:val="none"/>
        </w:rPr>
        <w:t>万元，主要为</w:t>
      </w:r>
      <w:r>
        <w:rPr>
          <w:rFonts w:hint="eastAsia" w:eastAsia="方正仿宋_GBK"/>
          <w:color w:val="000000"/>
          <w:sz w:val="28"/>
          <w:highlight w:val="none"/>
          <w:lang w:eastAsia="zh-CN"/>
        </w:rPr>
        <w:t>五四活动及预防青少年违法犯罪活动</w:t>
      </w:r>
      <w:r>
        <w:rPr>
          <w:rFonts w:hint="eastAsia" w:eastAsia="方正仿宋_GBK"/>
          <w:color w:val="000000"/>
          <w:sz w:val="28"/>
          <w:highlight w:val="none"/>
        </w:rPr>
        <w:t>经费</w:t>
      </w:r>
      <w:r>
        <w:rPr>
          <w:rFonts w:hint="eastAsia" w:eastAsia="方正仿宋_GBK"/>
          <w:color w:val="000000"/>
          <w:sz w:val="28"/>
          <w:highlight w:val="none"/>
          <w:lang w:val="en-US" w:eastAsia="zh-CN"/>
        </w:rPr>
        <w:t>2</w:t>
      </w:r>
      <w:r>
        <w:rPr>
          <w:rFonts w:hint="eastAsia" w:eastAsia="方正仿宋_GBK"/>
          <w:color w:val="000000"/>
          <w:sz w:val="28"/>
          <w:highlight w:val="none"/>
        </w:rPr>
        <w:t>万元。</w:t>
      </w:r>
    </w:p>
    <w:p>
      <w:pPr>
        <w:spacing w:line="500" w:lineRule="exact"/>
        <w:ind w:firstLine="560"/>
        <w:rPr>
          <w:rFonts w:hint="eastAsia" w:eastAsia="方正仿宋_GBK"/>
          <w:color w:val="000000"/>
          <w:sz w:val="28"/>
          <w:highlight w:val="none"/>
        </w:rPr>
      </w:pPr>
      <w:r>
        <w:rPr>
          <w:rFonts w:hint="eastAsia" w:eastAsia="方正仿宋_GBK"/>
          <w:color w:val="000000"/>
          <w:sz w:val="28"/>
          <w:highlight w:val="none"/>
        </w:rPr>
        <w:t>3、比上年增减情况</w:t>
      </w:r>
    </w:p>
    <w:p>
      <w:pPr>
        <w:spacing w:line="500" w:lineRule="exact"/>
        <w:ind w:firstLine="560"/>
        <w:rPr>
          <w:rFonts w:hint="eastAsia" w:eastAsia="方正仿宋_GBK"/>
          <w:color w:val="000000"/>
          <w:sz w:val="28"/>
          <w:highlight w:val="none"/>
          <w:lang w:eastAsia="zh-CN"/>
        </w:rPr>
      </w:pPr>
      <w:r>
        <w:rPr>
          <w:rFonts w:hint="eastAsia" w:eastAsia="方正仿宋_GBK"/>
          <w:color w:val="000000"/>
          <w:sz w:val="28"/>
          <w:highlight w:val="none"/>
        </w:rPr>
        <w:t>2022年</w:t>
      </w:r>
      <w:r>
        <w:rPr>
          <w:rFonts w:hint="eastAsia" w:eastAsia="方正仿宋_GBK"/>
          <w:color w:val="000000"/>
          <w:sz w:val="28"/>
          <w:highlight w:val="none"/>
          <w:lang w:eastAsia="zh-CN"/>
        </w:rPr>
        <w:t>单位预算收支安排</w:t>
      </w:r>
      <w:r>
        <w:rPr>
          <w:rFonts w:hint="eastAsia" w:eastAsia="方正仿宋_GBK"/>
          <w:color w:val="000000"/>
          <w:sz w:val="28"/>
          <w:highlight w:val="none"/>
          <w:lang w:val="en-US" w:eastAsia="zh-CN"/>
        </w:rPr>
        <w:t>48.29万元，</w:t>
      </w:r>
      <w:r>
        <w:rPr>
          <w:rFonts w:hint="eastAsia" w:eastAsia="方正仿宋_GBK"/>
          <w:color w:val="000000"/>
          <w:sz w:val="28"/>
          <w:highlight w:val="none"/>
        </w:rPr>
        <w:t>较2021年增加</w:t>
      </w:r>
      <w:r>
        <w:rPr>
          <w:rFonts w:hint="eastAsia" w:eastAsia="方正仿宋_GBK"/>
          <w:color w:val="000000"/>
          <w:sz w:val="28"/>
          <w:highlight w:val="none"/>
          <w:lang w:val="en-US" w:eastAsia="zh-CN"/>
        </w:rPr>
        <w:t>15.34</w:t>
      </w:r>
      <w:r>
        <w:rPr>
          <w:rFonts w:hint="eastAsia" w:eastAsia="方正仿宋_GBK"/>
          <w:color w:val="000000"/>
          <w:sz w:val="28"/>
          <w:highlight w:val="none"/>
        </w:rPr>
        <w:t>万元，其中：基本支出增加</w:t>
      </w:r>
      <w:r>
        <w:rPr>
          <w:rFonts w:hint="eastAsia" w:eastAsia="方正仿宋_GBK"/>
          <w:color w:val="000000"/>
          <w:sz w:val="28"/>
          <w:highlight w:val="none"/>
          <w:lang w:val="en-US" w:eastAsia="zh-CN"/>
        </w:rPr>
        <w:t>15.34</w:t>
      </w:r>
      <w:r>
        <w:rPr>
          <w:rFonts w:hint="eastAsia" w:eastAsia="方正仿宋_GBK"/>
          <w:color w:val="000000"/>
          <w:sz w:val="28"/>
          <w:highlight w:val="none"/>
        </w:rPr>
        <w:t>万元，主要是增加人员经费支出</w:t>
      </w:r>
      <w:r>
        <w:rPr>
          <w:rFonts w:hint="eastAsia" w:eastAsia="方正仿宋_GBK"/>
          <w:color w:val="000000"/>
          <w:sz w:val="28"/>
          <w:highlight w:val="none"/>
          <w:lang w:eastAsia="zh-CN"/>
        </w:rPr>
        <w:t>，</w:t>
      </w:r>
      <w:r>
        <w:rPr>
          <w:rFonts w:hint="eastAsia" w:eastAsia="方正仿宋_GBK"/>
          <w:color w:val="000000"/>
          <w:sz w:val="28"/>
          <w:highlight w:val="none"/>
        </w:rPr>
        <w:t>项目支出</w:t>
      </w:r>
      <w:r>
        <w:rPr>
          <w:rFonts w:hint="eastAsia" w:eastAsia="方正仿宋_GBK"/>
          <w:color w:val="000000"/>
          <w:sz w:val="28"/>
          <w:highlight w:val="none"/>
          <w:lang w:eastAsia="zh-CN"/>
        </w:rPr>
        <w:t>无变化。</w:t>
      </w:r>
    </w:p>
    <w:p>
      <w:pPr>
        <w:spacing w:before="10" w:after="10"/>
        <w:ind w:firstLine="640"/>
        <w:outlineLvl w:val="5"/>
      </w:pPr>
      <w:r>
        <w:rPr>
          <w:rFonts w:ascii="黑体" w:hAnsi="黑体" w:eastAsia="黑体" w:cs="黑体"/>
          <w:color w:val="000000"/>
          <w:sz w:val="32"/>
        </w:rPr>
        <w:t>三、机关运行经费安排情况</w:t>
      </w:r>
    </w:p>
    <w:p>
      <w:pPr>
        <w:pStyle w:val="19"/>
      </w:pPr>
      <w:r>
        <w:t>2022年，我</w:t>
      </w:r>
      <w:r>
        <w:rPr>
          <w:rFonts w:hint="eastAsia"/>
          <w:lang w:val="en-US" w:eastAsia="zh-CN"/>
        </w:rPr>
        <w:t>单位</w:t>
      </w:r>
      <w:r>
        <w:t>机关运行</w:t>
      </w:r>
      <w:r>
        <w:rPr>
          <w:highlight w:val="none"/>
        </w:rPr>
        <w:t>经费</w:t>
      </w:r>
      <w:r>
        <w:rPr>
          <w:rFonts w:hint="eastAsia"/>
          <w:highlight w:val="none"/>
        </w:rPr>
        <w:t>共计安排</w:t>
      </w:r>
      <w:r>
        <w:rPr>
          <w:rFonts w:hint="eastAsia"/>
          <w:highlight w:val="none"/>
          <w:lang w:val="en-US" w:eastAsia="zh-CN"/>
        </w:rPr>
        <w:t>6.26</w:t>
      </w:r>
      <w:r>
        <w:rPr>
          <w:rFonts w:hint="eastAsia"/>
          <w:highlight w:val="none"/>
        </w:rPr>
        <w:t>万元，</w:t>
      </w:r>
      <w:r>
        <w:rPr>
          <w:highlight w:val="none"/>
        </w:rPr>
        <w:t>主要用于保证机关正常运转的办公及印刷费、邮电费、差旅费、会议费、福利费、专用材料及一般设备购置费</w:t>
      </w:r>
      <w:r>
        <w:t>、办公用房水电费、办公用房取暖费、日常维修费、办公楼物业管理费、公务车运行维护费等支出。</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财政拨款“三公”经费预算情况及增减变化原因</w:t>
      </w:r>
    </w:p>
    <w:p>
      <w:pPr>
        <w:spacing w:before="10" w:after="10" w:line="360" w:lineRule="auto"/>
        <w:ind w:firstLine="640"/>
        <w:outlineLvl w:val="2"/>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2022年，我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uk-UA" w:bidi="ar-SA"/>
        </w:rPr>
        <w:t>财政拨款“三公”经费预算安排</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w:t>
      </w:r>
      <w:r>
        <w:rPr>
          <w:rFonts w:hint="eastAsia" w:eastAsia="方正仿宋_GBK" w:cs="Times New Roman"/>
          <w:sz w:val="28"/>
          <w:szCs w:val="24"/>
          <w:lang w:val="en-US" w:eastAsia="zh-CN" w:bidi="ar-SA"/>
        </w:rPr>
        <w:t>，其中：因公出国（境）费0万元；公务用车购置及运维费0万元（其中：公务用车购置费0万元，公务用车运行维护费0万元)。其中公务接待费0万元。</w:t>
      </w:r>
      <w:r>
        <w:rPr>
          <w:rFonts w:hint="eastAsia" w:ascii="Times New Roman" w:hAnsi="Times New Roman" w:eastAsia="方正仿宋_GBK" w:cs="Times New Roman"/>
          <w:sz w:val="28"/>
          <w:szCs w:val="24"/>
          <w:lang w:val="en-US" w:eastAsia="uk-UA" w:bidi="ar-SA"/>
        </w:rPr>
        <w:t>与2021年相比持平无增减变化。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1、五四活动以及其他活动志愿服务经费绩效目标表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w:t>
            </w:r>
            <w:r>
              <w:rPr>
                <w:rFonts w:hint="eastAsia"/>
              </w:rPr>
              <w:t>推进青少年思想道德教育</w:t>
            </w:r>
            <w:r>
              <w:rPr>
                <w:rFonts w:hint="eastAsia"/>
                <w:lang w:val="en-US" w:eastAsia="zh-CN"/>
              </w:rPr>
              <w:t xml:space="preserve"> 2、服务青少年成长3、服务中心工作，4、强化从严治团，加强团组织建设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团干部教育和培训覆盖率</w:t>
            </w:r>
          </w:p>
        </w:tc>
        <w:tc>
          <w:tcPr>
            <w:tcW w:w="2835" w:type="dxa"/>
            <w:vAlign w:val="center"/>
          </w:tcPr>
          <w:p>
            <w:pPr>
              <w:pStyle w:val="12"/>
            </w:pPr>
            <w:r>
              <w:t>反映对团干部培训人数占总数的比率</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青年志愿者队伍建设</w:t>
            </w:r>
          </w:p>
        </w:tc>
        <w:tc>
          <w:tcPr>
            <w:tcW w:w="2835" w:type="dxa"/>
            <w:vAlign w:val="center"/>
          </w:tcPr>
          <w:p>
            <w:pPr>
              <w:pStyle w:val="12"/>
            </w:pPr>
            <w:r>
              <w:t>反映新增注册志愿者占注册志愿者总数的比率</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2835" w:type="dxa"/>
            <w:vAlign w:val="center"/>
          </w:tcPr>
          <w:p>
            <w:pPr>
              <w:pStyle w:val="12"/>
            </w:pPr>
            <w:r>
              <w:t>及时性</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按总成本控制</w:t>
            </w:r>
          </w:p>
        </w:tc>
        <w:tc>
          <w:tcPr>
            <w:tcW w:w="2835" w:type="dxa"/>
            <w:vAlign w:val="center"/>
          </w:tcPr>
          <w:p>
            <w:pPr>
              <w:pStyle w:val="12"/>
            </w:pPr>
            <w:r>
              <w:t>按总成本控制</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青少年参加纪念“五四”、“六一”等各类思想引导类活动的满意度</w:t>
            </w:r>
          </w:p>
        </w:tc>
        <w:tc>
          <w:tcPr>
            <w:tcW w:w="2835" w:type="dxa"/>
            <w:vAlign w:val="center"/>
          </w:tcPr>
          <w:p>
            <w:pPr>
              <w:pStyle w:val="12"/>
            </w:pPr>
            <w:r>
              <w:t>反应思想引导对象满意数占总数的比例</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经济效益指标</w:t>
            </w:r>
          </w:p>
        </w:tc>
        <w:tc>
          <w:tcPr>
            <w:tcW w:w="2835" w:type="dxa"/>
            <w:vAlign w:val="center"/>
          </w:tcPr>
          <w:p>
            <w:pPr>
              <w:pStyle w:val="12"/>
            </w:pPr>
            <w:r>
              <w:t>成本利用率</w:t>
            </w:r>
          </w:p>
        </w:tc>
        <w:tc>
          <w:tcPr>
            <w:tcW w:w="2835" w:type="dxa"/>
            <w:vAlign w:val="center"/>
          </w:tcPr>
          <w:p>
            <w:pPr>
              <w:pStyle w:val="12"/>
            </w:pPr>
            <w:r>
              <w:t>成本利用率</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生态效益指标</w:t>
            </w:r>
          </w:p>
        </w:tc>
        <w:tc>
          <w:tcPr>
            <w:tcW w:w="2835" w:type="dxa"/>
            <w:vAlign w:val="center"/>
          </w:tcPr>
          <w:p>
            <w:pPr>
              <w:pStyle w:val="12"/>
            </w:pPr>
            <w:r>
              <w:t>促进生态文明建设，推动绿色发展</w:t>
            </w:r>
          </w:p>
        </w:tc>
        <w:tc>
          <w:tcPr>
            <w:tcW w:w="2835" w:type="dxa"/>
            <w:vAlign w:val="center"/>
          </w:tcPr>
          <w:p>
            <w:pPr>
              <w:pStyle w:val="12"/>
            </w:pPr>
            <w:r>
              <w:t>促进生态文明建设，推动绿色发展和绿色生活方式</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可持续影响指标</w:t>
            </w:r>
          </w:p>
        </w:tc>
        <w:tc>
          <w:tcPr>
            <w:tcW w:w="2835" w:type="dxa"/>
            <w:vAlign w:val="center"/>
          </w:tcPr>
          <w:p>
            <w:pPr>
              <w:pStyle w:val="12"/>
            </w:pPr>
            <w:r>
              <w:t>办理人群体验度(%)</w:t>
            </w:r>
          </w:p>
        </w:tc>
        <w:tc>
          <w:tcPr>
            <w:tcW w:w="2835" w:type="dxa"/>
            <w:vAlign w:val="center"/>
          </w:tcPr>
          <w:p>
            <w:pPr>
              <w:pStyle w:val="12"/>
            </w:pPr>
            <w:r>
              <w:t>办理人群体验度(%)</w:t>
            </w:r>
          </w:p>
        </w:tc>
        <w:tc>
          <w:tcPr>
            <w:tcW w:w="2551" w:type="dxa"/>
            <w:vAlign w:val="center"/>
          </w:tcPr>
          <w:p>
            <w:pPr>
              <w:pStyle w:val="12"/>
            </w:pPr>
            <w:r>
              <w:t>≥90</w:t>
            </w:r>
          </w:p>
        </w:tc>
        <w:tc>
          <w:tcPr>
            <w:tcW w:w="2268"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构建和完善维护青少年发展权益的机制化、社会化、专业化工作体系</w:t>
            </w:r>
          </w:p>
        </w:tc>
        <w:tc>
          <w:tcPr>
            <w:tcW w:w="2551" w:type="dxa"/>
            <w:vAlign w:val="center"/>
          </w:tcPr>
          <w:p>
            <w:pPr>
              <w:pStyle w:val="12"/>
            </w:pPr>
            <w:r>
              <w:t>≥90</w:t>
            </w:r>
          </w:p>
        </w:tc>
        <w:tc>
          <w:tcPr>
            <w:tcW w:w="2268"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2022年，中国共产主义青年团无极县委员会本级安排政府采购预算0.00万元。具体内容见下表。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中国共产主义青年团无极县委员会本级上年末固定资产金额为6.20万元（详见下表）。本年度拟购置固定资产总额为0.00万元，已按要求列入政府采购预算，详见政府采购预算表。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712001中国共产主义青年团无极县委员会本级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32</w:t>
            </w:r>
          </w:p>
        </w:tc>
        <w:tc>
          <w:tcPr>
            <w:tcW w:w="2835" w:type="dxa"/>
            <w:vAlign w:val="center"/>
          </w:tcPr>
          <w:p>
            <w:pPr>
              <w:pStyle w:val="11"/>
            </w:pPr>
            <w:r>
              <w:t>6.20</w:t>
            </w: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88"/>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747AA2D"/>
    <w:multiLevelType w:val="singleLevel"/>
    <w:tmpl w:val="B747AA2D"/>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c1MmM1MzBlYTg4MzA5YmYxMjkxYmMwNjk4MmZkODYifQ=="/>
  </w:docVars>
  <w:rsids>
    <w:rsidRoot w:val="00011C85"/>
    <w:rsid w:val="00011C85"/>
    <w:rsid w:val="00573570"/>
    <w:rsid w:val="00FD3271"/>
    <w:rsid w:val="0F5533FD"/>
    <w:rsid w:val="104B76B9"/>
    <w:rsid w:val="15F24218"/>
    <w:rsid w:val="1BEE6D2B"/>
    <w:rsid w:val="2772502A"/>
    <w:rsid w:val="35EB0F49"/>
    <w:rsid w:val="3F5C12A6"/>
    <w:rsid w:val="42324A3E"/>
    <w:rsid w:val="490D49A2"/>
    <w:rsid w:val="4EC51228"/>
    <w:rsid w:val="55A24E4B"/>
    <w:rsid w:val="5E9044B2"/>
    <w:rsid w:val="61376E94"/>
    <w:rsid w:val="66D17846"/>
    <w:rsid w:val="70722E56"/>
    <w:rsid w:val="74387CB8"/>
    <w:rsid w:val="79933A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2022-06-16T15:40:21Z</dcterms:created>
  <dcterms:modified xsi:type="dcterms:W3CDTF">2022-06-16T07:40:21Z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2022-06-16T15:40:21Z</dcterms:created>
  <dcterms:modified xsi:type="dcterms:W3CDTF">2022-06-16T07:40:21Z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2022-06-16T15:40:22Z</dcterms:created>
  <dcterms:modified xsi:type="dcterms:W3CDTF">2022-06-16T07:40:22Z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2022-06-16T15:40:24Z</dcterms:created>
  <dcterms:modified xsi:type="dcterms:W3CDTF">2022-06-16T07:40:24Z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2022-06-16T15:40:24Z</dcterms:created>
  <dcterms:modified xsi:type="dcterms:W3CDTF">2022-06-16T07:40:24Z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2022-06-16T15:40:22Z</dcterms:created>
  <dcterms:modified xsi:type="dcterms:W3CDTF">2022-06-16T07:40:21Z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2022-06-16T15:40:24Z</dcterms:created>
  <dcterms:modified xsi:type="dcterms:W3CDTF">2022-06-16T07:40:23Z</dcterms:modified>
</cp:coreProperties>
</file>

<file path=customXml/itemProps1.xml><?xml version="1.0" encoding="utf-8"?>
<ds:datastoreItem xmlns:ds="http://schemas.openxmlformats.org/officeDocument/2006/customXml" ds:itemID="{B32E249B-CD53-4B49-BA81-6223EF2CA5F1}">
  <ds:schemaRefs/>
</ds:datastoreItem>
</file>

<file path=customXml/itemProps10.xml><?xml version="1.0" encoding="utf-8"?>
<ds:datastoreItem xmlns:ds="http://schemas.openxmlformats.org/officeDocument/2006/customXml" ds:itemID="{8B47A6D4-8552-4804-B71F-3D4F031F53B1}">
  <ds:schemaRefs/>
</ds:datastoreItem>
</file>

<file path=customXml/itemProps11.xml><?xml version="1.0" encoding="utf-8"?>
<ds:datastoreItem xmlns:ds="http://schemas.openxmlformats.org/officeDocument/2006/customXml" ds:itemID="{3A4B6AAE-A2F3-47BE-B2A8-4A7C926E69F2}">
  <ds:schemaRefs/>
</ds:datastoreItem>
</file>

<file path=customXml/itemProps12.xml><?xml version="1.0" encoding="utf-8"?>
<ds:datastoreItem xmlns:ds="http://schemas.openxmlformats.org/officeDocument/2006/customXml" ds:itemID="{008A1DE9-6A1F-434C-B905-EF5E35573271}">
  <ds:schemaRefs/>
</ds:datastoreItem>
</file>

<file path=customXml/itemProps13.xml><?xml version="1.0" encoding="utf-8"?>
<ds:datastoreItem xmlns:ds="http://schemas.openxmlformats.org/officeDocument/2006/customXml" ds:itemID="{1E8BEAB6-FCA0-40B7-B053-1F0C2A6104F6}">
  <ds:schemaRefs/>
</ds:datastoreItem>
</file>

<file path=customXml/itemProps14.xml><?xml version="1.0" encoding="utf-8"?>
<ds:datastoreItem xmlns:ds="http://schemas.openxmlformats.org/officeDocument/2006/customXml" ds:itemID="{FC011BA3-0B8E-49D1-812D-417FE809CD9B}">
  <ds:schemaRefs/>
</ds:datastoreItem>
</file>

<file path=customXml/itemProps2.xml><?xml version="1.0" encoding="utf-8"?>
<ds:datastoreItem xmlns:ds="http://schemas.openxmlformats.org/officeDocument/2006/customXml" ds:itemID="{94C3D3B1-2024-4181-8958-D3EDD15C1592}">
  <ds:schemaRefs/>
</ds:datastoreItem>
</file>

<file path=customXml/itemProps3.xml><?xml version="1.0" encoding="utf-8"?>
<ds:datastoreItem xmlns:ds="http://schemas.openxmlformats.org/officeDocument/2006/customXml" ds:itemID="{2C238256-512A-413A-B033-E3EBB7231316}">
  <ds:schemaRefs/>
</ds:datastoreItem>
</file>

<file path=customXml/itemProps4.xml><?xml version="1.0" encoding="utf-8"?>
<ds:datastoreItem xmlns:ds="http://schemas.openxmlformats.org/officeDocument/2006/customXml" ds:itemID="{10E42325-EFA0-4241-9CB7-1A9C684BDD80}">
  <ds:schemaRefs/>
</ds:datastoreItem>
</file>

<file path=customXml/itemProps5.xml><?xml version="1.0" encoding="utf-8"?>
<ds:datastoreItem xmlns:ds="http://schemas.openxmlformats.org/officeDocument/2006/customXml" ds:itemID="{E629AC8A-CB63-42F6-BFDA-6B0566387AAE}">
  <ds:schemaRefs/>
</ds:datastoreItem>
</file>

<file path=customXml/itemProps6.xml><?xml version="1.0" encoding="utf-8"?>
<ds:datastoreItem xmlns:ds="http://schemas.openxmlformats.org/officeDocument/2006/customXml" ds:itemID="{C40845E0-D785-4235-9F2A-8D5F246A98DA}">
  <ds:schemaRefs/>
</ds:datastoreItem>
</file>

<file path=customXml/itemProps7.xml><?xml version="1.0" encoding="utf-8"?>
<ds:datastoreItem xmlns:ds="http://schemas.openxmlformats.org/officeDocument/2006/customXml" ds:itemID="{580BF818-03A3-4824-B3C8-AF5F0EAE87E4}">
  <ds:schemaRefs/>
</ds:datastoreItem>
</file>

<file path=customXml/itemProps8.xml><?xml version="1.0" encoding="utf-8"?>
<ds:datastoreItem xmlns:ds="http://schemas.openxmlformats.org/officeDocument/2006/customXml" ds:itemID="{5F34528E-9105-4272-9ED7-92D4A22AFC83}">
  <ds:schemaRefs/>
</ds:datastoreItem>
</file>

<file path=customXml/itemProps9.xml><?xml version="1.0" encoding="utf-8"?>
<ds:datastoreItem xmlns:ds="http://schemas.openxmlformats.org/officeDocument/2006/customXml" ds:itemID="{B114358D-6BA5-463C-893F-CBA72E81BEEE}">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41</Pages>
  <Words>11603</Words>
  <Characters>13333</Characters>
  <Lines>122</Lines>
  <Paragraphs>34</Paragraphs>
  <TotalTime>0</TotalTime>
  <ScaleCrop>false</ScaleCrop>
  <LinksUpToDate>false</LinksUpToDate>
  <CharactersWithSpaces>13594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2022-06-16T08:13:00Z</dcterms:created>
  <dc:creator>Administrator</dc:creator>
  <cp:lastModifiedBy>Administrator</cp:lastModifiedBy>
  <dcterms:modified xsi:type="dcterms:W3CDTF">2024-01-16T02:38:45Z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3A630B253E24412892B42A20B26F7A73</vt:lpwstr>
  </property>
</Properties>
</file>