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2022年部门预算信息公开目录</w:t>
      </w:r>
    </w:p>
    <w:p>
      <w:pPr>
        <w:jc w:val="center"/>
      </w:pP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20</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20</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20</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21</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p>
    <w:p>
      <w:pPr>
        <w:jc w:val="center"/>
      </w:pPr>
    </w:p>
    <w:p>
      <w:pPr>
        <w:jc w:val="center"/>
      </w:pPr>
    </w:p>
    <w:p>
      <w:pPr>
        <w:jc w:val="center"/>
      </w:pPr>
    </w:p>
    <w:p>
      <w:pPr>
        <w:jc w:val="cente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712中国共产主义青年团无极县委员会</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48.29</w:t>
            </w:r>
          </w:p>
        </w:tc>
        <w:tc>
          <w:tcPr>
            <w:tcW w:w="4535" w:type="dxa"/>
            <w:vAlign w:val="center"/>
          </w:tcPr>
          <w:p>
            <w:pPr>
              <w:pStyle w:val="12"/>
            </w:pPr>
            <w:r>
              <w:t>一、一般公共服务支出</w:t>
            </w:r>
          </w:p>
        </w:tc>
        <w:tc>
          <w:tcPr>
            <w:tcW w:w="2126" w:type="dxa"/>
            <w:vAlign w:val="center"/>
          </w:tcPr>
          <w:p>
            <w:pPr>
              <w:pStyle w:val="11"/>
            </w:pPr>
            <w:r>
              <w:t>42.31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48.29</w:t>
            </w:r>
          </w:p>
        </w:tc>
        <w:tc>
          <w:tcPr>
            <w:tcW w:w="4535" w:type="dxa"/>
            <w:vAlign w:val="center"/>
          </w:tcPr>
          <w:p>
            <w:pPr>
              <w:pStyle w:val="14"/>
            </w:pPr>
            <w:r>
              <w:t>本年支出合计</w:t>
            </w:r>
          </w:p>
        </w:tc>
        <w:tc>
          <w:tcPr>
            <w:tcW w:w="2126" w:type="dxa"/>
            <w:vAlign w:val="center"/>
          </w:tcPr>
          <w:p>
            <w:pPr>
              <w:pStyle w:val="15"/>
            </w:pPr>
            <w:r>
              <w:t>48.29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48.29</w:t>
            </w:r>
          </w:p>
        </w:tc>
        <w:tc>
          <w:tcPr>
            <w:tcW w:w="4535" w:type="dxa"/>
            <w:vAlign w:val="center"/>
          </w:tcPr>
          <w:p>
            <w:pPr>
              <w:pStyle w:val="14"/>
            </w:pPr>
            <w:r>
              <w:t>支出总计</w:t>
            </w:r>
          </w:p>
        </w:tc>
        <w:tc>
          <w:tcPr>
            <w:tcW w:w="2126" w:type="dxa"/>
            <w:vAlign w:val="center"/>
          </w:tcPr>
          <w:p>
            <w:pPr>
              <w:pStyle w:val="15"/>
            </w:pPr>
            <w:r>
              <w:t>48.29</w:t>
            </w:r>
          </w:p>
        </w:tc>
      </w:tr>
    </w:tbl>
    <w:p>
      <w:pPr>
        <w:sectPr>
          <w:footerReference r:id="rId3" w:type="default"/>
          <w:footerReference r:id="rId4" w:type="even"/>
          <w:pgSz w:w="16840" w:h="11900" w:orient="landscape"/>
          <w:pgMar w:top="1361" w:right="1020" w:bottom="1134" w:left="1020" w:header="720" w:footer="720" w:gutter="0"/>
          <w:pgNumType w:start="2"/>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712中国共产主义青年团无极县委员会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48.29</w:t>
            </w:r>
          </w:p>
        </w:tc>
        <w:tc>
          <w:tcPr>
            <w:tcW w:w="1134" w:type="dxa"/>
            <w:vAlign w:val="center"/>
          </w:tcPr>
          <w:p>
            <w:pPr>
              <w:pStyle w:val="15"/>
            </w:pPr>
            <w:r>
              <w:t>48.29</w:t>
            </w:r>
          </w:p>
        </w:tc>
        <w:tc>
          <w:tcPr>
            <w:tcW w:w="1134" w:type="dxa"/>
            <w:vAlign w:val="center"/>
          </w:tcPr>
          <w:p>
            <w:pPr>
              <w:pStyle w:val="15"/>
            </w:pPr>
            <w:r>
              <w:t>48.29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42.31</w:t>
            </w:r>
          </w:p>
        </w:tc>
        <w:tc>
          <w:tcPr>
            <w:tcW w:w="1134" w:type="dxa"/>
            <w:vAlign w:val="center"/>
          </w:tcPr>
          <w:p>
            <w:pPr>
              <w:pStyle w:val="11"/>
            </w:pPr>
            <w:r>
              <w:t>42.31</w:t>
            </w:r>
          </w:p>
        </w:tc>
        <w:tc>
          <w:tcPr>
            <w:tcW w:w="1134" w:type="dxa"/>
            <w:vAlign w:val="center"/>
          </w:tcPr>
          <w:p>
            <w:pPr>
              <w:pStyle w:val="11"/>
            </w:pPr>
            <w:r>
              <w:t>42.31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42.31</w:t>
            </w:r>
          </w:p>
        </w:tc>
        <w:tc>
          <w:tcPr>
            <w:tcW w:w="1134" w:type="dxa"/>
            <w:vAlign w:val="center"/>
          </w:tcPr>
          <w:p>
            <w:pPr>
              <w:pStyle w:val="11"/>
            </w:pPr>
            <w:r>
              <w:t>42.31</w:t>
            </w:r>
          </w:p>
        </w:tc>
        <w:tc>
          <w:tcPr>
            <w:tcW w:w="1134" w:type="dxa"/>
            <w:vAlign w:val="center"/>
          </w:tcPr>
          <w:p>
            <w:pPr>
              <w:pStyle w:val="11"/>
            </w:pPr>
            <w:r>
              <w:t>42.31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40.31</w:t>
            </w:r>
          </w:p>
        </w:tc>
        <w:tc>
          <w:tcPr>
            <w:tcW w:w="1134" w:type="dxa"/>
            <w:vAlign w:val="center"/>
          </w:tcPr>
          <w:p>
            <w:pPr>
              <w:pStyle w:val="11"/>
            </w:pPr>
            <w:r>
              <w:t>40.31</w:t>
            </w:r>
          </w:p>
        </w:tc>
        <w:tc>
          <w:tcPr>
            <w:tcW w:w="1134" w:type="dxa"/>
            <w:vAlign w:val="center"/>
          </w:tcPr>
          <w:p>
            <w:pPr>
              <w:pStyle w:val="11"/>
            </w:pPr>
            <w:r>
              <w:t>40.31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2012999</w:t>
            </w:r>
          </w:p>
        </w:tc>
        <w:tc>
          <w:tcPr>
            <w:tcW w:w="1559" w:type="dxa"/>
            <w:vAlign w:val="center"/>
          </w:tcPr>
          <w:p>
            <w:pPr>
              <w:pStyle w:val="12"/>
            </w:pPr>
            <w:r>
              <w:t>其他群众团体事务支出</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2.08</w:t>
            </w:r>
          </w:p>
        </w:tc>
        <w:tc>
          <w:tcPr>
            <w:tcW w:w="1134" w:type="dxa"/>
            <w:vAlign w:val="center"/>
          </w:tcPr>
          <w:p>
            <w:pPr>
              <w:pStyle w:val="11"/>
            </w:pPr>
            <w:r>
              <w:t>2.08</w:t>
            </w:r>
          </w:p>
        </w:tc>
        <w:tc>
          <w:tcPr>
            <w:tcW w:w="1134" w:type="dxa"/>
            <w:vAlign w:val="center"/>
          </w:tcPr>
          <w:p>
            <w:pPr>
              <w:pStyle w:val="11"/>
            </w:pPr>
            <w:r>
              <w:t>2.08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2.08</w:t>
            </w:r>
          </w:p>
        </w:tc>
        <w:tc>
          <w:tcPr>
            <w:tcW w:w="1134" w:type="dxa"/>
            <w:vAlign w:val="center"/>
          </w:tcPr>
          <w:p>
            <w:pPr>
              <w:pStyle w:val="11"/>
            </w:pPr>
            <w:r>
              <w:t>2.08</w:t>
            </w:r>
          </w:p>
        </w:tc>
        <w:tc>
          <w:tcPr>
            <w:tcW w:w="1134" w:type="dxa"/>
            <w:vAlign w:val="center"/>
          </w:tcPr>
          <w:p>
            <w:pPr>
              <w:pStyle w:val="11"/>
            </w:pPr>
            <w:r>
              <w:t>2.08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2.08</w:t>
            </w:r>
          </w:p>
        </w:tc>
        <w:tc>
          <w:tcPr>
            <w:tcW w:w="1134" w:type="dxa"/>
            <w:vAlign w:val="center"/>
          </w:tcPr>
          <w:p>
            <w:pPr>
              <w:pStyle w:val="11"/>
            </w:pPr>
            <w:r>
              <w:t>2.08</w:t>
            </w:r>
          </w:p>
        </w:tc>
        <w:tc>
          <w:tcPr>
            <w:tcW w:w="1134" w:type="dxa"/>
            <w:vAlign w:val="center"/>
          </w:tcPr>
          <w:p>
            <w:pPr>
              <w:pStyle w:val="11"/>
            </w:pPr>
            <w:r>
              <w:t>2.08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712中国共产主义青年团无极县委员会</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48.29</w:t>
            </w:r>
          </w:p>
        </w:tc>
        <w:tc>
          <w:tcPr>
            <w:tcW w:w="1361" w:type="dxa"/>
            <w:vAlign w:val="center"/>
          </w:tcPr>
          <w:p>
            <w:pPr>
              <w:pStyle w:val="15"/>
            </w:pPr>
            <w:r>
              <w:t>46.29</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42.31</w:t>
            </w:r>
          </w:p>
        </w:tc>
        <w:tc>
          <w:tcPr>
            <w:tcW w:w="1361" w:type="dxa"/>
            <w:vAlign w:val="center"/>
          </w:tcPr>
          <w:p>
            <w:pPr>
              <w:pStyle w:val="11"/>
            </w:pPr>
            <w:r>
              <w:t>40.31</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42.31</w:t>
            </w:r>
          </w:p>
        </w:tc>
        <w:tc>
          <w:tcPr>
            <w:tcW w:w="1361" w:type="dxa"/>
            <w:vAlign w:val="center"/>
          </w:tcPr>
          <w:p>
            <w:pPr>
              <w:pStyle w:val="11"/>
            </w:pPr>
            <w:r>
              <w:t>40.31</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40.31</w:t>
            </w:r>
          </w:p>
        </w:tc>
        <w:tc>
          <w:tcPr>
            <w:tcW w:w="1361" w:type="dxa"/>
            <w:vAlign w:val="center"/>
          </w:tcPr>
          <w:p>
            <w:pPr>
              <w:pStyle w:val="11"/>
            </w:pPr>
            <w:r>
              <w:t>40.31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2012999</w:t>
            </w:r>
          </w:p>
        </w:tc>
        <w:tc>
          <w:tcPr>
            <w:tcW w:w="4535" w:type="dxa"/>
            <w:vAlign w:val="center"/>
          </w:tcPr>
          <w:p>
            <w:pPr>
              <w:pStyle w:val="12"/>
            </w:pPr>
            <w:r>
              <w:t>其他群众团体事务支出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3.90</w:t>
            </w:r>
          </w:p>
        </w:tc>
        <w:tc>
          <w:tcPr>
            <w:tcW w:w="1361" w:type="dxa"/>
            <w:vAlign w:val="center"/>
          </w:tcPr>
          <w:p>
            <w:pPr>
              <w:pStyle w:val="11"/>
            </w:pPr>
            <w:r>
              <w:t>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3.90</w:t>
            </w:r>
          </w:p>
        </w:tc>
        <w:tc>
          <w:tcPr>
            <w:tcW w:w="1361" w:type="dxa"/>
            <w:vAlign w:val="center"/>
          </w:tcPr>
          <w:p>
            <w:pPr>
              <w:pStyle w:val="11"/>
            </w:pPr>
            <w:r>
              <w:t>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3.90</w:t>
            </w:r>
          </w:p>
        </w:tc>
        <w:tc>
          <w:tcPr>
            <w:tcW w:w="1361" w:type="dxa"/>
            <w:vAlign w:val="center"/>
          </w:tcPr>
          <w:p>
            <w:pPr>
              <w:pStyle w:val="11"/>
            </w:pPr>
            <w:r>
              <w:t>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2.08</w:t>
            </w:r>
          </w:p>
        </w:tc>
        <w:tc>
          <w:tcPr>
            <w:tcW w:w="1361" w:type="dxa"/>
            <w:vAlign w:val="center"/>
          </w:tcPr>
          <w:p>
            <w:pPr>
              <w:pStyle w:val="11"/>
            </w:pPr>
            <w:r>
              <w:t>2.08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2.08</w:t>
            </w:r>
          </w:p>
        </w:tc>
        <w:tc>
          <w:tcPr>
            <w:tcW w:w="1361" w:type="dxa"/>
            <w:vAlign w:val="center"/>
          </w:tcPr>
          <w:p>
            <w:pPr>
              <w:pStyle w:val="11"/>
            </w:pPr>
            <w:r>
              <w:t>2.08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2.08</w:t>
            </w:r>
          </w:p>
        </w:tc>
        <w:tc>
          <w:tcPr>
            <w:tcW w:w="1361" w:type="dxa"/>
            <w:vAlign w:val="center"/>
          </w:tcPr>
          <w:p>
            <w:pPr>
              <w:pStyle w:val="11"/>
            </w:pPr>
            <w:r>
              <w:t>2.08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712中国共产主义青年团无极县委员会</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48.29</w:t>
            </w:r>
          </w:p>
        </w:tc>
        <w:tc>
          <w:tcPr>
            <w:tcW w:w="3402" w:type="dxa"/>
            <w:vAlign w:val="center"/>
          </w:tcPr>
          <w:p>
            <w:pPr>
              <w:pStyle w:val="12"/>
            </w:pPr>
            <w:r>
              <w:t>一、一般公共服务支出</w:t>
            </w:r>
          </w:p>
        </w:tc>
        <w:tc>
          <w:tcPr>
            <w:tcW w:w="1474" w:type="dxa"/>
            <w:vAlign w:val="center"/>
          </w:tcPr>
          <w:p>
            <w:pPr>
              <w:pStyle w:val="11"/>
            </w:pPr>
            <w:r>
              <w:t>42.31</w:t>
            </w:r>
          </w:p>
        </w:tc>
        <w:tc>
          <w:tcPr>
            <w:tcW w:w="1474" w:type="dxa"/>
            <w:vAlign w:val="center"/>
          </w:tcPr>
          <w:p>
            <w:pPr>
              <w:pStyle w:val="11"/>
            </w:pPr>
            <w:r>
              <w:t>42.31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3.90</w:t>
            </w:r>
          </w:p>
        </w:tc>
        <w:tc>
          <w:tcPr>
            <w:tcW w:w="1474" w:type="dxa"/>
            <w:vAlign w:val="center"/>
          </w:tcPr>
          <w:p>
            <w:pPr>
              <w:pStyle w:val="11"/>
            </w:pPr>
            <w:r>
              <w:t>3.90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2.08</w:t>
            </w:r>
          </w:p>
        </w:tc>
        <w:tc>
          <w:tcPr>
            <w:tcW w:w="1474" w:type="dxa"/>
            <w:vAlign w:val="center"/>
          </w:tcPr>
          <w:p>
            <w:pPr>
              <w:pStyle w:val="11"/>
            </w:pPr>
            <w:r>
              <w:t>2.08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48.29</w:t>
            </w:r>
          </w:p>
        </w:tc>
        <w:tc>
          <w:tcPr>
            <w:tcW w:w="3402" w:type="dxa"/>
            <w:vAlign w:val="center"/>
          </w:tcPr>
          <w:p>
            <w:pPr>
              <w:pStyle w:val="14"/>
            </w:pPr>
            <w:r>
              <w:t>本年支出合计</w:t>
            </w:r>
          </w:p>
        </w:tc>
        <w:tc>
          <w:tcPr>
            <w:tcW w:w="1474" w:type="dxa"/>
            <w:vAlign w:val="center"/>
          </w:tcPr>
          <w:p>
            <w:pPr>
              <w:pStyle w:val="15"/>
            </w:pPr>
            <w:r>
              <w:t>48.29</w:t>
            </w:r>
          </w:p>
        </w:tc>
        <w:tc>
          <w:tcPr>
            <w:tcW w:w="1474" w:type="dxa"/>
            <w:vAlign w:val="center"/>
          </w:tcPr>
          <w:p>
            <w:pPr>
              <w:pStyle w:val="15"/>
            </w:pPr>
            <w:r>
              <w:t>48.29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48.29</w:t>
            </w:r>
          </w:p>
        </w:tc>
        <w:tc>
          <w:tcPr>
            <w:tcW w:w="3402" w:type="dxa"/>
            <w:vAlign w:val="center"/>
          </w:tcPr>
          <w:p>
            <w:pPr>
              <w:pStyle w:val="14"/>
            </w:pPr>
            <w:r>
              <w:t>支出总计</w:t>
            </w:r>
          </w:p>
        </w:tc>
        <w:tc>
          <w:tcPr>
            <w:tcW w:w="1474" w:type="dxa"/>
            <w:vAlign w:val="center"/>
          </w:tcPr>
          <w:p>
            <w:pPr>
              <w:pStyle w:val="15"/>
            </w:pPr>
            <w:r>
              <w:t>48.29</w:t>
            </w:r>
          </w:p>
        </w:tc>
        <w:tc>
          <w:tcPr>
            <w:tcW w:w="1474" w:type="dxa"/>
            <w:vAlign w:val="center"/>
          </w:tcPr>
          <w:p>
            <w:pPr>
              <w:pStyle w:val="15"/>
            </w:pPr>
            <w:r>
              <w:t>48.29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712中国共产主义青年团无极县委员会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48.29</w:t>
            </w:r>
          </w:p>
        </w:tc>
        <w:tc>
          <w:tcPr>
            <w:tcW w:w="2551" w:type="dxa"/>
            <w:vAlign w:val="center"/>
          </w:tcPr>
          <w:p>
            <w:pPr>
              <w:pStyle w:val="15"/>
            </w:pPr>
            <w:r>
              <w:t>46.29</w:t>
            </w: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42.31</w:t>
            </w:r>
          </w:p>
        </w:tc>
        <w:tc>
          <w:tcPr>
            <w:tcW w:w="2551" w:type="dxa"/>
            <w:vAlign w:val="center"/>
          </w:tcPr>
          <w:p>
            <w:pPr>
              <w:pStyle w:val="11"/>
            </w:pPr>
            <w:r>
              <w:t>40.31</w:t>
            </w: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42.31</w:t>
            </w:r>
          </w:p>
        </w:tc>
        <w:tc>
          <w:tcPr>
            <w:tcW w:w="2551" w:type="dxa"/>
            <w:vAlign w:val="center"/>
          </w:tcPr>
          <w:p>
            <w:pPr>
              <w:pStyle w:val="11"/>
            </w:pPr>
            <w:r>
              <w:t>40.31</w:t>
            </w: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40.31</w:t>
            </w:r>
          </w:p>
        </w:tc>
        <w:tc>
          <w:tcPr>
            <w:tcW w:w="2551" w:type="dxa"/>
            <w:vAlign w:val="center"/>
          </w:tcPr>
          <w:p>
            <w:pPr>
              <w:pStyle w:val="11"/>
            </w:pPr>
            <w:r>
              <w:t>40.31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2012999</w:t>
            </w:r>
          </w:p>
        </w:tc>
        <w:tc>
          <w:tcPr>
            <w:tcW w:w="4535" w:type="dxa"/>
            <w:vAlign w:val="center"/>
          </w:tcPr>
          <w:p>
            <w:pPr>
              <w:pStyle w:val="12"/>
            </w:pPr>
            <w:r>
              <w:t>其他群众团体事务支出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3.90</w:t>
            </w:r>
          </w:p>
        </w:tc>
        <w:tc>
          <w:tcPr>
            <w:tcW w:w="2551" w:type="dxa"/>
            <w:vAlign w:val="center"/>
          </w:tcPr>
          <w:p>
            <w:pPr>
              <w:pStyle w:val="11"/>
            </w:pPr>
            <w:r>
              <w:t>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3.90</w:t>
            </w:r>
          </w:p>
        </w:tc>
        <w:tc>
          <w:tcPr>
            <w:tcW w:w="2551" w:type="dxa"/>
            <w:vAlign w:val="center"/>
          </w:tcPr>
          <w:p>
            <w:pPr>
              <w:pStyle w:val="11"/>
            </w:pPr>
            <w:r>
              <w:t>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3.90</w:t>
            </w:r>
          </w:p>
        </w:tc>
        <w:tc>
          <w:tcPr>
            <w:tcW w:w="2551" w:type="dxa"/>
            <w:vAlign w:val="center"/>
          </w:tcPr>
          <w:p>
            <w:pPr>
              <w:pStyle w:val="11"/>
            </w:pPr>
            <w:r>
              <w:t>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2.08</w:t>
            </w:r>
          </w:p>
        </w:tc>
        <w:tc>
          <w:tcPr>
            <w:tcW w:w="2551" w:type="dxa"/>
            <w:vAlign w:val="center"/>
          </w:tcPr>
          <w:p>
            <w:pPr>
              <w:pStyle w:val="11"/>
            </w:pPr>
            <w:r>
              <w:t>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2.08</w:t>
            </w:r>
          </w:p>
        </w:tc>
        <w:tc>
          <w:tcPr>
            <w:tcW w:w="2551" w:type="dxa"/>
            <w:vAlign w:val="center"/>
          </w:tcPr>
          <w:p>
            <w:pPr>
              <w:pStyle w:val="11"/>
            </w:pPr>
            <w:r>
              <w:t>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2.08</w:t>
            </w:r>
          </w:p>
        </w:tc>
        <w:tc>
          <w:tcPr>
            <w:tcW w:w="2551" w:type="dxa"/>
            <w:vAlign w:val="center"/>
          </w:tcPr>
          <w:p>
            <w:pPr>
              <w:pStyle w:val="11"/>
            </w:pPr>
            <w:r>
              <w:t>2.08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712中国共产主义青年团无极县委员会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46.29</w:t>
            </w:r>
          </w:p>
        </w:tc>
        <w:tc>
          <w:tcPr>
            <w:tcW w:w="2551" w:type="dxa"/>
            <w:vAlign w:val="center"/>
          </w:tcPr>
          <w:p>
            <w:pPr>
              <w:pStyle w:val="15"/>
            </w:pPr>
            <w:r>
              <w:t>40.03</w:t>
            </w:r>
          </w:p>
        </w:tc>
        <w:tc>
          <w:tcPr>
            <w:tcW w:w="2551" w:type="dxa"/>
            <w:vAlign w:val="center"/>
          </w:tcPr>
          <w:p>
            <w:pPr>
              <w:pStyle w:val="15"/>
            </w:pPr>
            <w:r>
              <w:t>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40.03</w:t>
            </w:r>
          </w:p>
        </w:tc>
        <w:tc>
          <w:tcPr>
            <w:tcW w:w="2551" w:type="dxa"/>
            <w:vAlign w:val="center"/>
          </w:tcPr>
          <w:p>
            <w:pPr>
              <w:pStyle w:val="11"/>
            </w:pPr>
            <w:r>
              <w:t>40.03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10.20</w:t>
            </w:r>
          </w:p>
        </w:tc>
        <w:tc>
          <w:tcPr>
            <w:tcW w:w="2551" w:type="dxa"/>
            <w:vAlign w:val="center"/>
          </w:tcPr>
          <w:p>
            <w:pPr>
              <w:pStyle w:val="11"/>
            </w:pPr>
            <w:r>
              <w:t>10.20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6.90</w:t>
            </w:r>
          </w:p>
        </w:tc>
        <w:tc>
          <w:tcPr>
            <w:tcW w:w="2551" w:type="dxa"/>
            <w:vAlign w:val="center"/>
          </w:tcPr>
          <w:p>
            <w:pPr>
              <w:pStyle w:val="11"/>
            </w:pPr>
            <w:r>
              <w:t>6.90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1.80</w:t>
            </w:r>
          </w:p>
        </w:tc>
        <w:tc>
          <w:tcPr>
            <w:tcW w:w="2551" w:type="dxa"/>
            <w:vAlign w:val="center"/>
          </w:tcPr>
          <w:p>
            <w:pPr>
              <w:pStyle w:val="11"/>
            </w:pPr>
            <w:r>
              <w:t>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3.90</w:t>
            </w:r>
          </w:p>
        </w:tc>
        <w:tc>
          <w:tcPr>
            <w:tcW w:w="2551" w:type="dxa"/>
            <w:vAlign w:val="center"/>
          </w:tcPr>
          <w:p>
            <w:pPr>
              <w:pStyle w:val="11"/>
            </w:pPr>
            <w:r>
              <w:t>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2.08</w:t>
            </w:r>
          </w:p>
        </w:tc>
        <w:tc>
          <w:tcPr>
            <w:tcW w:w="2551" w:type="dxa"/>
            <w:vAlign w:val="center"/>
          </w:tcPr>
          <w:p>
            <w:pPr>
              <w:pStyle w:val="11"/>
            </w:pPr>
            <w:r>
              <w:t>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0.15</w:t>
            </w:r>
          </w:p>
        </w:tc>
        <w:tc>
          <w:tcPr>
            <w:tcW w:w="2551" w:type="dxa"/>
            <w:vAlign w:val="center"/>
          </w:tcPr>
          <w:p>
            <w:pPr>
              <w:pStyle w:val="11"/>
            </w:pPr>
            <w:r>
              <w:t>0.15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6.26</w:t>
            </w:r>
          </w:p>
        </w:tc>
        <w:tc>
          <w:tcPr>
            <w:tcW w:w="2551" w:type="dxa"/>
            <w:vAlign w:val="center"/>
          </w:tcPr>
          <w:p>
            <w:pPr>
              <w:pStyle w:val="11"/>
            </w:pPr>
          </w:p>
        </w:tc>
        <w:tc>
          <w:tcPr>
            <w:tcW w:w="2551" w:type="dxa"/>
            <w:vAlign w:val="center"/>
          </w:tcPr>
          <w:p>
            <w:pPr>
              <w:pStyle w:val="11"/>
            </w:pPr>
            <w:r>
              <w:t>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1.92</w:t>
            </w:r>
          </w:p>
        </w:tc>
        <w:tc>
          <w:tcPr>
            <w:tcW w:w="2551" w:type="dxa"/>
            <w:vAlign w:val="center"/>
          </w:tcPr>
          <w:p>
            <w:pPr>
              <w:pStyle w:val="11"/>
            </w:pPr>
          </w:p>
        </w:tc>
        <w:tc>
          <w:tcPr>
            <w:tcW w:w="2551" w:type="dxa"/>
            <w:vAlign w:val="center"/>
          </w:tcPr>
          <w:p>
            <w:pPr>
              <w:pStyle w:val="11"/>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2.34</w:t>
            </w:r>
          </w:p>
        </w:tc>
        <w:tc>
          <w:tcPr>
            <w:tcW w:w="2551" w:type="dxa"/>
            <w:vAlign w:val="center"/>
          </w:tcPr>
          <w:p>
            <w:pPr>
              <w:pStyle w:val="11"/>
            </w:pPr>
          </w:p>
        </w:tc>
        <w:tc>
          <w:tcPr>
            <w:tcW w:w="2551" w:type="dxa"/>
            <w:vAlign w:val="center"/>
          </w:tcPr>
          <w:p>
            <w:pPr>
              <w:pStyle w:val="11"/>
            </w:pPr>
            <w:r>
              <w:t>2.34</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712中国共产主义青年团无极县委员会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712中国共产主义青年团无极县委员会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712中国共产主义青年团无极县委员会</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中国共产主义青年团无极县委员会2022年部门预算信息公开情况说明</w:t>
      </w:r>
    </w:p>
    <w:p>
      <w:pPr>
        <w:jc w:val="center"/>
      </w:pPr>
      <w:r>
        <w:rPr>
          <w:rFonts w:ascii="方正小标宋_GBK" w:hAnsi="方正小标宋_GBK" w:eastAsia="方正小标宋_GBK" w:cs="方正小标宋_GBK"/>
          <w:color w:val="000000"/>
          <w:sz w:val="44"/>
        </w:rPr>
        <w:t>中国共产主义青年团无极县委员会2022年部门预算信息公开情况说明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、《地方预决算公开操作规程》和《关于进一步推进预算公开工作的实施意见》规定，现将中国共产主义青年团无极县委员会2022年部门预算公开如下：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1、行使共青团无极县委赋予的领导无极县共青团工作，指导全县少先队工作的职权。</w:t>
      </w:r>
    </w:p>
    <w:p>
      <w:pPr>
        <w:pStyle w:val="17"/>
      </w:pPr>
      <w:r>
        <w:t>2、参与制定全县的青少年事业发展规划和青少年工作方针、政策。对青少年活动阵地和青少年服务机构的建设等事务进行规划和管理。</w:t>
      </w:r>
    </w:p>
    <w:p>
      <w:pPr>
        <w:pStyle w:val="17"/>
      </w:pPr>
      <w:r>
        <w:t>3、参与全县有关青少年事务的法律、地方性法规的制定和实施，协助县委和县政府处理、协调与青少年利益相关的事务。</w:t>
      </w:r>
    </w:p>
    <w:p>
      <w:pPr>
        <w:pStyle w:val="17"/>
      </w:pPr>
      <w:r>
        <w:t>4、调查青少年思想动态和青少年工作状况，研究青少年工作理论和思想教育问题，提出相应对策，开展各种活动。</w:t>
      </w:r>
    </w:p>
    <w:p>
      <w:pPr>
        <w:pStyle w:val="17"/>
      </w:pPr>
      <w:r>
        <w:t>5、协助县政府教育部门做好中，小学学生的教育管理工作，维护学校稳定和社会安定团结。</w:t>
      </w:r>
    </w:p>
    <w:p>
      <w:pPr>
        <w:pStyle w:val="17"/>
      </w:pPr>
      <w:r>
        <w:t>6、在国家建设中，组织和带领青年发挥生力军和突击队作用。</w:t>
      </w:r>
    </w:p>
    <w:p>
      <w:pPr>
        <w:pStyle w:val="17"/>
      </w:pPr>
      <w:r>
        <w:t>7、参与制定有关全县的青年统战工作的政策，做好青年统战对象的团结教育工作，维护和促进祖国统一和民族团结。</w:t>
      </w:r>
    </w:p>
    <w:p>
      <w:pPr>
        <w:pStyle w:val="17"/>
      </w:pPr>
      <w:r>
        <w:t>8、承担县委、县政府和团市委交办的有关事项。</w:t>
      </w:r>
    </w:p>
    <w:p>
      <w:pPr>
        <w:pStyle w:val="17"/>
      </w:pP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中国共产主义青年团无极县委员会本级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部门预算的编制实行综合预算管理，即全部收入和支出都反映在预算中。中国共产主义青年团无极县委员会机关及所属事业单位的收支包含在部门预算中。</w:t>
      </w:r>
    </w:p>
    <w:p>
      <w:pPr>
        <w:spacing w:line="500" w:lineRule="exact"/>
        <w:ind w:firstLine="560"/>
        <w:rPr>
          <w:rFonts w:hint="eastAsia" w:eastAsia="方正仿宋_GBK"/>
          <w:color w:val="000000"/>
          <w:sz w:val="28"/>
          <w:highlight w:val="none"/>
        </w:rPr>
      </w:pPr>
      <w:bookmarkStart w:id="11" w:name="_Toc_3_3_0000000012"/>
      <w:r>
        <w:rPr>
          <w:rFonts w:hint="eastAsia" w:eastAsia="方正仿宋_GBK"/>
          <w:color w:val="000000"/>
          <w:sz w:val="28"/>
          <w:highlight w:val="none"/>
        </w:rPr>
        <w:t xml:space="preserve">1、收入说明 </w:t>
      </w:r>
    </w:p>
    <w:p>
      <w:pPr>
        <w:spacing w:line="500" w:lineRule="exact"/>
        <w:ind w:firstLine="560"/>
        <w:rPr>
          <w:rFonts w:hint="eastAsia" w:eastAsia="方正仿宋_GBK"/>
          <w:color w:val="000000"/>
          <w:sz w:val="28"/>
          <w:highlight w:val="none"/>
        </w:rPr>
      </w:pPr>
      <w:r>
        <w:rPr>
          <w:rFonts w:hint="eastAsia" w:eastAsia="方正仿宋_GBK"/>
          <w:color w:val="000000"/>
          <w:sz w:val="28"/>
          <w:highlight w:val="none"/>
        </w:rPr>
        <w:t>反映本部门当年全部收入，2022年预算收入</w:t>
      </w:r>
      <w:r>
        <w:rPr>
          <w:rFonts w:hint="eastAsia" w:eastAsia="方正仿宋_GBK"/>
          <w:color w:val="000000"/>
          <w:sz w:val="28"/>
          <w:highlight w:val="none"/>
          <w:lang w:val="en-US" w:eastAsia="zh-CN"/>
        </w:rPr>
        <w:t>48.29</w:t>
      </w:r>
      <w:r>
        <w:rPr>
          <w:rFonts w:hint="eastAsia" w:eastAsia="方正仿宋_GBK"/>
          <w:color w:val="000000"/>
          <w:sz w:val="28"/>
          <w:highlight w:val="none"/>
        </w:rPr>
        <w:t>万元，其中：一般公共预算拨款</w:t>
      </w:r>
      <w:r>
        <w:rPr>
          <w:rFonts w:hint="eastAsia" w:eastAsia="方正仿宋_GBK"/>
          <w:color w:val="000000"/>
          <w:sz w:val="28"/>
          <w:highlight w:val="none"/>
          <w:lang w:val="en-US" w:eastAsia="zh-CN"/>
        </w:rPr>
        <w:t>48.29</w:t>
      </w:r>
      <w:r>
        <w:rPr>
          <w:rFonts w:hint="eastAsia" w:eastAsia="方正仿宋_GBK"/>
          <w:color w:val="000000"/>
          <w:sz w:val="28"/>
          <w:highlight w:val="none"/>
        </w:rPr>
        <w:t>万元，基金预算拨款0万元，财政专户核拨0万元，其他来源收入0万元。</w:t>
      </w:r>
    </w:p>
    <w:p>
      <w:pPr>
        <w:spacing w:line="500" w:lineRule="exact"/>
        <w:ind w:firstLine="560"/>
        <w:rPr>
          <w:rFonts w:hint="eastAsia" w:eastAsia="方正仿宋_GBK"/>
          <w:color w:val="000000"/>
          <w:sz w:val="28"/>
          <w:highlight w:val="none"/>
        </w:rPr>
      </w:pPr>
      <w:r>
        <w:rPr>
          <w:rFonts w:hint="eastAsia" w:eastAsia="方正仿宋_GBK"/>
          <w:color w:val="000000"/>
          <w:sz w:val="28"/>
          <w:highlight w:val="none"/>
        </w:rPr>
        <w:t>2、支出说明</w:t>
      </w:r>
    </w:p>
    <w:p>
      <w:pPr>
        <w:spacing w:line="500" w:lineRule="exact"/>
        <w:ind w:firstLine="560"/>
        <w:rPr>
          <w:rFonts w:hint="eastAsia" w:eastAsia="方正仿宋_GBK"/>
          <w:color w:val="000000"/>
          <w:sz w:val="28"/>
          <w:highlight w:val="yellow"/>
        </w:rPr>
      </w:pPr>
      <w:r>
        <w:rPr>
          <w:rFonts w:hint="eastAsia" w:eastAsia="方正仿宋_GBK"/>
          <w:color w:val="000000"/>
          <w:sz w:val="28"/>
          <w:highlight w:val="none"/>
        </w:rPr>
        <w:t>收支预算总表支出栏、基本支出表、项目支出表按经济分类和支出功能分类科目编制，反映人大年度部门预算中支出预算的总体情况。2022年部门支出预算为</w:t>
      </w:r>
      <w:r>
        <w:rPr>
          <w:rFonts w:hint="eastAsia" w:eastAsia="方正仿宋_GBK"/>
          <w:color w:val="000000"/>
          <w:sz w:val="28"/>
          <w:highlight w:val="none"/>
          <w:lang w:val="en-US" w:eastAsia="zh-CN"/>
        </w:rPr>
        <w:t>48.29</w:t>
      </w:r>
      <w:r>
        <w:rPr>
          <w:rFonts w:hint="eastAsia" w:eastAsia="方正仿宋_GBK"/>
          <w:color w:val="000000"/>
          <w:sz w:val="28"/>
          <w:highlight w:val="none"/>
        </w:rPr>
        <w:t>万元，其中基本支出</w:t>
      </w:r>
      <w:r>
        <w:rPr>
          <w:rFonts w:hint="eastAsia" w:eastAsia="方正仿宋_GBK"/>
          <w:color w:val="000000"/>
          <w:sz w:val="28"/>
          <w:highlight w:val="none"/>
          <w:lang w:val="en-US" w:eastAsia="zh-CN"/>
        </w:rPr>
        <w:t>46.29</w:t>
      </w:r>
      <w:r>
        <w:rPr>
          <w:rFonts w:hint="eastAsia" w:eastAsia="方正仿宋_GBK"/>
          <w:color w:val="000000"/>
          <w:sz w:val="28"/>
          <w:highlight w:val="none"/>
        </w:rPr>
        <w:t>元，包括人员经费</w:t>
      </w:r>
      <w:r>
        <w:rPr>
          <w:rFonts w:hint="eastAsia" w:eastAsia="方正仿宋_GBK"/>
          <w:color w:val="000000"/>
          <w:sz w:val="28"/>
          <w:highlight w:val="none"/>
          <w:lang w:val="en-US" w:eastAsia="zh-CN"/>
        </w:rPr>
        <w:t>40.03</w:t>
      </w:r>
      <w:r>
        <w:rPr>
          <w:rFonts w:hint="eastAsia" w:eastAsia="方正仿宋_GBK"/>
          <w:color w:val="000000"/>
          <w:sz w:val="28"/>
          <w:highlight w:val="none"/>
        </w:rPr>
        <w:t>万元和日常公用经费</w:t>
      </w:r>
      <w:r>
        <w:rPr>
          <w:rFonts w:hint="eastAsia" w:eastAsia="方正仿宋_GBK"/>
          <w:color w:val="000000"/>
          <w:sz w:val="28"/>
          <w:highlight w:val="none"/>
          <w:lang w:val="en-US" w:eastAsia="zh-CN"/>
        </w:rPr>
        <w:t>6.26</w:t>
      </w:r>
      <w:r>
        <w:rPr>
          <w:rFonts w:hint="eastAsia" w:eastAsia="方正仿宋_GBK"/>
          <w:color w:val="000000"/>
          <w:sz w:val="28"/>
          <w:highlight w:val="none"/>
        </w:rPr>
        <w:t>万元；项目支出</w:t>
      </w:r>
      <w:r>
        <w:rPr>
          <w:rFonts w:hint="eastAsia" w:eastAsia="方正仿宋_GBK"/>
          <w:color w:val="000000"/>
          <w:sz w:val="28"/>
          <w:highlight w:val="none"/>
          <w:lang w:val="en-US" w:eastAsia="zh-CN"/>
        </w:rPr>
        <w:t>2</w:t>
      </w:r>
      <w:r>
        <w:rPr>
          <w:rFonts w:hint="eastAsia" w:eastAsia="方正仿宋_GBK"/>
          <w:color w:val="000000"/>
          <w:sz w:val="28"/>
          <w:highlight w:val="none"/>
        </w:rPr>
        <w:t>万元，主要为</w:t>
      </w:r>
      <w:r>
        <w:rPr>
          <w:rFonts w:hint="eastAsia" w:eastAsia="方正仿宋_GBK"/>
          <w:color w:val="000000"/>
          <w:sz w:val="28"/>
          <w:highlight w:val="none"/>
          <w:lang w:eastAsia="zh-CN"/>
        </w:rPr>
        <w:t>五四活动及预防青少年违法犯罪活动</w:t>
      </w:r>
      <w:r>
        <w:rPr>
          <w:rFonts w:hint="eastAsia" w:eastAsia="方正仿宋_GBK"/>
          <w:color w:val="000000"/>
          <w:sz w:val="28"/>
          <w:highlight w:val="none"/>
        </w:rPr>
        <w:t>经费</w:t>
      </w:r>
      <w:r>
        <w:rPr>
          <w:rFonts w:hint="eastAsia" w:eastAsia="方正仿宋_GBK"/>
          <w:color w:val="000000"/>
          <w:sz w:val="28"/>
          <w:highlight w:val="none"/>
          <w:lang w:val="en-US" w:eastAsia="zh-CN"/>
        </w:rPr>
        <w:t>2</w:t>
      </w:r>
      <w:r>
        <w:rPr>
          <w:rFonts w:hint="eastAsia" w:eastAsia="方正仿宋_GBK"/>
          <w:color w:val="000000"/>
          <w:sz w:val="28"/>
          <w:highlight w:val="none"/>
        </w:rPr>
        <w:t>万元。</w:t>
      </w:r>
    </w:p>
    <w:p>
      <w:pPr>
        <w:spacing w:line="500" w:lineRule="exact"/>
        <w:ind w:firstLine="560"/>
        <w:rPr>
          <w:rFonts w:hint="eastAsia" w:eastAsia="方正仿宋_GBK"/>
          <w:color w:val="000000"/>
          <w:sz w:val="28"/>
          <w:highlight w:val="none"/>
        </w:rPr>
      </w:pPr>
      <w:r>
        <w:rPr>
          <w:rFonts w:hint="eastAsia" w:eastAsia="方正仿宋_GBK"/>
          <w:color w:val="000000"/>
          <w:sz w:val="28"/>
          <w:highlight w:val="none"/>
        </w:rPr>
        <w:t>3、比上年增减情况</w:t>
      </w:r>
    </w:p>
    <w:p>
      <w:pPr>
        <w:spacing w:line="500" w:lineRule="exact"/>
        <w:ind w:firstLine="560"/>
        <w:rPr>
          <w:rFonts w:hint="eastAsia" w:eastAsia="方正仿宋_GBK"/>
          <w:color w:val="000000"/>
          <w:sz w:val="28"/>
          <w:highlight w:val="none"/>
          <w:lang w:eastAsia="zh-CN"/>
        </w:rPr>
      </w:pPr>
      <w:r>
        <w:rPr>
          <w:rFonts w:hint="eastAsia" w:eastAsia="方正仿宋_GBK"/>
          <w:color w:val="000000"/>
          <w:sz w:val="28"/>
          <w:highlight w:val="none"/>
        </w:rPr>
        <w:t>2022年</w:t>
      </w:r>
      <w:r>
        <w:rPr>
          <w:rFonts w:hint="eastAsia" w:eastAsia="方正仿宋_GBK"/>
          <w:color w:val="000000"/>
          <w:sz w:val="28"/>
          <w:highlight w:val="none"/>
          <w:lang w:val="en-US" w:eastAsia="zh-CN"/>
        </w:rPr>
        <w:t>部门</w:t>
      </w:r>
      <w:r>
        <w:rPr>
          <w:rFonts w:hint="eastAsia" w:eastAsia="方正仿宋_GBK"/>
          <w:color w:val="000000"/>
          <w:sz w:val="28"/>
          <w:highlight w:val="none"/>
          <w:lang w:eastAsia="zh-CN"/>
        </w:rPr>
        <w:t>预算收支安排</w:t>
      </w:r>
      <w:r>
        <w:rPr>
          <w:rFonts w:hint="eastAsia" w:eastAsia="方正仿宋_GBK"/>
          <w:color w:val="000000"/>
          <w:sz w:val="28"/>
          <w:highlight w:val="none"/>
          <w:lang w:val="en-US" w:eastAsia="zh-CN"/>
        </w:rPr>
        <w:t>48.29万元，</w:t>
      </w:r>
      <w:r>
        <w:rPr>
          <w:rFonts w:hint="eastAsia" w:eastAsia="方正仿宋_GBK"/>
          <w:color w:val="000000"/>
          <w:sz w:val="28"/>
          <w:highlight w:val="none"/>
        </w:rPr>
        <w:t>较2021年增加</w:t>
      </w:r>
      <w:r>
        <w:rPr>
          <w:rFonts w:hint="eastAsia" w:eastAsia="方正仿宋_GBK"/>
          <w:color w:val="000000"/>
          <w:sz w:val="28"/>
          <w:highlight w:val="none"/>
          <w:lang w:val="en-US" w:eastAsia="zh-CN"/>
        </w:rPr>
        <w:t>15.34</w:t>
      </w:r>
      <w:r>
        <w:rPr>
          <w:rFonts w:hint="eastAsia" w:eastAsia="方正仿宋_GBK"/>
          <w:color w:val="000000"/>
          <w:sz w:val="28"/>
          <w:highlight w:val="none"/>
        </w:rPr>
        <w:t>万元，其中：基本支出增加</w:t>
      </w:r>
      <w:r>
        <w:rPr>
          <w:rFonts w:hint="eastAsia" w:eastAsia="方正仿宋_GBK"/>
          <w:color w:val="000000"/>
          <w:sz w:val="28"/>
          <w:highlight w:val="none"/>
          <w:lang w:val="en-US" w:eastAsia="zh-CN"/>
        </w:rPr>
        <w:t>15.34</w:t>
      </w:r>
      <w:r>
        <w:rPr>
          <w:rFonts w:hint="eastAsia" w:eastAsia="方正仿宋_GBK"/>
          <w:color w:val="000000"/>
          <w:sz w:val="28"/>
          <w:highlight w:val="none"/>
        </w:rPr>
        <w:t>万元，主要是增加人员经费支出</w:t>
      </w:r>
      <w:r>
        <w:rPr>
          <w:rFonts w:hint="eastAsia" w:eastAsia="方正仿宋_GBK"/>
          <w:color w:val="000000"/>
          <w:sz w:val="28"/>
          <w:highlight w:val="none"/>
          <w:lang w:eastAsia="zh-CN"/>
        </w:rPr>
        <w:t>，</w:t>
      </w:r>
      <w:r>
        <w:rPr>
          <w:rFonts w:hint="eastAsia" w:eastAsia="方正仿宋_GBK"/>
          <w:color w:val="000000"/>
          <w:sz w:val="28"/>
          <w:highlight w:val="none"/>
        </w:rPr>
        <w:t>项目支出</w:t>
      </w:r>
      <w:r>
        <w:rPr>
          <w:rFonts w:hint="eastAsia" w:eastAsia="方正仿宋_GBK"/>
          <w:color w:val="000000"/>
          <w:sz w:val="28"/>
          <w:highlight w:val="none"/>
          <w:lang w:eastAsia="zh-CN"/>
        </w:rPr>
        <w:t>无变化。</w:t>
      </w:r>
    </w:p>
    <w:p>
      <w:pPr>
        <w:spacing w:before="10" w:after="10" w:line="360" w:lineRule="auto"/>
        <w:ind w:firstLine="640"/>
        <w:outlineLvl w:val="2"/>
      </w:pPr>
      <w:r>
        <w:rPr>
          <w:rFonts w:ascii="黑体" w:hAnsi="黑体" w:eastAsia="黑体" w:cs="黑体"/>
          <w:color w:val="000000"/>
          <w:sz w:val="32"/>
        </w:rPr>
        <w:t>三、机关运行经费安排情况</w:t>
      </w:r>
      <w:bookmarkEnd w:id="11"/>
    </w:p>
    <w:p>
      <w:pPr>
        <w:pStyle w:val="19"/>
      </w:pPr>
      <w:r>
        <w:t>2022年，我部门机关运行</w:t>
      </w:r>
      <w:r>
        <w:rPr>
          <w:highlight w:val="none"/>
        </w:rPr>
        <w:t>经费</w:t>
      </w:r>
      <w:r>
        <w:rPr>
          <w:rFonts w:hint="eastAsia"/>
          <w:highlight w:val="none"/>
        </w:rPr>
        <w:t>共计安排</w:t>
      </w:r>
      <w:r>
        <w:rPr>
          <w:rFonts w:hint="eastAsia"/>
          <w:highlight w:val="none"/>
          <w:lang w:val="en-US" w:eastAsia="zh-CN"/>
        </w:rPr>
        <w:t>6.26</w:t>
      </w:r>
      <w:r>
        <w:rPr>
          <w:rFonts w:hint="eastAsia"/>
          <w:highlight w:val="none"/>
        </w:rPr>
        <w:t>万元，</w:t>
      </w:r>
      <w:r>
        <w:rPr>
          <w:highlight w:val="none"/>
        </w:rPr>
        <w:t>主要用于保证机关正常运转的办公及印刷费、邮电费、差旅费、会议费、福利费、专用材料及一般设备购置费</w:t>
      </w:r>
      <w:r>
        <w:t>、办公用房水电费、办公用房取暖费、日常维修费、办公楼物业管理费、公务车运行维护费等支出。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spacing w:before="10" w:after="10" w:line="360" w:lineRule="auto"/>
        <w:ind w:firstLine="640"/>
        <w:outlineLvl w:val="2"/>
        <w:rPr>
          <w:rFonts w:hint="eastAsia" w:ascii="Times New Roman" w:hAnsi="Times New Roman" w:eastAsia="方正仿宋_GBK" w:cs="Times New Roman"/>
          <w:sz w:val="28"/>
          <w:szCs w:val="24"/>
          <w:highlight w:val="none"/>
          <w:lang w:val="en-US" w:eastAsia="uk-UA" w:bidi="ar-SA"/>
        </w:rPr>
      </w:pPr>
      <w:bookmarkStart w:id="13" w:name="_Toc_3_3_0000000014"/>
      <w:r>
        <w:rPr>
          <w:rFonts w:hint="eastAsia" w:ascii="Times New Roman" w:hAnsi="Times New Roman" w:eastAsia="方正仿宋_GBK" w:cs="Times New Roman"/>
          <w:sz w:val="28"/>
          <w:szCs w:val="24"/>
          <w:highlight w:val="none"/>
          <w:lang w:val="en-US" w:eastAsia="uk-UA" w:bidi="ar-SA"/>
        </w:rPr>
        <w:t>2022年，我部门财政拨款“三公”经费预算安排</w:t>
      </w:r>
      <w:r>
        <w:rPr>
          <w:rFonts w:hint="eastAsia" w:ascii="Times New Roman" w:hAnsi="Times New Roman" w:eastAsia="方正仿宋_GBK" w:cs="Times New Roman"/>
          <w:sz w:val="28"/>
          <w:szCs w:val="24"/>
          <w:highlight w:val="none"/>
          <w:lang w:val="en-US" w:eastAsia="zh-CN" w:bidi="ar-SA"/>
        </w:rPr>
        <w:t>0</w:t>
      </w:r>
      <w:r>
        <w:rPr>
          <w:rFonts w:hint="eastAsia" w:ascii="Times New Roman" w:hAnsi="Times New Roman" w:eastAsia="方正仿宋_GBK" w:cs="Times New Roman"/>
          <w:sz w:val="28"/>
          <w:szCs w:val="24"/>
          <w:highlight w:val="none"/>
          <w:lang w:val="en-US" w:eastAsia="uk-UA" w:bidi="ar-SA"/>
        </w:rPr>
        <w:t>万元</w:t>
      </w:r>
      <w:r>
        <w:rPr>
          <w:rFonts w:hint="eastAsia" w:ascii="Times New Roman" w:hAnsi="Times New Roman" w:eastAsia="方正仿宋_GBK" w:cs="Times New Roman"/>
          <w:sz w:val="28"/>
          <w:szCs w:val="24"/>
          <w:highlight w:val="none"/>
          <w:lang w:val="en-US" w:eastAsia="zh-CN" w:bidi="ar-SA"/>
        </w:rPr>
        <w:t>，其中：因公出国（境）费0万元；公务用车购置及运维费0万元（其中：公务用车购置费0万元，公务用车运行维护费0万元)。其中公务接待费0万元。</w:t>
      </w:r>
      <w:r>
        <w:rPr>
          <w:rFonts w:hint="eastAsia" w:ascii="Times New Roman" w:hAnsi="Times New Roman" w:eastAsia="方正仿宋_GBK" w:cs="Times New Roman"/>
          <w:sz w:val="28"/>
          <w:szCs w:val="24"/>
          <w:highlight w:val="none"/>
          <w:lang w:val="en-US" w:eastAsia="uk-UA" w:bidi="ar-SA"/>
        </w:rPr>
        <w:t>与2021年相比持平无增减变化。</w:t>
      </w:r>
    </w:p>
    <w:p>
      <w:pPr>
        <w:spacing w:before="10" w:after="10" w:line="360" w:lineRule="auto"/>
        <w:ind w:firstLine="640"/>
        <w:outlineLvl w:val="2"/>
      </w:pPr>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hint="eastAsia" w:eastAsia="方正仿宋_GBK"/>
          <w:color w:val="000000"/>
          <w:sz w:val="28"/>
          <w:lang w:val="en-US" w:eastAsia="zh-CN"/>
        </w:rPr>
        <w:t>一、</w:t>
      </w:r>
      <w:r>
        <w:rPr>
          <w:rFonts w:eastAsia="方正仿宋_GBK"/>
          <w:color w:val="000000"/>
          <w:sz w:val="28"/>
        </w:rPr>
        <w:t>总体绩效目标</w:t>
      </w:r>
    </w:p>
    <w:p>
      <w:pPr>
        <w:pStyle w:val="21"/>
      </w:pPr>
      <w:r>
        <w:t>组织建设和宣传教育。领导全县共青团工作，管理全县青、学联、少先队、青年志愿者和青年社会组织工作；对青少年活动阵地和青少年服务机构的建设等进行规划和管理；协助县政府教育部门做好学生教育管理工作。二是服务、引导青少年工作。深入学习习近平总书记系列重要讲话精神；深化“中国梦”和社会主义核心价值观教育；调查研究青年思想动态，服务青年创新创业、交流交友、社会融入等需求，组织和带领青年及青年社会组织为全县经济和社会发展作贡献。三是维护青少年权益工作。研究有关青少年发展问题，贯彻落实保护青少年健康成长的法律、地方性法规；构建和完善维护青少年发展权益的机制化、社会化、专业化工作体系。四是团委事务管理。参与制定全县的青少年事业发展规划和青少年工作方针、政策;承担县委、县政府和</w:t>
      </w:r>
      <w:r>
        <w:rPr>
          <w:rFonts w:hint="eastAsia"/>
          <w:lang w:eastAsia="zh-CN"/>
        </w:rPr>
        <w:t>县</w:t>
      </w:r>
      <w:r>
        <w:t>市团委交办的有关事项。</w:t>
      </w:r>
    </w:p>
    <w:p>
      <w:pPr>
        <w:spacing w:line="500" w:lineRule="exact"/>
        <w:ind w:firstLine="560"/>
      </w:pPr>
      <w:r>
        <w:rPr>
          <w:rFonts w:hint="eastAsia" w:eastAsia="方正仿宋_GBK"/>
          <w:color w:val="000000"/>
          <w:sz w:val="28"/>
          <w:lang w:val="en-US" w:eastAsia="zh-CN"/>
        </w:rPr>
        <w:t>二、</w:t>
      </w:r>
      <w:r>
        <w:rPr>
          <w:rFonts w:eastAsia="方正仿宋_GBK"/>
          <w:color w:val="000000"/>
          <w:sz w:val="28"/>
        </w:rPr>
        <w:t>分项绩效目标</w:t>
      </w:r>
    </w:p>
    <w:p>
      <w:pPr>
        <w:pStyle w:val="22"/>
      </w:pPr>
      <w:r>
        <w:t>强化团干部教育培训，加强思想和作风建设；加强青联、学联、少工委组织建设，加强青年志愿组织和青年社会组织及青少年活动阵地的指导和管理；基层团组织服务能力不断提高。</w:t>
      </w:r>
    </w:p>
    <w:p>
      <w:pPr>
        <w:pStyle w:val="22"/>
      </w:pPr>
      <w:r>
        <w:t>构建团的网络新媒体工作阵地，运用新媒体全方位推进团的工作；利用重要节点节日、各类阵地、各种形式进行思想引导，培养青年骨干，打造适应青少年特点的文化产品。维护青少年队伍稳定，促进和谐社会建设。</w:t>
      </w:r>
    </w:p>
    <w:p>
      <w:pPr>
        <w:pStyle w:val="22"/>
      </w:pPr>
      <w:r>
        <w:t>做好青年统战对象的团结教育、引导、服务工作，为全县经济社会发展贡献力量。</w:t>
      </w:r>
    </w:p>
    <w:p>
      <w:pPr>
        <w:pStyle w:val="22"/>
      </w:pPr>
      <w:r>
        <w:t>增强青少年学法、尊法、守法、用法意识，推动青少年事务社会工作有效开展。</w:t>
      </w:r>
    </w:p>
    <w:p>
      <w:pPr>
        <w:pStyle w:val="22"/>
      </w:pPr>
      <w:r>
        <w:t>高质量完成全县青少年发展规划和方针政策的制定，圆满完成县委、县政府和</w:t>
      </w:r>
      <w:r>
        <w:rPr>
          <w:rFonts w:hint="eastAsia"/>
          <w:lang w:eastAsia="zh-CN"/>
        </w:rPr>
        <w:t>县</w:t>
      </w:r>
      <w:r>
        <w:t>市团委交办的各项任务。</w:t>
      </w:r>
    </w:p>
    <w:p>
      <w:pPr>
        <w:spacing w:line="500" w:lineRule="exact"/>
        <w:ind w:firstLine="560"/>
      </w:pPr>
      <w:r>
        <w:rPr>
          <w:rFonts w:hint="eastAsia" w:eastAsia="方正仿宋_GBK"/>
          <w:color w:val="000000"/>
          <w:sz w:val="28"/>
          <w:lang w:val="en-US" w:eastAsia="zh-CN"/>
        </w:rPr>
        <w:t>三、</w:t>
      </w:r>
      <w:r>
        <w:rPr>
          <w:rFonts w:eastAsia="方正仿宋_GBK"/>
          <w:color w:val="000000"/>
          <w:sz w:val="28"/>
        </w:rPr>
        <w:t>工作保障措施</w:t>
      </w:r>
    </w:p>
    <w:p>
      <w:pPr>
        <w:pStyle w:val="23"/>
      </w:pPr>
      <w:r>
        <w:t>完善制度建设。本单位制定完善了预算绩效管理制度、资金管理办法、工作保障制度等，为全年预算绩效目标的实现奠定制度基础。</w:t>
      </w:r>
    </w:p>
    <w:p>
      <w:pPr>
        <w:pStyle w:val="23"/>
      </w:pPr>
      <w:r>
        <w:t>加强支出管理。本单位通过优化支出结构、编细编实预算、加快履行政府采购手续、尽快启动项目、及时支付资金、6月底前细化代编预算、按规定及时下达资金等多种措施，确保支出进度达标。</w:t>
      </w:r>
    </w:p>
    <w:p>
      <w:pPr>
        <w:pStyle w:val="23"/>
      </w:pPr>
      <w:r>
        <w:t>加强绩效运行监控。本单位按要求开展绩效运行监控，发现问题及时采取措施，确保绩效目标如期保质实现。</w:t>
      </w:r>
    </w:p>
    <w:p>
      <w:pPr>
        <w:pStyle w:val="23"/>
      </w:pPr>
      <w:r>
        <w:t>做好绩效自评。本单位按要求开展上年度部门预算绩效自评和重点评价工作，对评价中发现的问题及时整改，调整优化支出结构，提高财政资金使用效益。</w:t>
      </w:r>
    </w:p>
    <w:p>
      <w:pPr>
        <w:pStyle w:val="23"/>
      </w:pPr>
      <w:r>
        <w:t>规范财务资产管理。本单位完善财务管理制度，严格审批程序，加强固定资产登记、使用和报废处置管理，做到支出合理，物尽其用。</w:t>
      </w:r>
    </w:p>
    <w:p>
      <w:pPr>
        <w:pStyle w:val="23"/>
      </w:pPr>
      <w:r>
        <w:t>加强内部监督。本单位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pPr>
      <w:r>
        <w:t>加强宣传培训调研等。本单位加强了人员培训，提高了本部门职工业务素质；加强调研，提出优化财政资金配置、提高资金使用效益的意见意见；加大宣传力度，强化预算绩效管理意识，促进预算绩效管理水平进一步提升。</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ind w:firstLine="560" w:firstLineChars="20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无</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1、五四活动以及其他活动志愿服务经费绩效目标表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numPr>
                <w:ilvl w:val="0"/>
                <w:numId w:val="2"/>
              </w:numPr>
              <w:rPr>
                <w:rFonts w:hint="eastAsia"/>
              </w:rPr>
            </w:pPr>
            <w:r>
              <w:rPr>
                <w:rFonts w:hint="eastAsia"/>
              </w:rPr>
              <w:t>推进青少年思想道德教育</w:t>
            </w:r>
          </w:p>
          <w:p>
            <w:pPr>
              <w:pStyle w:val="12"/>
              <w:numPr>
                <w:ilvl w:val="0"/>
                <w:numId w:val="2"/>
              </w:numPr>
              <w:rPr>
                <w:rFonts w:hint="default" w:eastAsia="方正书宋_GBK"/>
                <w:lang w:val="en-US" w:eastAsia="zh-CN"/>
              </w:rPr>
            </w:pPr>
            <w:r>
              <w:rPr>
                <w:rFonts w:hint="eastAsia"/>
                <w:lang w:val="en-US" w:eastAsia="zh-CN"/>
              </w:rPr>
              <w:t>服务青少年成长</w:t>
            </w:r>
          </w:p>
          <w:p>
            <w:pPr>
              <w:pStyle w:val="12"/>
              <w:numPr>
                <w:ilvl w:val="0"/>
                <w:numId w:val="2"/>
              </w:numPr>
              <w:rPr>
                <w:rFonts w:hint="default" w:eastAsia="方正书宋_GBK"/>
                <w:lang w:val="en-US" w:eastAsia="zh-CN"/>
              </w:rPr>
            </w:pPr>
            <w:r>
              <w:rPr>
                <w:rFonts w:hint="eastAsia"/>
                <w:lang w:val="en-US" w:eastAsia="zh-CN"/>
              </w:rPr>
              <w:t>服务中心工作</w:t>
            </w:r>
          </w:p>
          <w:p>
            <w:pPr>
              <w:pStyle w:val="12"/>
              <w:numPr>
                <w:ilvl w:val="0"/>
                <w:numId w:val="2"/>
              </w:numPr>
              <w:rPr>
                <w:rFonts w:hint="default" w:eastAsia="方正书宋_GBK"/>
                <w:lang w:val="en-US" w:eastAsia="zh-CN"/>
              </w:rPr>
            </w:pPr>
            <w:r>
              <w:rPr>
                <w:rFonts w:hint="eastAsia"/>
                <w:lang w:val="en-US" w:eastAsia="zh-CN"/>
              </w:rPr>
              <w:t>强化从严治团，加强团组织建设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团干部教育和培训覆盖率</w:t>
            </w:r>
          </w:p>
        </w:tc>
        <w:tc>
          <w:tcPr>
            <w:tcW w:w="2835" w:type="dxa"/>
            <w:vAlign w:val="center"/>
          </w:tcPr>
          <w:p>
            <w:pPr>
              <w:pStyle w:val="12"/>
            </w:pPr>
            <w:r>
              <w:t>反映对团干部培训人数占总数的比率</w:t>
            </w:r>
          </w:p>
        </w:tc>
        <w:tc>
          <w:tcPr>
            <w:tcW w:w="2551" w:type="dxa"/>
            <w:vAlign w:val="center"/>
          </w:tcPr>
          <w:p>
            <w:pPr>
              <w:pStyle w:val="12"/>
            </w:pPr>
            <w:r>
              <w:t>≥90</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青年志愿者队伍建设</w:t>
            </w:r>
          </w:p>
        </w:tc>
        <w:tc>
          <w:tcPr>
            <w:tcW w:w="2835" w:type="dxa"/>
            <w:vAlign w:val="center"/>
          </w:tcPr>
          <w:p>
            <w:pPr>
              <w:pStyle w:val="12"/>
            </w:pPr>
            <w:r>
              <w:t>反映新增注册志愿者占注册志愿者总数的比率</w:t>
            </w:r>
          </w:p>
        </w:tc>
        <w:tc>
          <w:tcPr>
            <w:tcW w:w="2551" w:type="dxa"/>
            <w:vAlign w:val="center"/>
          </w:tcPr>
          <w:p>
            <w:pPr>
              <w:pStyle w:val="12"/>
            </w:pPr>
            <w:r>
              <w:t>≥90</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≥90</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2835" w:type="dxa"/>
            <w:vAlign w:val="center"/>
          </w:tcPr>
          <w:p>
            <w:pPr>
              <w:pStyle w:val="12"/>
            </w:pPr>
            <w:r>
              <w:t>按总成本控制</w:t>
            </w:r>
          </w:p>
        </w:tc>
        <w:tc>
          <w:tcPr>
            <w:tcW w:w="2551" w:type="dxa"/>
            <w:vAlign w:val="center"/>
          </w:tcPr>
          <w:p>
            <w:pPr>
              <w:pStyle w:val="12"/>
            </w:pPr>
            <w:r>
              <w:t>≥90</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青少年参加纪念“五四”、“六一”等各类思想引导类活动的满意度</w:t>
            </w:r>
          </w:p>
        </w:tc>
        <w:tc>
          <w:tcPr>
            <w:tcW w:w="2835" w:type="dxa"/>
            <w:vAlign w:val="center"/>
          </w:tcPr>
          <w:p>
            <w:pPr>
              <w:pStyle w:val="12"/>
            </w:pPr>
            <w:r>
              <w:t>反应思想引导对象满意数占总数的比例</w:t>
            </w:r>
          </w:p>
        </w:tc>
        <w:tc>
          <w:tcPr>
            <w:tcW w:w="2551" w:type="dxa"/>
            <w:vAlign w:val="center"/>
          </w:tcPr>
          <w:p>
            <w:pPr>
              <w:pStyle w:val="12"/>
            </w:pPr>
            <w:r>
              <w:t>≥90</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成本利用率</w:t>
            </w:r>
          </w:p>
        </w:tc>
        <w:tc>
          <w:tcPr>
            <w:tcW w:w="2835" w:type="dxa"/>
            <w:vAlign w:val="center"/>
          </w:tcPr>
          <w:p>
            <w:pPr>
              <w:pStyle w:val="12"/>
            </w:pPr>
            <w:r>
              <w:t>成本利用率</w:t>
            </w:r>
          </w:p>
        </w:tc>
        <w:tc>
          <w:tcPr>
            <w:tcW w:w="2551" w:type="dxa"/>
            <w:vAlign w:val="center"/>
          </w:tcPr>
          <w:p>
            <w:pPr>
              <w:pStyle w:val="12"/>
            </w:pPr>
            <w:r>
              <w:t>≥90</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促进生态文明建设，推动绿色发展</w:t>
            </w:r>
          </w:p>
        </w:tc>
        <w:tc>
          <w:tcPr>
            <w:tcW w:w="2835" w:type="dxa"/>
            <w:vAlign w:val="center"/>
          </w:tcPr>
          <w:p>
            <w:pPr>
              <w:pStyle w:val="12"/>
            </w:pPr>
            <w:r>
              <w:t>促进生态文明建设，推动绿色发展和绿色生活方式</w:t>
            </w:r>
          </w:p>
        </w:tc>
        <w:tc>
          <w:tcPr>
            <w:tcW w:w="2551" w:type="dxa"/>
            <w:vAlign w:val="center"/>
          </w:tcPr>
          <w:p>
            <w:pPr>
              <w:pStyle w:val="12"/>
            </w:pPr>
            <w:r>
              <w:t>≥90</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办理人群体验度(%)</w:t>
            </w:r>
          </w:p>
        </w:tc>
        <w:tc>
          <w:tcPr>
            <w:tcW w:w="2835" w:type="dxa"/>
            <w:vAlign w:val="center"/>
          </w:tcPr>
          <w:p>
            <w:pPr>
              <w:pStyle w:val="12"/>
            </w:pPr>
            <w:r>
              <w:t>办理人群体验度(%)</w:t>
            </w:r>
          </w:p>
        </w:tc>
        <w:tc>
          <w:tcPr>
            <w:tcW w:w="2551" w:type="dxa"/>
            <w:vAlign w:val="center"/>
          </w:tcPr>
          <w:p>
            <w:pPr>
              <w:pStyle w:val="12"/>
            </w:pPr>
            <w:r>
              <w:t>≥90</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构建和完善维护青少年发展权益的机制化、社会化、专业化工作体系</w:t>
            </w:r>
          </w:p>
        </w:tc>
        <w:tc>
          <w:tcPr>
            <w:tcW w:w="2551" w:type="dxa"/>
            <w:vAlign w:val="center"/>
          </w:tcPr>
          <w:p>
            <w:pPr>
              <w:pStyle w:val="12"/>
            </w:pPr>
            <w:r>
              <w:t>≥90</w:t>
            </w:r>
          </w:p>
        </w:tc>
        <w:tc>
          <w:tcPr>
            <w:tcW w:w="2268"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2022年，中国共产主义青年团无极县委员会安排政府采购预算0.00万元。具体内容见下表。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712中国共产主义青年团无极县委员会</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中国共产主义青年团无极县委员会（含所属单位）上年末固定资产金额为6.20万元（详见下表）。本年度拟购置固定资产总额为0.00万元，已按要求列入政府采购预算，详见政府采购预算表。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712中国共产主义青年团无极县委员会</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32</w:t>
            </w:r>
          </w:p>
        </w:tc>
        <w:tc>
          <w:tcPr>
            <w:tcW w:w="2835" w:type="dxa"/>
            <w:vAlign w:val="center"/>
          </w:tcPr>
          <w:p>
            <w:pPr>
              <w:pStyle w:val="11"/>
            </w:pPr>
            <w:r>
              <w:t>6.20</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p>
    <w:p>
      <w:pPr>
        <w:jc w:val="center"/>
      </w:pPr>
    </w:p>
    <w:p>
      <w:pPr>
        <w:jc w:val="center"/>
      </w:pPr>
    </w:p>
    <w:p>
      <w:pPr>
        <w:jc w:val="center"/>
      </w:pPr>
    </w:p>
    <w:p>
      <w:pPr>
        <w:jc w:val="center"/>
      </w:pP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88"/>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DB057A7"/>
    <w:multiLevelType w:val="singleLevel"/>
    <w:tmpl w:val="FDB057A7"/>
    <w:lvl w:ilvl="0" w:tentative="0">
      <w:start w:val="1"/>
      <w:numFmt w:val="decimal"/>
      <w:lvlText w:val="%1."/>
      <w:lvlJc w:val="left"/>
      <w:pPr>
        <w:tabs>
          <w:tab w:val="left" w:pos="312"/>
        </w:tabs>
      </w:pPr>
    </w:lvl>
  </w:abstractNum>
  <w:abstractNum w:abstractNumId="1">
    <w:nsid w:val="77B26D7E"/>
    <w:multiLevelType w:val="singleLevel"/>
    <w:tmpl w:val="77B26D7E"/>
    <w:lvl w:ilvl="0" w:tentative="0">
      <w:start w:val="2"/>
      <w:numFmt w:val="chineseCounting"/>
      <w:suff w:val="space"/>
      <w:lvlText w:val="第%1部分"/>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c1MmM1MzBlYTg4MzA5YmYxMjkxYmMwNjk4MmZkODYifQ=="/>
  </w:docVars>
  <w:rsids>
    <w:rsidRoot w:val="00011C85"/>
    <w:rsid w:val="00011C85"/>
    <w:rsid w:val="00573570"/>
    <w:rsid w:val="00FD3271"/>
    <w:rsid w:val="0F5533FD"/>
    <w:rsid w:val="104B76B9"/>
    <w:rsid w:val="1226449B"/>
    <w:rsid w:val="15F24218"/>
    <w:rsid w:val="1BEE6D2B"/>
    <w:rsid w:val="2772502A"/>
    <w:rsid w:val="3F5C12A6"/>
    <w:rsid w:val="42324A3E"/>
    <w:rsid w:val="490D49A2"/>
    <w:rsid w:val="55A24E4B"/>
    <w:rsid w:val="61376E94"/>
    <w:rsid w:val="66D17846"/>
    <w:rsid w:val="69C12B5F"/>
    <w:rsid w:val="70722E56"/>
    <w:rsid w:val="73192EA3"/>
    <w:rsid w:val="74387CB8"/>
    <w:rsid w:val="79933A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2022-06-16T15:40:21Z</dcterms:created>
  <dcterms:modified xsi:type="dcterms:W3CDTF">2022-06-16T07:40:21Z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2022-06-16T15:40:21Z</dcterms:created>
  <dcterms:modified xsi:type="dcterms:W3CDTF">2022-06-16T07:40:21Z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2022-06-16T15:40:22Z</dcterms:created>
  <dcterms:modified xsi:type="dcterms:W3CDTF">2022-06-16T07:40:22Z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2022-06-16T15:40:24Z</dcterms:created>
  <dcterms:modified xsi:type="dcterms:W3CDTF">2022-06-16T07:40:24Z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2022-06-16T15:40:24Z</dcterms:created>
  <dcterms:modified xsi:type="dcterms:W3CDTF">2022-06-16T07:40:24Z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2022-06-16T15:40:22Z</dcterms:created>
  <dcterms:modified xsi:type="dcterms:W3CDTF">2022-06-16T07:40:21Z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2022-06-16T15:40:24Z</dcterms:created>
  <dcterms:modified xsi:type="dcterms:W3CDTF">2022-06-16T07:40:23Z</dcterms:modified>
</cp:coreProperties>
</file>

<file path=customXml/itemProps1.xml><?xml version="1.0" encoding="utf-8"?>
<ds:datastoreItem xmlns:ds="http://schemas.openxmlformats.org/officeDocument/2006/customXml" ds:itemID="{B32E249B-CD53-4B49-BA81-6223EF2CA5F1}">
  <ds:schemaRefs/>
</ds:datastoreItem>
</file>

<file path=customXml/itemProps10.xml><?xml version="1.0" encoding="utf-8"?>
<ds:datastoreItem xmlns:ds="http://schemas.openxmlformats.org/officeDocument/2006/customXml" ds:itemID="{8B47A6D4-8552-4804-B71F-3D4F031F53B1}">
  <ds:schemaRefs/>
</ds:datastoreItem>
</file>

<file path=customXml/itemProps11.xml><?xml version="1.0" encoding="utf-8"?>
<ds:datastoreItem xmlns:ds="http://schemas.openxmlformats.org/officeDocument/2006/customXml" ds:itemID="{3A4B6AAE-A2F3-47BE-B2A8-4A7C926E69F2}">
  <ds:schemaRefs/>
</ds:datastoreItem>
</file>

<file path=customXml/itemProps12.xml><?xml version="1.0" encoding="utf-8"?>
<ds:datastoreItem xmlns:ds="http://schemas.openxmlformats.org/officeDocument/2006/customXml" ds:itemID="{008A1DE9-6A1F-434C-B905-EF5E35573271}">
  <ds:schemaRefs/>
</ds:datastoreItem>
</file>

<file path=customXml/itemProps13.xml><?xml version="1.0" encoding="utf-8"?>
<ds:datastoreItem xmlns:ds="http://schemas.openxmlformats.org/officeDocument/2006/customXml" ds:itemID="{1E8BEAB6-FCA0-40B7-B053-1F0C2A6104F6}">
  <ds:schemaRefs/>
</ds:datastoreItem>
</file>

<file path=customXml/itemProps14.xml><?xml version="1.0" encoding="utf-8"?>
<ds:datastoreItem xmlns:ds="http://schemas.openxmlformats.org/officeDocument/2006/customXml" ds:itemID="{FC011BA3-0B8E-49D1-812D-417FE809CD9B}">
  <ds:schemaRefs/>
</ds:datastoreItem>
</file>

<file path=customXml/itemProps2.xml><?xml version="1.0" encoding="utf-8"?>
<ds:datastoreItem xmlns:ds="http://schemas.openxmlformats.org/officeDocument/2006/customXml" ds:itemID="{94C3D3B1-2024-4181-8958-D3EDD15C1592}">
  <ds:schemaRefs/>
</ds:datastoreItem>
</file>

<file path=customXml/itemProps3.xml><?xml version="1.0" encoding="utf-8"?>
<ds:datastoreItem xmlns:ds="http://schemas.openxmlformats.org/officeDocument/2006/customXml" ds:itemID="{2C238256-512A-413A-B033-E3EBB7231316}">
  <ds:schemaRefs/>
</ds:datastoreItem>
</file>

<file path=customXml/itemProps4.xml><?xml version="1.0" encoding="utf-8"?>
<ds:datastoreItem xmlns:ds="http://schemas.openxmlformats.org/officeDocument/2006/customXml" ds:itemID="{10E42325-EFA0-4241-9CB7-1A9C684BDD80}">
  <ds:schemaRefs/>
</ds:datastoreItem>
</file>

<file path=customXml/itemProps5.xml><?xml version="1.0" encoding="utf-8"?>
<ds:datastoreItem xmlns:ds="http://schemas.openxmlformats.org/officeDocument/2006/customXml" ds:itemID="{E629AC8A-CB63-42F6-BFDA-6B0566387AAE}">
  <ds:schemaRefs/>
</ds:datastoreItem>
</file>

<file path=customXml/itemProps6.xml><?xml version="1.0" encoding="utf-8"?>
<ds:datastoreItem xmlns:ds="http://schemas.openxmlformats.org/officeDocument/2006/customXml" ds:itemID="{C40845E0-D785-4235-9F2A-8D5F246A98DA}">
  <ds:schemaRefs/>
</ds:datastoreItem>
</file>

<file path=customXml/itemProps7.xml><?xml version="1.0" encoding="utf-8"?>
<ds:datastoreItem xmlns:ds="http://schemas.openxmlformats.org/officeDocument/2006/customXml" ds:itemID="{580BF818-03A3-4824-B3C8-AF5F0EAE87E4}">
  <ds:schemaRefs/>
</ds:datastoreItem>
</file>

<file path=customXml/itemProps8.xml><?xml version="1.0" encoding="utf-8"?>
<ds:datastoreItem xmlns:ds="http://schemas.openxmlformats.org/officeDocument/2006/customXml" ds:itemID="{5F34528E-9105-4272-9ED7-92D4A22AFC83}">
  <ds:schemaRefs/>
</ds:datastoreItem>
</file>

<file path=customXml/itemProps9.xml><?xml version="1.0" encoding="utf-8"?>
<ds:datastoreItem xmlns:ds="http://schemas.openxmlformats.org/officeDocument/2006/customXml" ds:itemID="{B114358D-6BA5-463C-893F-CBA72E81BEEE}">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41</Pages>
  <Words>11603</Words>
  <Characters>13333</Characters>
  <Lines>122</Lines>
  <Paragraphs>34</Paragraphs>
  <TotalTime>2</TotalTime>
  <ScaleCrop>false</ScaleCrop>
  <LinksUpToDate>false</LinksUpToDate>
  <CharactersWithSpaces>13594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2022-06-16T08:13:00Z</dcterms:created>
  <dc:creator>Administrator</dc:creator>
  <cp:lastModifiedBy>Administrator</cp:lastModifiedBy>
  <dcterms:modified xsi:type="dcterms:W3CDTF">2024-01-16T02:39:09Z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EB383BDC5FD242C9AA1FBE22EF983663</vt:lpwstr>
  </property>
</Properties>
</file>