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一、无极县总工会本级收支预算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711001无极县总工会本级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197.94</w:t>
            </w:r>
          </w:p>
        </w:tc>
        <w:tc>
          <w:tcPr>
            <w:tcW w:w="4535" w:type="dxa"/>
            <w:vAlign w:val="center"/>
          </w:tcPr>
          <w:p>
            <w:pPr>
              <w:pStyle w:val="14"/>
            </w:pPr>
            <w:r>
              <w:t>一、一般公共服务支出</w:t>
            </w:r>
          </w:p>
        </w:tc>
        <w:tc>
          <w:tcPr>
            <w:tcW w:w="2126" w:type="dxa"/>
            <w:vAlign w:val="center"/>
          </w:tcPr>
          <w:p>
            <w:pPr>
              <w:pStyle w:val="13"/>
            </w:pPr>
            <w:r>
              <w:t>197.94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197.94</w:t>
            </w:r>
          </w:p>
        </w:tc>
        <w:tc>
          <w:tcPr>
            <w:tcW w:w="4535" w:type="dxa"/>
            <w:vAlign w:val="center"/>
          </w:tcPr>
          <w:p>
            <w:pPr>
              <w:pStyle w:val="16"/>
            </w:pPr>
            <w:r>
              <w:t>本年支出合计</w:t>
            </w:r>
          </w:p>
        </w:tc>
        <w:tc>
          <w:tcPr>
            <w:tcW w:w="2126" w:type="dxa"/>
            <w:vAlign w:val="center"/>
          </w:tcPr>
          <w:p>
            <w:pPr>
              <w:pStyle w:val="17"/>
            </w:pPr>
            <w:r>
              <w:t>197.94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197.94</w:t>
            </w:r>
          </w:p>
        </w:tc>
        <w:tc>
          <w:tcPr>
            <w:tcW w:w="4535" w:type="dxa"/>
            <w:vAlign w:val="center"/>
          </w:tcPr>
          <w:p>
            <w:pPr>
              <w:pStyle w:val="16"/>
            </w:pPr>
            <w:r>
              <w:t>支出总计</w:t>
            </w:r>
          </w:p>
        </w:tc>
        <w:tc>
          <w:tcPr>
            <w:tcW w:w="2126" w:type="dxa"/>
            <w:vAlign w:val="center"/>
          </w:tcPr>
          <w:p>
            <w:pPr>
              <w:pStyle w:val="17"/>
            </w:pPr>
            <w:r>
              <w:t>197.94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711001无极县总工会本级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197.94</w:t>
            </w:r>
          </w:p>
        </w:tc>
        <w:tc>
          <w:tcPr>
            <w:tcW w:w="1134" w:type="dxa"/>
            <w:vAlign w:val="center"/>
          </w:tcPr>
          <w:p>
            <w:pPr>
              <w:pStyle w:val="17"/>
            </w:pPr>
            <w:r>
              <w:t>197.94</w:t>
            </w:r>
          </w:p>
        </w:tc>
        <w:tc>
          <w:tcPr>
            <w:tcW w:w="1134" w:type="dxa"/>
            <w:vAlign w:val="center"/>
          </w:tcPr>
          <w:p>
            <w:pPr>
              <w:pStyle w:val="17"/>
            </w:pPr>
            <w:r>
              <w:t>197.94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180.12</w:t>
            </w:r>
          </w:p>
        </w:tc>
        <w:tc>
          <w:tcPr>
            <w:tcW w:w="1134" w:type="dxa"/>
            <w:vAlign w:val="center"/>
          </w:tcPr>
          <w:p>
            <w:pPr>
              <w:pStyle w:val="13"/>
            </w:pPr>
            <w:r>
              <w:t>180.12</w:t>
            </w:r>
          </w:p>
        </w:tc>
        <w:tc>
          <w:tcPr>
            <w:tcW w:w="1134" w:type="dxa"/>
            <w:vAlign w:val="center"/>
          </w:tcPr>
          <w:p>
            <w:pPr>
              <w:pStyle w:val="13"/>
            </w:pPr>
            <w:r>
              <w:t>180.12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8.01</w:t>
            </w:r>
          </w:p>
        </w:tc>
        <w:tc>
          <w:tcPr>
            <w:tcW w:w="1134" w:type="dxa"/>
            <w:vAlign w:val="center"/>
          </w:tcPr>
          <w:p>
            <w:pPr>
              <w:pStyle w:val="13"/>
            </w:pPr>
            <w:r>
              <w:t>8.01</w:t>
            </w:r>
          </w:p>
        </w:tc>
        <w:tc>
          <w:tcPr>
            <w:tcW w:w="1134" w:type="dxa"/>
            <w:vAlign w:val="center"/>
          </w:tcPr>
          <w:p>
            <w:pPr>
              <w:pStyle w:val="13"/>
            </w:pPr>
            <w:r>
              <w:t>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2012906</w:t>
            </w:r>
          </w:p>
        </w:tc>
        <w:tc>
          <w:tcPr>
            <w:tcW w:w="1559" w:type="dxa"/>
            <w:vAlign w:val="center"/>
          </w:tcPr>
          <w:p>
            <w:pPr>
              <w:pStyle w:val="14"/>
            </w:pPr>
            <w:r>
              <w:t>工会事务</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197.94</w:t>
            </w:r>
          </w:p>
        </w:tc>
        <w:tc>
          <w:tcPr>
            <w:tcW w:w="1361" w:type="dxa"/>
            <w:vAlign w:val="center"/>
          </w:tcPr>
          <w:p>
            <w:pPr>
              <w:pStyle w:val="17"/>
            </w:pPr>
            <w:r>
              <w:t>189.93</w:t>
            </w:r>
          </w:p>
        </w:tc>
        <w:tc>
          <w:tcPr>
            <w:tcW w:w="1361" w:type="dxa"/>
            <w:vAlign w:val="center"/>
          </w:tcPr>
          <w:p>
            <w:pPr>
              <w:pStyle w:val="17"/>
            </w:pPr>
            <w:r>
              <w:t>8.01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197.94</w:t>
            </w:r>
          </w:p>
        </w:tc>
        <w:tc>
          <w:tcPr>
            <w:tcW w:w="1361" w:type="dxa"/>
            <w:vAlign w:val="center"/>
          </w:tcPr>
          <w:p>
            <w:pPr>
              <w:pStyle w:val="13"/>
            </w:pPr>
            <w:r>
              <w:t>189.93</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197.94</w:t>
            </w:r>
          </w:p>
        </w:tc>
        <w:tc>
          <w:tcPr>
            <w:tcW w:w="1361" w:type="dxa"/>
            <w:vAlign w:val="center"/>
          </w:tcPr>
          <w:p>
            <w:pPr>
              <w:pStyle w:val="13"/>
            </w:pPr>
            <w:r>
              <w:t>189.93</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180.12</w:t>
            </w:r>
          </w:p>
        </w:tc>
        <w:tc>
          <w:tcPr>
            <w:tcW w:w="1361" w:type="dxa"/>
            <w:vAlign w:val="center"/>
          </w:tcPr>
          <w:p>
            <w:pPr>
              <w:pStyle w:val="13"/>
            </w:pPr>
            <w:r>
              <w:t>180.12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2012906</w:t>
            </w:r>
          </w:p>
        </w:tc>
        <w:tc>
          <w:tcPr>
            <w:tcW w:w="4535" w:type="dxa"/>
            <w:vAlign w:val="center"/>
          </w:tcPr>
          <w:p>
            <w:pPr>
              <w:pStyle w:val="14"/>
            </w:pPr>
            <w:r>
              <w:t>工会事务</w:t>
            </w:r>
          </w:p>
        </w:tc>
        <w:tc>
          <w:tcPr>
            <w:tcW w:w="1361" w:type="dxa"/>
            <w:vAlign w:val="center"/>
          </w:tcPr>
          <w:p>
            <w:pPr>
              <w:pStyle w:val="13"/>
            </w:pPr>
            <w:r>
              <w:t>9.81</w:t>
            </w: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197.94</w:t>
            </w:r>
          </w:p>
        </w:tc>
        <w:tc>
          <w:tcPr>
            <w:tcW w:w="3402" w:type="dxa"/>
            <w:vAlign w:val="center"/>
          </w:tcPr>
          <w:p>
            <w:pPr>
              <w:pStyle w:val="14"/>
            </w:pPr>
            <w:r>
              <w:t>一、一般公共服务支出</w:t>
            </w:r>
          </w:p>
        </w:tc>
        <w:tc>
          <w:tcPr>
            <w:tcW w:w="1474" w:type="dxa"/>
            <w:vAlign w:val="center"/>
          </w:tcPr>
          <w:p>
            <w:pPr>
              <w:pStyle w:val="13"/>
            </w:pPr>
            <w:r>
              <w:t>197.94</w:t>
            </w:r>
          </w:p>
        </w:tc>
        <w:tc>
          <w:tcPr>
            <w:tcW w:w="1474" w:type="dxa"/>
            <w:vAlign w:val="center"/>
          </w:tcPr>
          <w:p>
            <w:pPr>
              <w:pStyle w:val="13"/>
            </w:pPr>
            <w:r>
              <w:t>197.94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197.94</w:t>
            </w:r>
          </w:p>
        </w:tc>
        <w:tc>
          <w:tcPr>
            <w:tcW w:w="3402" w:type="dxa"/>
            <w:vAlign w:val="center"/>
          </w:tcPr>
          <w:p>
            <w:pPr>
              <w:pStyle w:val="16"/>
            </w:pPr>
            <w:r>
              <w:t>本年支出合计</w:t>
            </w:r>
          </w:p>
        </w:tc>
        <w:tc>
          <w:tcPr>
            <w:tcW w:w="1474" w:type="dxa"/>
            <w:vAlign w:val="center"/>
          </w:tcPr>
          <w:p>
            <w:pPr>
              <w:pStyle w:val="17"/>
            </w:pPr>
            <w:r>
              <w:t>197.94</w:t>
            </w:r>
          </w:p>
        </w:tc>
        <w:tc>
          <w:tcPr>
            <w:tcW w:w="1474" w:type="dxa"/>
            <w:vAlign w:val="center"/>
          </w:tcPr>
          <w:p>
            <w:pPr>
              <w:pStyle w:val="17"/>
            </w:pPr>
            <w:r>
              <w:t>197.94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197.94</w:t>
            </w:r>
          </w:p>
        </w:tc>
        <w:tc>
          <w:tcPr>
            <w:tcW w:w="3402" w:type="dxa"/>
            <w:vAlign w:val="center"/>
          </w:tcPr>
          <w:p>
            <w:pPr>
              <w:pStyle w:val="16"/>
            </w:pPr>
            <w:r>
              <w:t>支出总计</w:t>
            </w:r>
          </w:p>
        </w:tc>
        <w:tc>
          <w:tcPr>
            <w:tcW w:w="1474" w:type="dxa"/>
            <w:vAlign w:val="center"/>
          </w:tcPr>
          <w:p>
            <w:pPr>
              <w:pStyle w:val="17"/>
            </w:pPr>
            <w:r>
              <w:t>197.94</w:t>
            </w:r>
          </w:p>
        </w:tc>
        <w:tc>
          <w:tcPr>
            <w:tcW w:w="1474" w:type="dxa"/>
            <w:vAlign w:val="center"/>
          </w:tcPr>
          <w:p>
            <w:pPr>
              <w:pStyle w:val="17"/>
            </w:pPr>
            <w:r>
              <w:t>197.94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197.94</w:t>
            </w:r>
          </w:p>
        </w:tc>
        <w:tc>
          <w:tcPr>
            <w:tcW w:w="2551" w:type="dxa"/>
            <w:vAlign w:val="center"/>
          </w:tcPr>
          <w:p>
            <w:pPr>
              <w:pStyle w:val="17"/>
            </w:pPr>
            <w:r>
              <w:t>189.93</w:t>
            </w:r>
          </w:p>
        </w:tc>
        <w:tc>
          <w:tcPr>
            <w:tcW w:w="2551" w:type="dxa"/>
            <w:vAlign w:val="center"/>
          </w:tcPr>
          <w:p>
            <w:pPr>
              <w:pStyle w:val="17"/>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197.94</w:t>
            </w:r>
          </w:p>
        </w:tc>
        <w:tc>
          <w:tcPr>
            <w:tcW w:w="2551" w:type="dxa"/>
            <w:vAlign w:val="center"/>
          </w:tcPr>
          <w:p>
            <w:pPr>
              <w:pStyle w:val="13"/>
            </w:pPr>
            <w:r>
              <w:t>189.93</w:t>
            </w: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197.94</w:t>
            </w:r>
          </w:p>
        </w:tc>
        <w:tc>
          <w:tcPr>
            <w:tcW w:w="2551" w:type="dxa"/>
            <w:vAlign w:val="center"/>
          </w:tcPr>
          <w:p>
            <w:pPr>
              <w:pStyle w:val="13"/>
            </w:pPr>
            <w:r>
              <w:t>189.93</w:t>
            </w: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180.12</w:t>
            </w:r>
          </w:p>
        </w:tc>
        <w:tc>
          <w:tcPr>
            <w:tcW w:w="2551" w:type="dxa"/>
            <w:vAlign w:val="center"/>
          </w:tcPr>
          <w:p>
            <w:pPr>
              <w:pStyle w:val="13"/>
            </w:pPr>
            <w:r>
              <w:t>180.12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8.01</w:t>
            </w:r>
          </w:p>
        </w:tc>
        <w:tc>
          <w:tcPr>
            <w:tcW w:w="2551" w:type="dxa"/>
            <w:vAlign w:val="center"/>
          </w:tcPr>
          <w:p>
            <w:pPr>
              <w:pStyle w:val="13"/>
            </w:pP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2012906</w:t>
            </w:r>
          </w:p>
        </w:tc>
        <w:tc>
          <w:tcPr>
            <w:tcW w:w="4535" w:type="dxa"/>
            <w:vAlign w:val="center"/>
          </w:tcPr>
          <w:p>
            <w:pPr>
              <w:pStyle w:val="14"/>
            </w:pPr>
            <w:r>
              <w:t>工会事务</w:t>
            </w:r>
          </w:p>
        </w:tc>
        <w:tc>
          <w:tcPr>
            <w:tcW w:w="2551" w:type="dxa"/>
            <w:vAlign w:val="center"/>
          </w:tcPr>
          <w:p>
            <w:pPr>
              <w:pStyle w:val="13"/>
            </w:pPr>
            <w:r>
              <w:t>9.81</w:t>
            </w:r>
          </w:p>
        </w:tc>
        <w:tc>
          <w:tcPr>
            <w:tcW w:w="2551" w:type="dxa"/>
            <w:vAlign w:val="center"/>
          </w:tcPr>
          <w:p>
            <w:pPr>
              <w:pStyle w:val="13"/>
            </w:pPr>
            <w:r>
              <w:t>9.81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189.93</w:t>
            </w:r>
          </w:p>
        </w:tc>
        <w:tc>
          <w:tcPr>
            <w:tcW w:w="2551" w:type="dxa"/>
            <w:vAlign w:val="center"/>
          </w:tcPr>
          <w:p>
            <w:pPr>
              <w:pStyle w:val="17"/>
            </w:pPr>
            <w:r>
              <w:t>21.93</w:t>
            </w:r>
          </w:p>
        </w:tc>
        <w:tc>
          <w:tcPr>
            <w:tcW w:w="2551" w:type="dxa"/>
            <w:vAlign w:val="center"/>
          </w:tcPr>
          <w:p>
            <w:pPr>
              <w:pStyle w:val="17"/>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21.93</w:t>
            </w:r>
          </w:p>
        </w:tc>
        <w:tc>
          <w:tcPr>
            <w:tcW w:w="2551" w:type="dxa"/>
            <w:vAlign w:val="center"/>
          </w:tcPr>
          <w:p>
            <w:pPr>
              <w:pStyle w:val="13"/>
            </w:pPr>
            <w:r>
              <w:t>21.93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21.93</w:t>
            </w:r>
          </w:p>
        </w:tc>
        <w:tc>
          <w:tcPr>
            <w:tcW w:w="2551" w:type="dxa"/>
            <w:vAlign w:val="center"/>
          </w:tcPr>
          <w:p>
            <w:pPr>
              <w:pStyle w:val="13"/>
            </w:pPr>
            <w:r>
              <w:t>21.93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711001无极县总工会本级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无极县总工会本级2023年单位预算信息公开情况说明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、《地方预决算公开操作规程》和《关于进一步推进预算公开工作的实施意见》规定，现将无极县总工会本级2023年单位预算公开如下：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1、根据党的路线、方针、政策，围绕县委、县政府工作大局和上级工会工作部署，贯彻执行县总工会代表大会和全委会议确定的任务与作出的决议。</w:t>
      </w:r>
    </w:p>
    <w:p>
      <w:pPr>
        <w:pStyle w:val="27"/>
      </w:pPr>
      <w:r>
        <w:t>2、依照法律和《中国工会章程》，组织和指导全县各级工会坚定不移地贯彻党的全心全意依靠工人阶级的根本指导方针，全面履行工会各项职能，进一步突出和履行维护职能。</w:t>
      </w:r>
    </w:p>
    <w:p>
      <w:pPr>
        <w:pStyle w:val="27"/>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27"/>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27"/>
      </w:pPr>
      <w:r>
        <w:t>5、指导基层工会组织建设，做好工会干部协管和干部培训教育工作；</w:t>
      </w:r>
    </w:p>
    <w:p>
      <w:pPr>
        <w:pStyle w:val="27"/>
      </w:pPr>
      <w:r>
        <w:t>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pStyle w:val="27"/>
      </w:pPr>
    </w:p>
    <w:p>
      <w:pPr>
        <w:pStyle w:val="27"/>
      </w:pPr>
    </w:p>
    <w:p>
      <w:pPr>
        <w:pStyle w:val="27"/>
      </w:pPr>
    </w:p>
    <w:p>
      <w:pPr>
        <w:pStyle w:val="27"/>
      </w:pPr>
    </w:p>
    <w:p>
      <w:pPr>
        <w:pStyle w:val="27"/>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无极县总工会本级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县</w:t>
      </w:r>
      <w:r>
        <w:rPr>
          <w:rFonts w:hint="eastAsia"/>
          <w:lang w:val="en-US" w:eastAsia="zh-CN"/>
        </w:rPr>
        <w:t>单位</w:t>
      </w:r>
      <w:r>
        <w:t>预算的编制实行综合预算管理，即全部收入和支出都反映在</w:t>
      </w:r>
      <w:r>
        <w:rPr>
          <w:rFonts w:hint="eastAsia"/>
          <w:lang w:val="en-US" w:eastAsia="zh-CN"/>
        </w:rPr>
        <w:t>单位</w:t>
      </w:r>
      <w:r>
        <w:t>预算中。工会</w:t>
      </w:r>
      <w:r>
        <w:rPr>
          <w:rFonts w:hint="eastAsia"/>
          <w:lang w:val="en-US" w:eastAsia="zh-CN"/>
        </w:rPr>
        <w:t>本级</w:t>
      </w:r>
      <w:r>
        <w:t>的收支包含在</w:t>
      </w:r>
      <w:r>
        <w:rPr>
          <w:rFonts w:hint="eastAsia"/>
          <w:lang w:val="en-US" w:eastAsia="zh-CN"/>
        </w:rPr>
        <w:t>单位</w:t>
      </w:r>
      <w:r>
        <w:t>预算中。</w:t>
      </w:r>
    </w:p>
    <w:p>
      <w:pPr>
        <w:pStyle w:val="20"/>
      </w:pPr>
      <w:r>
        <w:t>1.收入说明</w:t>
      </w:r>
    </w:p>
    <w:p>
      <w:pPr>
        <w:pStyle w:val="20"/>
      </w:pPr>
      <w:r>
        <w:t>反映本</w:t>
      </w:r>
      <w:r>
        <w:rPr>
          <w:rFonts w:hint="eastAsia"/>
          <w:lang w:val="en-US" w:eastAsia="zh-CN"/>
        </w:rPr>
        <w:t>单位</w:t>
      </w:r>
      <w:r>
        <w:t>当年全部收入。2023年</w:t>
      </w:r>
      <w:r>
        <w:rPr>
          <w:rFonts w:hint="eastAsia"/>
          <w:lang w:val="en-US" w:eastAsia="zh-CN"/>
        </w:rPr>
        <w:t>单位</w:t>
      </w:r>
      <w:r>
        <w:t>预算收入</w:t>
      </w:r>
      <w:r>
        <w:rPr>
          <w:rFonts w:hint="eastAsia"/>
          <w:lang w:val="en-US" w:eastAsia="zh-CN"/>
        </w:rPr>
        <w:t>197.94</w:t>
      </w:r>
      <w:r>
        <w:t>万元，其中：一般公共预算收入</w:t>
      </w:r>
      <w:r>
        <w:rPr>
          <w:rFonts w:hint="eastAsia"/>
          <w:lang w:val="en-US" w:eastAsia="zh-CN"/>
        </w:rPr>
        <w:t>197.94</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收支预算总表支出栏、基本支出表、项目支出表按经济分类和支出功能分类科目编制，反映无极县总工会年度</w:t>
      </w:r>
      <w:r>
        <w:rPr>
          <w:rFonts w:hint="eastAsia"/>
          <w:lang w:val="en-US" w:eastAsia="zh-CN"/>
        </w:rPr>
        <w:t>单位</w:t>
      </w:r>
      <w:r>
        <w:t>预算中支出预算的总体情况。2023年</w:t>
      </w:r>
      <w:r>
        <w:rPr>
          <w:rFonts w:hint="eastAsia"/>
          <w:lang w:val="en-US" w:eastAsia="zh-CN"/>
        </w:rPr>
        <w:t>单位</w:t>
      </w:r>
      <w:r>
        <w:t>预算支出为</w:t>
      </w:r>
      <w:r>
        <w:rPr>
          <w:rFonts w:hint="eastAsia"/>
          <w:lang w:val="en-US" w:eastAsia="zh-CN"/>
        </w:rPr>
        <w:t>197.94</w:t>
      </w:r>
      <w:r>
        <w:t>万元，其中基本支出</w:t>
      </w:r>
      <w:r>
        <w:rPr>
          <w:rFonts w:hint="eastAsia"/>
          <w:lang w:val="en-US" w:eastAsia="zh-CN"/>
        </w:rPr>
        <w:t>189.93</w:t>
      </w:r>
      <w:r>
        <w:t>万元，包括人员经费21.93万元和日常公用经费</w:t>
      </w:r>
      <w:r>
        <w:rPr>
          <w:rFonts w:hint="eastAsia"/>
          <w:lang w:val="en-US" w:eastAsia="zh-CN"/>
        </w:rPr>
        <w:t>168</w:t>
      </w:r>
      <w:r>
        <w:t>万元；项目支出8.01万元。</w:t>
      </w:r>
    </w:p>
    <w:p>
      <w:pPr>
        <w:pStyle w:val="20"/>
      </w:pPr>
      <w:r>
        <w:t>3.比上年增减情况</w:t>
      </w:r>
    </w:p>
    <w:p>
      <w:pPr>
        <w:pStyle w:val="20"/>
      </w:pPr>
      <w:r>
        <w:t>2023</w:t>
      </w:r>
      <w:r>
        <w:rPr>
          <w:rFonts w:hint="eastAsia"/>
          <w:lang w:val="en-US" w:eastAsia="zh-CN"/>
        </w:rPr>
        <w:t>年单位</w:t>
      </w:r>
      <w:r>
        <w:t>预算支出较2022年增加</w:t>
      </w:r>
      <w:r>
        <w:rPr>
          <w:rFonts w:hint="eastAsia"/>
          <w:lang w:val="en-US" w:eastAsia="zh-CN"/>
        </w:rPr>
        <w:t>3.76</w:t>
      </w:r>
      <w:r>
        <w:t>万元，其中：基本支出增加</w:t>
      </w:r>
      <w:r>
        <w:rPr>
          <w:rFonts w:hint="eastAsia"/>
          <w:lang w:val="en-US" w:eastAsia="zh-CN"/>
        </w:rPr>
        <w:t>4.8</w:t>
      </w:r>
      <w:r>
        <w:t>万元，主要是增加人员经费和公用支出；项目支出</w:t>
      </w:r>
      <w:r>
        <w:rPr>
          <w:rFonts w:hint="eastAsia"/>
          <w:lang w:val="en-US" w:eastAsia="zh-CN"/>
        </w:rPr>
        <w:t>减少1.04万元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机关运行经费共计安排</w:t>
      </w:r>
      <w:r>
        <w:rPr>
          <w:rFonts w:hint="eastAsia"/>
          <w:lang w:val="en-US" w:eastAsia="zh-CN"/>
        </w:rPr>
        <w:t>168</w:t>
      </w:r>
      <w:r>
        <w:t>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0万元，与去年持平，无增减变化。其中：因公出国（境）费0万元；公务用车购置及运维费0万元（其中：公务用车购置费0万元，公务用车运行维护费0万元）；公务接待费0万元。无增减变化，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1、关于提前下达2023年困难职工及劳模帮扶救助专项资金的通知绩效目标表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保证困难职工劳模帮扶津贴发放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执行标的到位率(%)</w:t>
            </w:r>
          </w:p>
        </w:tc>
        <w:tc>
          <w:tcPr>
            <w:tcW w:w="2835" w:type="dxa"/>
            <w:vAlign w:val="center"/>
          </w:tcPr>
          <w:p>
            <w:pPr>
              <w:pStyle w:val="14"/>
            </w:pPr>
            <w:r>
              <w:t>执行标的到位率(%)</w:t>
            </w:r>
          </w:p>
        </w:tc>
        <w:tc>
          <w:tcPr>
            <w:tcW w:w="2551" w:type="dxa"/>
            <w:vAlign w:val="center"/>
          </w:tcPr>
          <w:p>
            <w:pPr>
              <w:pStyle w:val="14"/>
            </w:pPr>
            <w:r>
              <w:t>100到位率百分比</w:t>
            </w:r>
          </w:p>
        </w:tc>
        <w:tc>
          <w:tcPr>
            <w:tcW w:w="2268" w:type="dxa"/>
            <w:vAlign w:val="center"/>
          </w:tcPr>
          <w:p>
            <w:pPr>
              <w:pStyle w:val="14"/>
            </w:pPr>
            <w:r>
              <w:t>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100发放利率</w:t>
            </w:r>
          </w:p>
        </w:tc>
        <w:tc>
          <w:tcPr>
            <w:tcW w:w="2268" w:type="dxa"/>
            <w:vAlign w:val="center"/>
          </w:tcPr>
          <w:p>
            <w:pPr>
              <w:pStyle w:val="14"/>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及时</w:t>
            </w:r>
          </w:p>
        </w:tc>
        <w:tc>
          <w:tcPr>
            <w:tcW w:w="2268" w:type="dxa"/>
            <w:vAlign w:val="center"/>
          </w:tcPr>
          <w:p>
            <w:pPr>
              <w:pStyle w:val="14"/>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t>100补助百分比</w:t>
            </w:r>
          </w:p>
        </w:tc>
        <w:tc>
          <w:tcPr>
            <w:tcW w:w="2268" w:type="dxa"/>
            <w:vAlign w:val="center"/>
          </w:tcPr>
          <w:p>
            <w:pPr>
              <w:pStyle w:val="14"/>
            </w:pPr>
            <w:r>
              <w:t>补助百分比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经济效益</w:t>
            </w:r>
          </w:p>
        </w:tc>
        <w:tc>
          <w:tcPr>
            <w:tcW w:w="2268" w:type="dxa"/>
            <w:vAlign w:val="center"/>
          </w:tcPr>
          <w:p>
            <w:pPr>
              <w:pStyle w:val="14"/>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社会好评</w:t>
            </w:r>
          </w:p>
        </w:tc>
        <w:tc>
          <w:tcPr>
            <w:tcW w:w="2268" w:type="dxa"/>
            <w:vAlign w:val="center"/>
          </w:tcPr>
          <w:p>
            <w:pPr>
              <w:pStyle w:val="14"/>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社会生态</w:t>
            </w:r>
          </w:p>
        </w:tc>
        <w:tc>
          <w:tcPr>
            <w:tcW w:w="2268" w:type="dxa"/>
            <w:vAlign w:val="center"/>
          </w:tcPr>
          <w:p>
            <w:pPr>
              <w:pStyle w:val="14"/>
            </w:pPr>
            <w:r>
              <w:t>社会生态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项目持续影响效果</w:t>
            </w:r>
          </w:p>
        </w:tc>
        <w:tc>
          <w:tcPr>
            <w:tcW w:w="2835" w:type="dxa"/>
            <w:vAlign w:val="center"/>
          </w:tcPr>
          <w:p>
            <w:pPr>
              <w:pStyle w:val="14"/>
            </w:pPr>
            <w:r>
              <w:t>群众交通安全意识、文明意识进一步提高</w:t>
            </w:r>
          </w:p>
        </w:tc>
        <w:tc>
          <w:tcPr>
            <w:tcW w:w="2551" w:type="dxa"/>
            <w:vAlign w:val="center"/>
          </w:tcPr>
          <w:p>
            <w:pPr>
              <w:pStyle w:val="14"/>
            </w:pPr>
            <w:r>
              <w:t>持续影响</w:t>
            </w:r>
          </w:p>
        </w:tc>
        <w:tc>
          <w:tcPr>
            <w:tcW w:w="2268" w:type="dxa"/>
            <w:vAlign w:val="center"/>
          </w:tcPr>
          <w:p>
            <w:pPr>
              <w:pStyle w:val="14"/>
            </w:pPr>
            <w:r>
              <w:t>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100满意率</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2023年，无极县总工会本级安排政府采购预算0.00万元。具体内容见下表。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711001无极县总工会本级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无极县总工会本级上年末固定资产金额为141.11万元（详见下表）。本年度拟购置固定资产总额为0.00万元，已按要求列入政府采购预算，详见政府采购预算表。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711001无极县总工会本级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1299.40</w:t>
            </w:r>
          </w:p>
        </w:tc>
        <w:tc>
          <w:tcPr>
            <w:tcW w:w="2835" w:type="dxa"/>
            <w:vAlign w:val="center"/>
          </w:tcPr>
          <w:p>
            <w:pPr>
              <w:pStyle w:val="13"/>
            </w:pPr>
            <w:r>
              <w:t>132.04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9.07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F4478"/>
    <w:rsid w:val="09CC5A36"/>
    <w:rsid w:val="3B031E7B"/>
    <w:rsid w:val="3E38673C"/>
    <w:rsid w:val="3FC0243D"/>
    <w:rsid w:val="4E6C2D3A"/>
    <w:rsid w:val="5B0935A3"/>
    <w:rsid w:val="601D5C78"/>
    <w:rsid w:val="61A92DCE"/>
    <w:rsid w:val="620E151D"/>
    <w:rsid w:val="63C072AB"/>
    <w:rsid w:val="71D8747C"/>
    <w:rsid w:val="77180C53"/>
    <w:rsid w:val="779F1DFB"/>
    <w:rsid w:val="783B2C40"/>
    <w:rsid w:val="7CEE6C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2023-05-15T14:27:09Z</dcterms:created>
  <dcterms:modified xsi:type="dcterms:W3CDTF">2023-05-15T06:27:09Z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2023-05-15T14:27:14Z</dcterms:created>
  <dcterms:modified xsi:type="dcterms:W3CDTF">2023-05-15T06:27:14Z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2023-05-15T14:27:14Z</dcterms:created>
  <dcterms:modified xsi:type="dcterms:W3CDTF">2023-05-15T06:27:14Z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2023-05-15T14:27:13Z</dcterms:created>
  <dcterms:modified xsi:type="dcterms:W3CDTF">2023-05-15T06:27:13Z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2023-05-15T06:27:10Z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1a85d-ac32-4c6d-a68b-d0b51bca5245}">
  <ds:schemaRefs/>
</ds:datastoreItem>
</file>

<file path=customXml/itemProps10.xml><?xml version="1.0" encoding="utf-8"?>
<ds:datastoreItem xmlns:ds="http://schemas.openxmlformats.org/officeDocument/2006/customXml" ds:itemID="{7335042c-2aeb-4981-a720-19248616f788}">
  <ds:schemaRefs/>
</ds:datastoreItem>
</file>

<file path=customXml/itemProps11.xml><?xml version="1.0" encoding="utf-8"?>
<ds:datastoreItem xmlns:ds="http://schemas.openxmlformats.org/officeDocument/2006/customXml" ds:itemID="{245024f4-436e-4d51-bf44-f0db7af68718}">
  <ds:schemaRefs/>
</ds:datastoreItem>
</file>

<file path=customXml/itemProps12.xml><?xml version="1.0" encoding="utf-8"?>
<ds:datastoreItem xmlns:ds="http://schemas.openxmlformats.org/officeDocument/2006/customXml" ds:itemID="{e7e4a602-9da7-447f-b7fa-590d80c23d80}">
  <ds:schemaRefs/>
</ds:datastoreItem>
</file>

<file path=customXml/itemProps13.xml><?xml version="1.0" encoding="utf-8"?>
<ds:datastoreItem xmlns:ds="http://schemas.openxmlformats.org/officeDocument/2006/customXml" ds:itemID="{56a6b39d-6769-4a27-80c6-fc1e152f6e6e}">
  <ds:schemaRefs/>
</ds:datastoreItem>
</file>

<file path=customXml/itemProps14.xml><?xml version="1.0" encoding="utf-8"?>
<ds:datastoreItem xmlns:ds="http://schemas.openxmlformats.org/officeDocument/2006/customXml" ds:itemID="{406fda0e-062a-4fde-aaa6-61bf1277f37d}">
  <ds:schemaRefs/>
</ds:datastoreItem>
</file>

<file path=customXml/itemProps2.xml><?xml version="1.0" encoding="utf-8"?>
<ds:datastoreItem xmlns:ds="http://schemas.openxmlformats.org/officeDocument/2006/customXml" ds:itemID="{be718b0e-e6c7-4af2-85ae-2c2548d341d1}">
  <ds:schemaRefs/>
</ds:datastoreItem>
</file>

<file path=customXml/itemProps3.xml><?xml version="1.0" encoding="utf-8"?>
<ds:datastoreItem xmlns:ds="http://schemas.openxmlformats.org/officeDocument/2006/customXml" ds:itemID="{a84fa0fc-c70b-4079-8e7e-f74943553ba1}">
  <ds:schemaRefs/>
</ds:datastoreItem>
</file>

<file path=customXml/itemProps4.xml><?xml version="1.0" encoding="utf-8"?>
<ds:datastoreItem xmlns:ds="http://schemas.openxmlformats.org/officeDocument/2006/customXml" ds:itemID="{fb505ce0-6648-437b-862f-cf4069d5049f}">
  <ds:schemaRefs/>
</ds:datastoreItem>
</file>

<file path=customXml/itemProps5.xml><?xml version="1.0" encoding="utf-8"?>
<ds:datastoreItem xmlns:ds="http://schemas.openxmlformats.org/officeDocument/2006/customXml" ds:itemID="{650d9158-895e-4499-ba78-f8988baa5981}">
  <ds:schemaRefs/>
</ds:datastoreItem>
</file>

<file path=customXml/itemProps6.xml><?xml version="1.0" encoding="utf-8"?>
<ds:datastoreItem xmlns:ds="http://schemas.openxmlformats.org/officeDocument/2006/customXml" ds:itemID="{e9b788fe-55ca-4415-bfba-216def5e3574}">
  <ds:schemaRefs/>
</ds:datastoreItem>
</file>

<file path=customXml/itemProps7.xml><?xml version="1.0" encoding="utf-8"?>
<ds:datastoreItem xmlns:ds="http://schemas.openxmlformats.org/officeDocument/2006/customXml" ds:itemID="{15c9ad20-8e9f-41d6-86eb-1c077e25935a}">
  <ds:schemaRefs/>
</ds:datastoreItem>
</file>

<file path=customXml/itemProps8.xml><?xml version="1.0" encoding="utf-8"?>
<ds:datastoreItem xmlns:ds="http://schemas.openxmlformats.org/officeDocument/2006/customXml" ds:itemID="{2ca8884b-0d1c-4157-abab-8fbd7cdc0916}">
  <ds:schemaRefs/>
</ds:datastoreItem>
</file>

<file path=customXml/itemProps9.xml><?xml version="1.0" encoding="utf-8"?>
<ds:datastoreItem xmlns:ds="http://schemas.openxmlformats.org/officeDocument/2006/customXml" ds:itemID="{4f6e2534-36b6-45c4-9433-71307d4aed45}">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dcterms:modified xsi:type="dcterms:W3CDTF">2024-06-20T14:14:40Z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82EAD7B65D51479EAC42B67DCBCE4923</vt:lpwstr>
  </property>
</Properties>
</file>