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fldChar w:fldCharType="begin"/>
      </w:r>
      <w:r>
        <w:instrText xml:space="preserve">TOC \o "4-4" \h \z \u</w:instrText>
      </w:r>
      <w:r>
        <w:fldChar w:fldCharType="separate"/>
      </w: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bookmarkStart w:id="1" w:name="_GoBack"/>
      <w:bookmarkEnd w:id="1"/>
    </w:p>
    <w:p>
      <w:pPr>
        <w:jc w:val="center"/>
      </w:pP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rPr>
          <w:shd w:val="pct10" w:color="auto" w:fill="FFFFFF"/>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shd w:val="pct10" w:color="auto" w:fill="FFFFFF"/>
        </w:rPr>
        <w:t>一、</w:t>
      </w:r>
      <w:r>
        <w:rPr>
          <w:rFonts w:hint="eastAsia"/>
          <w:shd w:val="pct10" w:color="auto" w:fill="FFFFFF"/>
          <w:lang w:val="en-US" w:eastAsia="zh-CN"/>
        </w:rPr>
        <w:t>单位</w:t>
      </w:r>
      <w:r>
        <w:rPr>
          <w:shd w:val="pct10" w:color="auto" w:fill="FFFFFF"/>
        </w:rPr>
        <w:t>职责及机构设置情况</w:t>
      </w:r>
      <w:r>
        <w:rPr>
          <w:shd w:val="pct10" w:color="auto" w:fill="FFFFFF"/>
        </w:rPr>
        <w:tab/>
      </w:r>
      <w:r>
        <w:rPr>
          <w:shd w:val="pct10" w:color="auto" w:fill="FFFFFF"/>
        </w:rPr>
        <w:fldChar w:fldCharType="begin"/>
      </w:r>
      <w:r>
        <w:rPr>
          <w:shd w:val="pct10" w:color="auto" w:fill="FFFFFF"/>
        </w:rPr>
        <w:instrText xml:space="preserve">PAGEREF _Toc_3_3_0000000010 \h</w:instrText>
      </w:r>
      <w:r>
        <w:rPr>
          <w:shd w:val="pct10" w:color="auto" w:fill="FFFFFF"/>
        </w:rPr>
        <w:fldChar w:fldCharType="separate"/>
      </w:r>
      <w:r>
        <w:rPr>
          <w:shd w:val="pct10" w:color="auto" w:fill="FFFFFF"/>
        </w:rPr>
        <w:t>13</w:t>
      </w:r>
      <w:r>
        <w:rPr>
          <w:shd w:val="pct10" w:color="auto" w:fill="FFFFFF"/>
        </w:rPr>
        <w:fldChar w:fldCharType="end"/>
      </w:r>
      <w:r>
        <w:rPr>
          <w:shd w:val="pct10" w:color="auto" w:fill="FFFFFF"/>
        </w:rPr>
        <w:fldChar w:fldCharType="end"/>
      </w:r>
    </w:p>
    <w:p>
      <w:pPr>
        <w:pStyle w:val="32"/>
        <w:tabs>
          <w:tab w:val="right" w:leader="dot" w:pos="14562"/>
        </w:tabs>
        <w:rPr>
          <w:shd w:val="pct10" w:color="auto" w:fill="FFFFFF"/>
        </w:rPr>
      </w:pPr>
      <w:r>
        <w:fldChar w:fldCharType="begin"/>
      </w:r>
      <w:r>
        <w:instrText xml:space="preserve"> HYPERLINK \l "_Toc_3_3_0000000011" </w:instrText>
      </w:r>
      <w:r>
        <w:fldChar w:fldCharType="separate"/>
      </w:r>
      <w:r>
        <w:rPr>
          <w:shd w:val="pct10" w:color="auto" w:fill="FFFFFF"/>
        </w:rPr>
        <w:t>二、</w:t>
      </w:r>
      <w:r>
        <w:rPr>
          <w:rFonts w:hint="eastAsia"/>
          <w:shd w:val="pct10" w:color="auto" w:fill="FFFFFF"/>
          <w:lang w:val="en-US" w:eastAsia="zh-CN"/>
        </w:rPr>
        <w:t>单位</w:t>
      </w:r>
      <w:r>
        <w:rPr>
          <w:shd w:val="pct10" w:color="auto" w:fill="FFFFFF"/>
        </w:rPr>
        <w:t>预算安排的总体情况</w:t>
      </w:r>
      <w:r>
        <w:rPr>
          <w:shd w:val="pct10" w:color="auto" w:fill="FFFFFF"/>
        </w:rPr>
        <w:tab/>
      </w:r>
      <w:r>
        <w:rPr>
          <w:shd w:val="pct10" w:color="auto" w:fill="FFFFFF"/>
        </w:rPr>
        <w:fldChar w:fldCharType="begin"/>
      </w:r>
      <w:r>
        <w:rPr>
          <w:shd w:val="pct10" w:color="auto" w:fill="FFFFFF"/>
        </w:rPr>
        <w:instrText xml:space="preserve">PAGEREF _Toc_3_3_0000000011 \h</w:instrText>
      </w:r>
      <w:r>
        <w:rPr>
          <w:shd w:val="pct10" w:color="auto" w:fill="FFFFFF"/>
        </w:rPr>
        <w:fldChar w:fldCharType="separate"/>
      </w:r>
      <w:r>
        <w:rPr>
          <w:shd w:val="pct10" w:color="auto" w:fill="FFFFFF"/>
        </w:rPr>
        <w:t>14</w:t>
      </w:r>
      <w:r>
        <w:rPr>
          <w:shd w:val="pct10" w:color="auto" w:fill="FFFFFF"/>
        </w:rPr>
        <w:fldChar w:fldCharType="end"/>
      </w:r>
      <w:r>
        <w:rPr>
          <w:shd w:val="pct10" w:color="auto" w:fill="FFFFFF"/>
        </w:rPr>
        <w:fldChar w:fldCharType="end"/>
      </w:r>
    </w:p>
    <w:p>
      <w:pPr>
        <w:pStyle w:val="32"/>
        <w:tabs>
          <w:tab w:val="right" w:leader="dot" w:pos="14562"/>
        </w:tabs>
        <w:rPr>
          <w:shd w:val="pct10" w:color="auto" w:fill="FFFFFF"/>
        </w:rPr>
      </w:pPr>
      <w:r>
        <w:fldChar w:fldCharType="begin"/>
      </w:r>
      <w:r>
        <w:instrText xml:space="preserve"> HYPERLINK \l "_Toc_3_3_0000000012" </w:instrText>
      </w:r>
      <w:r>
        <w:fldChar w:fldCharType="separate"/>
      </w:r>
      <w:r>
        <w:rPr>
          <w:shd w:val="pct10" w:color="auto" w:fill="FFFFFF"/>
        </w:rPr>
        <w:t>三、机关运行经费安排情况</w:t>
      </w:r>
      <w:r>
        <w:rPr>
          <w:shd w:val="pct10" w:color="auto" w:fill="FFFFFF"/>
        </w:rPr>
        <w:tab/>
      </w:r>
      <w:r>
        <w:rPr>
          <w:rFonts w:hint="eastAsia"/>
          <w:shd w:val="pct10" w:color="auto" w:fill="FFFFFF"/>
          <w:lang w:eastAsia="zh-CN"/>
        </w:rPr>
        <w:t>16</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"_Toc_3_3_0000000013" </w:instrText>
      </w:r>
      <w:r>
        <w:fldChar w:fldCharType="separate"/>
      </w:r>
      <w:r>
        <w:rPr>
          <w:shd w:val="pct10" w:color="auto" w:fill="FFFFFF"/>
        </w:rPr>
        <w:t>四、财政拨款“三公”经费预算情况及增减变化原因</w:t>
      </w:r>
      <w:r>
        <w:rPr>
          <w:shd w:val="pct10" w:color="auto" w:fill="FFFFFF"/>
        </w:rPr>
        <w:tab/>
      </w:r>
      <w:r>
        <w:rPr>
          <w:rFonts w:hint="eastAsia"/>
          <w:shd w:val="pct10" w:color="auto" w:fill="FFFFFF"/>
          <w:lang w:eastAsia="zh-CN"/>
        </w:rPr>
        <w:t>16</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"_Toc_3_3_0000000014" </w:instrText>
      </w:r>
      <w:r>
        <w:fldChar w:fldCharType="separate"/>
      </w:r>
      <w:r>
        <w:rPr>
          <w:shd w:val="pct10" w:color="auto" w:fill="FFFFFF"/>
        </w:rPr>
        <w:t>五、预算绩效信息</w:t>
      </w:r>
      <w:r>
        <w:rPr>
          <w:shd w:val="pct10" w:color="auto" w:fill="FFFFFF"/>
        </w:rPr>
        <w:tab/>
      </w:r>
      <w:r>
        <w:rPr>
          <w:rFonts w:hint="eastAsia"/>
          <w:shd w:val="pct10" w:color="auto" w:fill="FFFFFF"/>
          <w:lang w:eastAsia="zh-CN"/>
        </w:rPr>
        <w:t>17</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"_Toc_3_3_0000000015" </w:instrText>
      </w:r>
      <w:r>
        <w:fldChar w:fldCharType="separate"/>
      </w:r>
      <w:r>
        <w:rPr>
          <w:shd w:val="pct10" w:color="auto" w:fill="FFFFFF"/>
        </w:rPr>
        <w:t>六、政府采购预算情况</w:t>
      </w:r>
      <w:r>
        <w:rPr>
          <w:shd w:val="pct10" w:color="auto" w:fill="FFFFFF"/>
        </w:rPr>
        <w:tab/>
      </w:r>
      <w:r>
        <w:rPr>
          <w:rFonts w:hint="eastAsia"/>
          <w:shd w:val="pct10" w:color="auto" w:fill="FFFFFF"/>
          <w:lang w:eastAsia="zh-CN"/>
        </w:rPr>
        <w:t>21</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"_Toc_3_3_0000000016" </w:instrText>
      </w:r>
      <w:r>
        <w:fldChar w:fldCharType="separate"/>
      </w:r>
      <w:r>
        <w:rPr>
          <w:shd w:val="pct10" w:color="auto" w:fill="FFFFFF"/>
        </w:rPr>
        <w:t>七、国有资产信息</w:t>
      </w:r>
      <w:r>
        <w:rPr>
          <w:shd w:val="pct10" w:color="auto" w:fill="FFFFFF"/>
        </w:rPr>
        <w:tab/>
      </w:r>
      <w:r>
        <w:rPr>
          <w:rFonts w:hint="eastAsia"/>
          <w:shd w:val="pct10" w:color="auto" w:fill="FFFFFF"/>
          <w:lang w:eastAsia="zh-CN"/>
        </w:rPr>
        <w:t>21</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"_Toc_3_3_0000000017" </w:instrText>
      </w:r>
      <w:r>
        <w:fldChar w:fldCharType="separate"/>
      </w:r>
      <w:r>
        <w:rPr>
          <w:shd w:val="pct10" w:color="auto" w:fill="FFFFFF"/>
        </w:rPr>
        <w:t>八、名词解释</w:t>
      </w:r>
      <w:r>
        <w:rPr>
          <w:shd w:val="pct10" w:color="auto" w:fill="FFFFFF"/>
        </w:rPr>
        <w:tab/>
      </w:r>
      <w:r>
        <w:rPr>
          <w:rFonts w:hint="eastAsia"/>
          <w:shd w:val="pct10" w:color="auto" w:fill="FFFFFF"/>
          <w:lang w:eastAsia="zh-CN"/>
        </w:rPr>
        <w:t>22</w:t>
      </w:r>
      <w:r>
        <w:rPr>
          <w:rFonts w:hint="eastAsia"/>
          <w:shd w:val="pct10" w:color="auto" w:fill="FFFFFF"/>
          <w:lang w:eastAsia="zh-CN"/>
        </w:rPr>
        <w:fldChar w:fldCharType="end"/>
      </w:r>
    </w:p>
    <w:p>
      <w:pPr>
        <w:pStyle w:val="32"/>
        <w:tabs>
          <w:tab w:val="right" w:leader="dot" w:pos="14562"/>
        </w:tabs>
        <w:rPr>
          <w:shd w:val="pct10" w:color="auto" w:fill="FFFFFF"/>
        </w:rPr>
      </w:pPr>
      <w:r>
        <w:fldChar w:fldCharType="begin"/>
      </w:r>
      <w:r>
        <w:instrText xml:space="preserve"> HYPERLINK \l "_Toc_3_3_0000000018" </w:instrText>
      </w:r>
      <w:r>
        <w:fldChar w:fldCharType="separate"/>
      </w:r>
      <w:r>
        <w:rPr>
          <w:shd w:val="pct10" w:color="auto" w:fill="FFFFFF"/>
        </w:rPr>
        <w:t>九、其他需要说明的事项</w:t>
      </w:r>
      <w:r>
        <w:rPr>
          <w:shd w:val="pct10" w:color="auto" w:fill="FFFFFF"/>
        </w:rPr>
        <w:tab/>
      </w:r>
      <w:r>
        <w:rPr>
          <w:rFonts w:hint="eastAsia"/>
          <w:shd w:val="pct10" w:color="auto" w:fill="FFFFFF"/>
          <w:lang w:eastAsia="zh-CN"/>
        </w:rPr>
        <w:t>22</w:t>
      </w:r>
      <w:r>
        <w:rPr>
          <w:rFonts w:hint="eastAsia"/>
          <w:shd w:val="pct10" w:color="auto" w:fill="FFFFFF"/>
          <w:lang w:eastAsia="zh-CN"/>
        </w:rPr>
        <w:fldChar w:fldCharType="end"/>
      </w:r>
    </w:p>
    <w:p>
      <w:r>
        <w:fldChar w:fldCharType="end"/>
      </w:r>
    </w:p>
    <w:p>
      <w:pPr>
        <w:sectPr>
          <w:headerReference r:id="rId3" w:type="default"/>
          <w:pgSz w:w="16840" w:h="11900" w:orient="landscape"/>
          <w:pgMar w:top="1587" w:right="1134" w:bottom="1361" w:left="1134" w:header="720" w:footer="720" w:gutter="0"/>
          <w:pgNumType w:start="1"/>
          <w:cols w:space="720" w:num="1"/>
        </w:sectPr>
      </w:pPr>
    </w:p>
    <w:p>
      <w:pPr>
        <w:tabs>
          <w:tab w:val="left" w:pos="11279"/>
        </w:tabs>
        <w:rPr>
          <w:rFonts w:hint="eastAsia" w:eastAsia="方正小标宋_GBK"/>
          <w:lang w:eastAsia="zh-CN"/>
        </w:rPr>
      </w:pPr>
      <w:r>
        <w:fldChar w:fldCharType="end"/>
      </w:r>
      <w:bookmarkStart w:id="0" w:name="_Toc_4_4_0000000019"/>
      <w:r>
        <w:rPr>
          <w:rFonts w:hint="eastAsia" w:eastAsia="宋体"/>
          <w:lang w:val="en-US" w:eastAsia="zh-CN"/>
        </w:rPr>
        <w:t xml:space="preserve">                                                                     </w:t>
      </w:r>
      <w:r>
        <w:rPr>
          <w:rFonts w:ascii="方正小标宋_GBK" w:hAnsi="方正小标宋_GBK" w:eastAsia="方正小标宋_GBK" w:cs="方正小标宋_GBK"/>
          <w:color w:val="000000"/>
          <w:sz w:val="44"/>
        </w:rPr>
        <w:t>一、无极县总工会本级收支预算</w:t>
      </w:r>
      <w:bookmarkEnd w:id="0"/>
      <w:r>
        <w:rPr>
          <w:rFonts w:hint="eastAsia" w:ascii="方正小标宋_GBK" w:hAnsi="方正小标宋_GBK" w:eastAsia="方正小标宋_GBK" w:cs="方正小标宋_GBK"/>
          <w:color w:val="000000"/>
          <w:sz w:val="44"/>
          <w:lang w:eastAsia="zh-CN"/>
        </w:rPr>
        <w:tab/>
      </w:r>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711001无极县总工会本级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194.18</w:t>
            </w:r>
          </w:p>
        </w:tc>
        <w:tc>
          <w:tcPr>
            <w:tcW w:w="4535" w:type="dxa"/>
            <w:vAlign w:val="center"/>
          </w:tcPr>
          <w:p>
            <w:pPr>
              <w:pStyle w:val="12"/>
            </w:pPr>
            <w:r>
              <w:t>一、一般公共服务支出</w:t>
            </w:r>
          </w:p>
        </w:tc>
        <w:tc>
          <w:tcPr>
            <w:tcW w:w="2126" w:type="dxa"/>
            <w:vAlign w:val="center"/>
          </w:tcPr>
          <w:p>
            <w:pPr>
              <w:pStyle w:val="11"/>
            </w:pPr>
            <w:r>
              <w:t>194.18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194.18</w:t>
            </w:r>
          </w:p>
        </w:tc>
        <w:tc>
          <w:tcPr>
            <w:tcW w:w="4535" w:type="dxa"/>
            <w:vAlign w:val="center"/>
          </w:tcPr>
          <w:p>
            <w:pPr>
              <w:pStyle w:val="14"/>
            </w:pPr>
            <w:r>
              <w:t>本年支出合计</w:t>
            </w:r>
          </w:p>
        </w:tc>
        <w:tc>
          <w:tcPr>
            <w:tcW w:w="2126" w:type="dxa"/>
            <w:vAlign w:val="center"/>
          </w:tcPr>
          <w:p>
            <w:pPr>
              <w:pStyle w:val="15"/>
            </w:pPr>
            <w:r>
              <w:t>194.18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194.18</w:t>
            </w:r>
          </w:p>
        </w:tc>
        <w:tc>
          <w:tcPr>
            <w:tcW w:w="4535" w:type="dxa"/>
            <w:vAlign w:val="center"/>
          </w:tcPr>
          <w:p>
            <w:pPr>
              <w:pStyle w:val="14"/>
            </w:pPr>
            <w:r>
              <w:t>支出总计</w:t>
            </w:r>
          </w:p>
        </w:tc>
        <w:tc>
          <w:tcPr>
            <w:tcW w:w="2126" w:type="dxa"/>
            <w:vAlign w:val="center"/>
          </w:tcPr>
          <w:p>
            <w:pPr>
              <w:pStyle w:val="15"/>
            </w:pPr>
            <w:r>
              <w:t>194.18</w:t>
            </w:r>
          </w:p>
        </w:tc>
      </w:tr>
    </w:tbl>
    <w:p>
      <w:pPr>
        <w:sectPr>
          <w:footerReference r:id="rId4" w:type="default"/>
          <w:footerReference r:id="rId5"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711001无极县总工会本级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194.18</w:t>
            </w:r>
          </w:p>
        </w:tc>
        <w:tc>
          <w:tcPr>
            <w:tcW w:w="1134" w:type="dxa"/>
            <w:vAlign w:val="center"/>
          </w:tcPr>
          <w:p>
            <w:pPr>
              <w:pStyle w:val="15"/>
            </w:pPr>
            <w:r>
              <w:t>194.18</w:t>
            </w:r>
          </w:p>
        </w:tc>
        <w:tc>
          <w:tcPr>
            <w:tcW w:w="1134" w:type="dxa"/>
            <w:vAlign w:val="center"/>
          </w:tcPr>
          <w:p>
            <w:pPr>
              <w:pStyle w:val="15"/>
            </w:pPr>
            <w:r>
              <w:t>194.18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r>
              <w:t>194.18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185.13</w:t>
            </w:r>
          </w:p>
        </w:tc>
        <w:tc>
          <w:tcPr>
            <w:tcW w:w="1134" w:type="dxa"/>
            <w:vAlign w:val="center"/>
          </w:tcPr>
          <w:p>
            <w:pPr>
              <w:pStyle w:val="11"/>
            </w:pPr>
            <w:r>
              <w:t>185.13</w:t>
            </w:r>
          </w:p>
        </w:tc>
        <w:tc>
          <w:tcPr>
            <w:tcW w:w="1134" w:type="dxa"/>
            <w:vAlign w:val="center"/>
          </w:tcPr>
          <w:p>
            <w:pPr>
              <w:pStyle w:val="11"/>
            </w:pPr>
            <w:r>
              <w:t>185.13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9.05</w:t>
            </w:r>
          </w:p>
        </w:tc>
        <w:tc>
          <w:tcPr>
            <w:tcW w:w="1134" w:type="dxa"/>
            <w:vAlign w:val="center"/>
          </w:tcPr>
          <w:p>
            <w:pPr>
              <w:pStyle w:val="11"/>
            </w:pPr>
            <w:r>
              <w:t>9.05</w:t>
            </w:r>
          </w:p>
        </w:tc>
        <w:tc>
          <w:tcPr>
            <w:tcW w:w="1134" w:type="dxa"/>
            <w:vAlign w:val="center"/>
          </w:tcPr>
          <w:p>
            <w:pPr>
              <w:pStyle w:val="11"/>
            </w:pPr>
            <w:r>
              <w:t>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194.18</w:t>
            </w:r>
          </w:p>
        </w:tc>
        <w:tc>
          <w:tcPr>
            <w:tcW w:w="1361" w:type="dxa"/>
            <w:vAlign w:val="center"/>
          </w:tcPr>
          <w:p>
            <w:pPr>
              <w:pStyle w:val="15"/>
            </w:pPr>
            <w:r>
              <w:t>185.13</w:t>
            </w:r>
          </w:p>
        </w:tc>
        <w:tc>
          <w:tcPr>
            <w:tcW w:w="1361" w:type="dxa"/>
            <w:vAlign w:val="center"/>
          </w:tcPr>
          <w:p>
            <w:pPr>
              <w:pStyle w:val="15"/>
            </w:pPr>
            <w:r>
              <w:t>9.05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194.18</w:t>
            </w:r>
          </w:p>
        </w:tc>
        <w:tc>
          <w:tcPr>
            <w:tcW w:w="1361" w:type="dxa"/>
            <w:vAlign w:val="center"/>
          </w:tcPr>
          <w:p>
            <w:pPr>
              <w:pStyle w:val="11"/>
            </w:pPr>
            <w:r>
              <w:t>185.13</w:t>
            </w: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194.18</w:t>
            </w:r>
          </w:p>
        </w:tc>
        <w:tc>
          <w:tcPr>
            <w:tcW w:w="1361" w:type="dxa"/>
            <w:vAlign w:val="center"/>
          </w:tcPr>
          <w:p>
            <w:pPr>
              <w:pStyle w:val="11"/>
            </w:pPr>
            <w:r>
              <w:t>185.13</w:t>
            </w: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185.13</w:t>
            </w:r>
          </w:p>
        </w:tc>
        <w:tc>
          <w:tcPr>
            <w:tcW w:w="1361" w:type="dxa"/>
            <w:vAlign w:val="center"/>
          </w:tcPr>
          <w:p>
            <w:pPr>
              <w:pStyle w:val="11"/>
            </w:pPr>
            <w:r>
              <w:t>185.13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r>
              <w:t>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194.18</w:t>
            </w:r>
          </w:p>
        </w:tc>
        <w:tc>
          <w:tcPr>
            <w:tcW w:w="3402" w:type="dxa"/>
            <w:vAlign w:val="center"/>
          </w:tcPr>
          <w:p>
            <w:pPr>
              <w:pStyle w:val="12"/>
            </w:pPr>
            <w:r>
              <w:t>一、一般公共服务支出</w:t>
            </w:r>
          </w:p>
        </w:tc>
        <w:tc>
          <w:tcPr>
            <w:tcW w:w="1474" w:type="dxa"/>
            <w:vAlign w:val="center"/>
          </w:tcPr>
          <w:p>
            <w:pPr>
              <w:pStyle w:val="11"/>
            </w:pPr>
            <w:r>
              <w:t>194.18</w:t>
            </w:r>
          </w:p>
        </w:tc>
        <w:tc>
          <w:tcPr>
            <w:tcW w:w="1474" w:type="dxa"/>
            <w:vAlign w:val="center"/>
          </w:tcPr>
          <w:p>
            <w:pPr>
              <w:pStyle w:val="11"/>
            </w:pPr>
            <w:r>
              <w:t>194.18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194.18</w:t>
            </w:r>
          </w:p>
        </w:tc>
        <w:tc>
          <w:tcPr>
            <w:tcW w:w="3402" w:type="dxa"/>
            <w:vAlign w:val="center"/>
          </w:tcPr>
          <w:p>
            <w:pPr>
              <w:pStyle w:val="14"/>
            </w:pPr>
            <w:r>
              <w:t>本年支出合计</w:t>
            </w:r>
          </w:p>
        </w:tc>
        <w:tc>
          <w:tcPr>
            <w:tcW w:w="1474" w:type="dxa"/>
            <w:vAlign w:val="center"/>
          </w:tcPr>
          <w:p>
            <w:pPr>
              <w:pStyle w:val="15"/>
            </w:pPr>
            <w:r>
              <w:t>194.18</w:t>
            </w:r>
          </w:p>
        </w:tc>
        <w:tc>
          <w:tcPr>
            <w:tcW w:w="1474" w:type="dxa"/>
            <w:vAlign w:val="center"/>
          </w:tcPr>
          <w:p>
            <w:pPr>
              <w:pStyle w:val="15"/>
            </w:pPr>
            <w:r>
              <w:t>194.18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194.18</w:t>
            </w:r>
          </w:p>
        </w:tc>
        <w:tc>
          <w:tcPr>
            <w:tcW w:w="3402" w:type="dxa"/>
            <w:vAlign w:val="center"/>
          </w:tcPr>
          <w:p>
            <w:pPr>
              <w:pStyle w:val="14"/>
            </w:pPr>
            <w:r>
              <w:t>支出总计</w:t>
            </w:r>
          </w:p>
        </w:tc>
        <w:tc>
          <w:tcPr>
            <w:tcW w:w="1474" w:type="dxa"/>
            <w:vAlign w:val="center"/>
          </w:tcPr>
          <w:p>
            <w:pPr>
              <w:pStyle w:val="15"/>
            </w:pPr>
            <w:r>
              <w:t>194.18</w:t>
            </w:r>
          </w:p>
        </w:tc>
        <w:tc>
          <w:tcPr>
            <w:tcW w:w="1474" w:type="dxa"/>
            <w:vAlign w:val="center"/>
          </w:tcPr>
          <w:p>
            <w:pPr>
              <w:pStyle w:val="15"/>
            </w:pPr>
            <w:r>
              <w:t>194.18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194.18</w:t>
            </w:r>
          </w:p>
        </w:tc>
        <w:tc>
          <w:tcPr>
            <w:tcW w:w="2551" w:type="dxa"/>
            <w:vAlign w:val="center"/>
          </w:tcPr>
          <w:p>
            <w:pPr>
              <w:pStyle w:val="15"/>
            </w:pPr>
            <w:r>
              <w:t>185.13</w:t>
            </w:r>
          </w:p>
        </w:tc>
        <w:tc>
          <w:tcPr>
            <w:tcW w:w="2551" w:type="dxa"/>
            <w:vAlign w:val="center"/>
          </w:tcPr>
          <w:p>
            <w:pPr>
              <w:pStyle w:val="15"/>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194.18</w:t>
            </w:r>
          </w:p>
        </w:tc>
        <w:tc>
          <w:tcPr>
            <w:tcW w:w="2551" w:type="dxa"/>
            <w:vAlign w:val="center"/>
          </w:tcPr>
          <w:p>
            <w:pPr>
              <w:pStyle w:val="11"/>
            </w:pPr>
            <w:r>
              <w:t>185.13</w:t>
            </w: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194.18</w:t>
            </w:r>
          </w:p>
        </w:tc>
        <w:tc>
          <w:tcPr>
            <w:tcW w:w="2551" w:type="dxa"/>
            <w:vAlign w:val="center"/>
          </w:tcPr>
          <w:p>
            <w:pPr>
              <w:pStyle w:val="11"/>
            </w:pPr>
            <w:r>
              <w:t>185.13</w:t>
            </w: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185.13</w:t>
            </w:r>
          </w:p>
        </w:tc>
        <w:tc>
          <w:tcPr>
            <w:tcW w:w="2551" w:type="dxa"/>
            <w:vAlign w:val="center"/>
          </w:tcPr>
          <w:p>
            <w:pPr>
              <w:pStyle w:val="11"/>
            </w:pPr>
            <w:r>
              <w:t>185.13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9.05</w:t>
            </w:r>
          </w:p>
        </w:tc>
        <w:tc>
          <w:tcPr>
            <w:tcW w:w="2551" w:type="dxa"/>
            <w:vAlign w:val="center"/>
          </w:tcPr>
          <w:p>
            <w:pPr>
              <w:pStyle w:val="11"/>
            </w:pPr>
          </w:p>
        </w:tc>
        <w:tc>
          <w:tcPr>
            <w:tcW w:w="2551" w:type="dxa"/>
            <w:vAlign w:val="center"/>
          </w:tcPr>
          <w:p>
            <w:pPr>
              <w:pStyle w:val="11"/>
            </w:pPr>
            <w:r>
              <w:t>9.05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185.13</w:t>
            </w:r>
          </w:p>
        </w:tc>
        <w:tc>
          <w:tcPr>
            <w:tcW w:w="2551" w:type="dxa"/>
            <w:vAlign w:val="center"/>
          </w:tcPr>
          <w:p>
            <w:pPr>
              <w:pStyle w:val="15"/>
            </w:pPr>
            <w:r>
              <w:t>17.13</w:t>
            </w:r>
          </w:p>
        </w:tc>
        <w:tc>
          <w:tcPr>
            <w:tcW w:w="2551" w:type="dxa"/>
            <w:vAlign w:val="center"/>
          </w:tcPr>
          <w:p>
            <w:pPr>
              <w:pStyle w:val="15"/>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10.66</w:t>
            </w:r>
          </w:p>
        </w:tc>
        <w:tc>
          <w:tcPr>
            <w:tcW w:w="2551" w:type="dxa"/>
            <w:vAlign w:val="center"/>
          </w:tcPr>
          <w:p>
            <w:pPr>
              <w:pStyle w:val="11"/>
            </w:pPr>
            <w:r>
              <w:t>10.66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10.66</w:t>
            </w:r>
          </w:p>
        </w:tc>
        <w:tc>
          <w:tcPr>
            <w:tcW w:w="2551" w:type="dxa"/>
            <w:vAlign w:val="center"/>
          </w:tcPr>
          <w:p>
            <w:pPr>
              <w:pStyle w:val="11"/>
            </w:pPr>
            <w:r>
              <w:t>10.66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168.00</w:t>
            </w:r>
          </w:p>
        </w:tc>
        <w:tc>
          <w:tcPr>
            <w:tcW w:w="2551" w:type="dxa"/>
            <w:vAlign w:val="center"/>
          </w:tcPr>
          <w:p>
            <w:pPr>
              <w:pStyle w:val="11"/>
            </w:pPr>
          </w:p>
        </w:tc>
        <w:tc>
          <w:tcPr>
            <w:tcW w:w="2551" w:type="dxa"/>
            <w:vAlign w:val="center"/>
          </w:tcPr>
          <w:p>
            <w:pPr>
              <w:pStyle w:val="11"/>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168.00</w:t>
            </w:r>
          </w:p>
        </w:tc>
        <w:tc>
          <w:tcPr>
            <w:tcW w:w="2551" w:type="dxa"/>
            <w:vAlign w:val="center"/>
          </w:tcPr>
          <w:p>
            <w:pPr>
              <w:pStyle w:val="11"/>
            </w:pPr>
          </w:p>
        </w:tc>
        <w:tc>
          <w:tcPr>
            <w:tcW w:w="2551" w:type="dxa"/>
            <w:vAlign w:val="center"/>
          </w:tcPr>
          <w:p>
            <w:pPr>
              <w:pStyle w:val="11"/>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6.47</w:t>
            </w:r>
          </w:p>
        </w:tc>
        <w:tc>
          <w:tcPr>
            <w:tcW w:w="2551" w:type="dxa"/>
            <w:vAlign w:val="center"/>
          </w:tcPr>
          <w:p>
            <w:pPr>
              <w:pStyle w:val="11"/>
            </w:pPr>
            <w:r>
              <w:t>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6.47</w:t>
            </w:r>
          </w:p>
        </w:tc>
        <w:tc>
          <w:tcPr>
            <w:tcW w:w="2551" w:type="dxa"/>
            <w:vAlign w:val="center"/>
          </w:tcPr>
          <w:p>
            <w:pPr>
              <w:pStyle w:val="11"/>
            </w:pPr>
            <w:r>
              <w:t>6.47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无极县总工会本级2022年单位预算信息公开情况说明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、《地方预决算公开操作规程》和《关于进一步推进预算公开工作的实施意见》规定，现将无极县总工会本级2022年单位预算公开如下：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pPr>
      <w:r>
        <w:t>1、根据党的路线、方针、政策，围绕县委、县政府工作大局和上级工会工作部署，贯彻执行县总工会代表大会和全委会议确定的任务与作出的决议。</w:t>
      </w:r>
    </w:p>
    <w:p>
      <w:pPr>
        <w:pStyle w:val="18"/>
      </w:pPr>
      <w:r>
        <w:t>2、依照法律和《中国工会章程》，组织和指导全县各级工会坚定不移地贯彻党的全心全意依靠工人阶级的根本指导方针，全面履行工会各项职能，进一步突出和履行维护职能。</w:t>
      </w:r>
    </w:p>
    <w:p>
      <w:pPr>
        <w:pStyle w:val="18"/>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8"/>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8"/>
      </w:pPr>
      <w:r>
        <w:t>5、指导基层工会组织建设，做好工会干部协管和干部培训教育工作；</w:t>
      </w:r>
    </w:p>
    <w:p>
      <w:pPr>
        <w:pStyle w:val="18"/>
        <w:rPr>
          <w:lang w:eastAsia="zh-CN"/>
        </w:rPr>
      </w:pPr>
      <w:r>
        <w:t>6、根据县政府委托，与有关部门共同做好劳动模范、先进工作者的推荐、评选和管理工作；负责“</w:t>
      </w:r>
      <w:r>
        <w:rPr>
          <w:rFonts w:hint="eastAsia"/>
          <w:lang w:eastAsia="zh-CN"/>
        </w:rPr>
        <w:t>“五一劳动奖章”</w:t>
      </w:r>
      <w:r>
        <w:t>、奖状的推荐、评选和管理工作；指导全县各级工会组织职工开展劳动竞赛、合理化建议、技术创新和技术协作活动。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w:t>
      </w:r>
      <w:r>
        <w:rPr>
          <w:rFonts w:hint="eastAsia"/>
          <w:lang w:eastAsia="zh-CN"/>
        </w:rPr>
        <w:t>县</w:t>
      </w:r>
      <w:r>
        <w:rPr>
          <w:rFonts w:hint="eastAsia"/>
          <w:lang w:val="en-US" w:eastAsia="zh-CN"/>
        </w:rPr>
        <w:t>单位</w:t>
      </w:r>
      <w:r>
        <w:t>预算的编制实行综合预算管理，即全部收入和支出都反映在预算中。工会</w:t>
      </w:r>
      <w:r>
        <w:rPr>
          <w:rFonts w:hint="eastAsia"/>
          <w:lang w:val="en-US" w:eastAsia="zh-CN"/>
        </w:rPr>
        <w:t>本级</w:t>
      </w:r>
      <w:r>
        <w:t>的收支包含在</w:t>
      </w:r>
      <w:r>
        <w:rPr>
          <w:rFonts w:hint="eastAsia"/>
          <w:lang w:val="en-US" w:eastAsia="zh-CN"/>
        </w:rPr>
        <w:t>单位</w:t>
      </w:r>
      <w:r>
        <w:t>预算中。</w:t>
      </w:r>
    </w:p>
    <w:p>
      <w:pPr>
        <w:pStyle w:val="18"/>
      </w:pPr>
      <w:r>
        <w:t>1.收入说明</w:t>
      </w:r>
    </w:p>
    <w:p>
      <w:pPr>
        <w:pStyle w:val="18"/>
      </w:pPr>
      <w:r>
        <w:t>反映本</w:t>
      </w:r>
      <w:r>
        <w:rPr>
          <w:rFonts w:hint="eastAsia"/>
          <w:lang w:eastAsia="zh-CN"/>
        </w:rPr>
        <w:t>单位</w:t>
      </w:r>
      <w:r>
        <w:t>当年全部收入。202</w:t>
      </w:r>
      <w:r>
        <w:rPr>
          <w:rFonts w:hint="eastAsia"/>
          <w:lang w:val="en-US" w:eastAsia="zh-CN"/>
        </w:rPr>
        <w:t>2</w:t>
      </w:r>
      <w:r>
        <w:t>年预算收入</w:t>
      </w:r>
      <w:r>
        <w:rPr>
          <w:rFonts w:hint="eastAsia"/>
          <w:lang w:eastAsia="zh-CN"/>
        </w:rPr>
        <w:t>194.18</w:t>
      </w:r>
      <w:r>
        <w:t>万元，其中：一般公共预算收入</w:t>
      </w:r>
      <w:r>
        <w:rPr>
          <w:rFonts w:hint="eastAsia"/>
          <w:lang w:eastAsia="zh-CN"/>
        </w:rPr>
        <w:t>194.18</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收支预算总表支出栏、基本支出表、项目支出表按经济分类和支出功能分类科目编制，反映无极县总工会年度</w:t>
      </w:r>
      <w:r>
        <w:rPr>
          <w:rFonts w:hint="eastAsia"/>
          <w:lang w:val="en-US" w:eastAsia="zh-CN"/>
        </w:rPr>
        <w:t>单位</w:t>
      </w:r>
      <w:r>
        <w:t>预算中支出预算的总体情况。202</w:t>
      </w:r>
      <w:r>
        <w:rPr>
          <w:rFonts w:hint="eastAsia"/>
          <w:lang w:val="en-US" w:eastAsia="zh-CN"/>
        </w:rPr>
        <w:t>2</w:t>
      </w:r>
      <w:r>
        <w:t>年</w:t>
      </w:r>
      <w:r>
        <w:rPr>
          <w:rFonts w:hint="eastAsia"/>
          <w:lang w:val="en-US" w:eastAsia="zh-CN"/>
        </w:rPr>
        <w:t>单位</w:t>
      </w:r>
      <w:r>
        <w:t>支出预算为</w:t>
      </w:r>
      <w:r>
        <w:rPr>
          <w:rFonts w:hint="eastAsia"/>
          <w:lang w:eastAsia="zh-CN"/>
        </w:rPr>
        <w:t>194.18</w:t>
      </w:r>
      <w:r>
        <w:t>万元，其中基本支出</w:t>
      </w:r>
      <w:r>
        <w:rPr>
          <w:rFonts w:hint="eastAsia"/>
          <w:lang w:eastAsia="zh-CN"/>
        </w:rPr>
        <w:t>185.13</w:t>
      </w:r>
      <w:r>
        <w:t>万元，包括人员经费</w:t>
      </w:r>
      <w:r>
        <w:rPr>
          <w:rFonts w:hint="eastAsia"/>
          <w:lang w:eastAsia="zh-CN"/>
        </w:rPr>
        <w:t>17.13</w:t>
      </w:r>
      <w:r>
        <w:t>万元和日常公用经费1</w:t>
      </w:r>
      <w:r>
        <w:rPr>
          <w:rFonts w:hint="eastAsia"/>
          <w:lang w:eastAsia="zh-CN"/>
        </w:rPr>
        <w:t>68</w:t>
      </w:r>
      <w:r>
        <w:t>万元；项目支出</w:t>
      </w:r>
      <w:r>
        <w:rPr>
          <w:rFonts w:hint="eastAsia"/>
          <w:lang w:eastAsia="zh-CN"/>
        </w:rPr>
        <w:t>9.05</w:t>
      </w:r>
      <w:r>
        <w:t>万元</w:t>
      </w:r>
      <w:r>
        <w:rPr>
          <w:rFonts w:hint="eastAsia"/>
          <w:lang w:eastAsia="zh-CN"/>
        </w:rPr>
        <w:t>，</w:t>
      </w:r>
      <w:r>
        <w:rPr>
          <w:rFonts w:hint="eastAsia"/>
          <w:lang w:val="en-US" w:eastAsia="zh-CN"/>
        </w:rPr>
        <w:t>包括困难职工及劳模帮扶救助资金9.05万元</w:t>
      </w:r>
      <w:r>
        <w:t>。</w:t>
      </w:r>
    </w:p>
    <w:p>
      <w:pPr>
        <w:pStyle w:val="18"/>
      </w:pPr>
      <w:r>
        <w:t>3.比上年增减情况</w:t>
      </w:r>
    </w:p>
    <w:p>
      <w:pPr>
        <w:spacing w:before="10" w:after="10" w:line="360" w:lineRule="auto"/>
        <w:ind w:firstLine="640"/>
        <w:outlineLvl w:val="2"/>
        <w:rPr>
          <w:rFonts w:eastAsia="宋体"/>
          <w:lang w:eastAsia="zh-CN"/>
        </w:rPr>
      </w:pPr>
      <w:r>
        <w:rPr>
          <w:rFonts w:eastAsia="方正仿宋_GBK"/>
          <w:sz w:val="28"/>
        </w:rPr>
        <w:t>2022年</w:t>
      </w:r>
      <w:r>
        <w:rPr>
          <w:rFonts w:hint="eastAsia" w:eastAsia="方正仿宋_GBK"/>
          <w:sz w:val="28"/>
          <w:lang w:eastAsia="zh-CN"/>
        </w:rPr>
        <w:t>单位</w:t>
      </w:r>
      <w:r>
        <w:rPr>
          <w:rFonts w:eastAsia="方正仿宋_GBK"/>
          <w:sz w:val="28"/>
        </w:rPr>
        <w:t>预算支出较2021年增加</w:t>
      </w:r>
      <w:r>
        <w:rPr>
          <w:rFonts w:hint="eastAsia" w:eastAsia="方正仿宋_GBK"/>
          <w:sz w:val="28"/>
          <w:lang w:eastAsia="zh-CN"/>
        </w:rPr>
        <w:t>66.06</w:t>
      </w:r>
      <w:r>
        <w:rPr>
          <w:rFonts w:eastAsia="方正仿宋_GBK"/>
          <w:sz w:val="28"/>
        </w:rPr>
        <w:t>万元，其中：基本支出增加</w:t>
      </w:r>
      <w:r>
        <w:rPr>
          <w:rFonts w:hint="eastAsia" w:eastAsia="方正仿宋_GBK"/>
          <w:sz w:val="28"/>
          <w:lang w:eastAsia="zh-CN"/>
        </w:rPr>
        <w:t>57.01</w:t>
      </w:r>
      <w:r>
        <w:rPr>
          <w:rFonts w:eastAsia="方正仿宋_GBK"/>
          <w:sz w:val="28"/>
        </w:rPr>
        <w:t>万元，主要是增加人员经费支出；项目支出增加</w:t>
      </w:r>
      <w:r>
        <w:rPr>
          <w:rFonts w:hint="eastAsia" w:eastAsia="方正仿宋_GBK"/>
          <w:sz w:val="28"/>
          <w:lang w:eastAsia="zh-CN"/>
        </w:rPr>
        <w:t>9.05</w:t>
      </w:r>
      <w:r>
        <w:rPr>
          <w:rFonts w:eastAsia="方正仿宋_GBK"/>
          <w:sz w:val="28"/>
        </w:rPr>
        <w:t>万元</w:t>
      </w:r>
      <w:r>
        <w:rPr>
          <w:rFonts w:hint="eastAsia" w:eastAsia="方正仿宋_GBK"/>
          <w:sz w:val="28"/>
          <w:lang w:eastAsia="zh-CN"/>
        </w:rPr>
        <w:t>。</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三、机关运行经费安排情况</w:t>
      </w:r>
    </w:p>
    <w:p>
      <w:pPr>
        <w:pStyle w:val="18"/>
        <w:rPr>
          <w:lang w:eastAsia="zh-CN"/>
        </w:rPr>
      </w:pPr>
      <w:r>
        <w:t>202</w:t>
      </w:r>
      <w:r>
        <w:rPr>
          <w:rFonts w:hint="eastAsia"/>
          <w:lang w:eastAsia="zh-CN"/>
        </w:rPr>
        <w:t>2</w:t>
      </w:r>
      <w:r>
        <w:t>年，我</w:t>
      </w:r>
      <w:r>
        <w:rPr>
          <w:rFonts w:hint="eastAsia"/>
          <w:lang w:eastAsia="zh-CN"/>
        </w:rPr>
        <w:t>单位</w:t>
      </w:r>
      <w:r>
        <w:t>机关运行经费共计安排</w:t>
      </w:r>
      <w:r>
        <w:rPr>
          <w:rFonts w:hint="eastAsia"/>
          <w:lang w:eastAsia="zh-CN"/>
        </w:rPr>
        <w:t>168</w:t>
      </w:r>
      <w:r>
        <w:t>万元，主要用于保证机关正常运转的办公及印刷费、邮电费、差旅费、会议费、福利费、专用草榴及一般设备购置费、办公用房水电费。办公用房取暖费、日常维修费。办公楼物业管理费、公务车运行维护费等支出。</w:t>
      </w:r>
    </w:p>
    <w:p>
      <w:p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20"/>
      </w:pPr>
      <w:r>
        <w:t>202</w:t>
      </w:r>
      <w:r>
        <w:rPr>
          <w:rFonts w:hint="eastAsia"/>
          <w:lang w:eastAsia="zh-CN"/>
        </w:rPr>
        <w:t>2</w:t>
      </w:r>
      <w:r>
        <w:t>年，我</w:t>
      </w:r>
      <w:r>
        <w:rPr>
          <w:rFonts w:hint="eastAsia"/>
          <w:lang w:val="en-US" w:eastAsia="zh-CN"/>
        </w:rPr>
        <w:t>单位</w:t>
      </w:r>
      <w:r>
        <w:t>财政拨款“三公”经费预算安排0万元，与去年持平，无增减变化。其中：因公出国（境）费0万元</w:t>
      </w:r>
      <w:r>
        <w:rPr>
          <w:rFonts w:hint="eastAsia"/>
          <w:lang w:eastAsia="zh-CN"/>
        </w:rPr>
        <w:t>，</w:t>
      </w:r>
      <w:r>
        <w:rPr>
          <w:rFonts w:hint="eastAsia"/>
          <w:lang w:val="en-US" w:eastAsia="zh-CN"/>
        </w:rPr>
        <w:t>与上年持平</w:t>
      </w:r>
      <w:r>
        <w:rPr>
          <w:rFonts w:hint="eastAsia"/>
          <w:lang w:eastAsia="zh-CN"/>
        </w:rPr>
        <w:t>，</w:t>
      </w:r>
      <w:r>
        <w:rPr>
          <w:rFonts w:hint="eastAsia"/>
          <w:lang w:val="en-US" w:eastAsia="zh-CN"/>
        </w:rPr>
        <w:t>原因为未安排因公出国（境）费</w:t>
      </w:r>
      <w:r>
        <w:t>；公务用车购置及运维费0万元（其中：公务用车购置费0万元，公务用车运行维护费0万元）</w:t>
      </w:r>
      <w:r>
        <w:rPr>
          <w:rFonts w:hint="eastAsia"/>
          <w:lang w:eastAsia="zh-CN"/>
        </w:rPr>
        <w:t>，</w:t>
      </w:r>
      <w:r>
        <w:rPr>
          <w:rFonts w:hint="eastAsia"/>
          <w:lang w:val="en-US" w:eastAsia="zh-CN"/>
        </w:rPr>
        <w:t>与上年持平，原因为未安排公务用车购置及运维费</w:t>
      </w:r>
      <w:r>
        <w:t>；公务接待费0万元</w:t>
      </w:r>
      <w:r>
        <w:rPr>
          <w:rFonts w:hint="eastAsia"/>
          <w:lang w:eastAsia="zh-CN"/>
        </w:rPr>
        <w:t>，</w:t>
      </w:r>
      <w:r>
        <w:rPr>
          <w:rFonts w:hint="eastAsia"/>
          <w:lang w:val="en-US" w:eastAsia="zh-CN"/>
        </w:rPr>
        <w:t>与上年持平，原因为未安排公务接待费</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1、关于提前下达2022年困难职工及劳模帮扶救助专项资金的通知绩效目标表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rPr>
                <w:rFonts w:ascii="Calibri" w:hAnsi="Calibri" w:eastAsia="宋体" w:cs="Calibri"/>
                <w:color w:val="000000"/>
                <w:sz w:val="22"/>
                <w:szCs w:val="22"/>
                <w:lang w:eastAsia="zh-CN"/>
              </w:rPr>
              <w:t>目标内容</w:t>
            </w:r>
            <w:r>
              <w:rPr>
                <w:rFonts w:hint="eastAsia" w:ascii="Calibri" w:hAnsi="Calibri" w:eastAsia="宋体" w:cs="Calibri"/>
                <w:color w:val="000000"/>
                <w:sz w:val="22"/>
                <w:szCs w:val="22"/>
                <w:lang w:eastAsia="zh-CN"/>
              </w:rPr>
              <w:t>：</w:t>
            </w:r>
            <w:r>
              <w:rPr>
                <w:rFonts w:hint="eastAsia" w:ascii="Calibri" w:hAnsi="Calibri" w:eastAsia="宋体" w:cs="Calibri"/>
                <w:color w:val="000000"/>
                <w:sz w:val="22"/>
                <w:szCs w:val="22"/>
                <w:lang w:val="en-US" w:eastAsia="zh-CN"/>
              </w:rPr>
              <w:t>保证困难职工津贴发放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经费拨付率</w:t>
            </w:r>
          </w:p>
        </w:tc>
        <w:tc>
          <w:tcPr>
            <w:tcW w:w="2835" w:type="dxa"/>
            <w:vAlign w:val="center"/>
          </w:tcPr>
          <w:p>
            <w:pPr>
              <w:pStyle w:val="12"/>
            </w:pPr>
            <w:r>
              <w:t>实际拨付经费占应付经费的比例</w:t>
            </w:r>
          </w:p>
        </w:tc>
        <w:tc>
          <w:tcPr>
            <w:tcW w:w="2551" w:type="dxa"/>
            <w:vAlign w:val="center"/>
          </w:tcPr>
          <w:p>
            <w:pPr>
              <w:pStyle w:val="12"/>
            </w:pPr>
            <w:r>
              <w:t>≥100</w:t>
            </w:r>
          </w:p>
        </w:tc>
        <w:tc>
          <w:tcPr>
            <w:tcW w:w="2268"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经费拨付准确率</w:t>
            </w:r>
          </w:p>
        </w:tc>
        <w:tc>
          <w:tcPr>
            <w:tcW w:w="2835" w:type="dxa"/>
            <w:vAlign w:val="center"/>
          </w:tcPr>
          <w:p>
            <w:pPr>
              <w:pStyle w:val="12"/>
            </w:pPr>
            <w:r>
              <w:t>经费拨付准确程度</w:t>
            </w:r>
          </w:p>
        </w:tc>
        <w:tc>
          <w:tcPr>
            <w:tcW w:w="2551" w:type="dxa"/>
            <w:vAlign w:val="center"/>
          </w:tcPr>
          <w:p>
            <w:pPr>
              <w:pStyle w:val="12"/>
            </w:pPr>
            <w:r>
              <w:t>≥100</w:t>
            </w:r>
          </w:p>
        </w:tc>
        <w:tc>
          <w:tcPr>
            <w:tcW w:w="2268"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经费拨付及时率</w:t>
            </w:r>
          </w:p>
        </w:tc>
        <w:tc>
          <w:tcPr>
            <w:tcW w:w="2835" w:type="dxa"/>
            <w:vAlign w:val="center"/>
          </w:tcPr>
          <w:p>
            <w:pPr>
              <w:pStyle w:val="12"/>
            </w:pPr>
            <w:r>
              <w:t>经费拨付及时率</w:t>
            </w:r>
          </w:p>
        </w:tc>
        <w:tc>
          <w:tcPr>
            <w:tcW w:w="2551" w:type="dxa"/>
            <w:vAlign w:val="center"/>
          </w:tcPr>
          <w:p>
            <w:pPr>
              <w:pStyle w:val="12"/>
            </w:pPr>
            <w:r>
              <w:t>≥100</w:t>
            </w:r>
          </w:p>
        </w:tc>
        <w:tc>
          <w:tcPr>
            <w:tcW w:w="2268"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经费拨付成本占比</w:t>
            </w:r>
          </w:p>
        </w:tc>
        <w:tc>
          <w:tcPr>
            <w:tcW w:w="2835" w:type="dxa"/>
            <w:vAlign w:val="center"/>
          </w:tcPr>
          <w:p>
            <w:pPr>
              <w:pStyle w:val="12"/>
            </w:pPr>
            <w:r>
              <w:t>经费拨付成本占比</w:t>
            </w:r>
          </w:p>
        </w:tc>
        <w:tc>
          <w:tcPr>
            <w:tcW w:w="2551" w:type="dxa"/>
            <w:vAlign w:val="center"/>
          </w:tcPr>
          <w:p>
            <w:pPr>
              <w:pStyle w:val="12"/>
            </w:pPr>
            <w:r>
              <w:t>≥100</w:t>
            </w:r>
          </w:p>
        </w:tc>
        <w:tc>
          <w:tcPr>
            <w:tcW w:w="2268" w:type="dxa"/>
            <w:vAlign w:val="center"/>
          </w:tcPr>
          <w:p>
            <w:pPr>
              <w:pStyle w:val="12"/>
            </w:pPr>
            <w:r>
              <w:t>实际拨付情况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保持单位人员稳定</w:t>
            </w:r>
          </w:p>
        </w:tc>
        <w:tc>
          <w:tcPr>
            <w:tcW w:w="2835" w:type="dxa"/>
            <w:vAlign w:val="center"/>
          </w:tcPr>
          <w:p>
            <w:pPr>
              <w:pStyle w:val="12"/>
            </w:pPr>
            <w:r>
              <w:t>保障单位正常有序进行</w:t>
            </w:r>
          </w:p>
        </w:tc>
        <w:tc>
          <w:tcPr>
            <w:tcW w:w="2551" w:type="dxa"/>
            <w:vAlign w:val="center"/>
          </w:tcPr>
          <w:p>
            <w:pPr>
              <w:pStyle w:val="12"/>
            </w:pPr>
            <w:r>
              <w:t>≥100保障工作稳定开展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保障单位工作正常运转</w:t>
            </w:r>
          </w:p>
        </w:tc>
        <w:tc>
          <w:tcPr>
            <w:tcW w:w="2551" w:type="dxa"/>
            <w:vAlign w:val="center"/>
          </w:tcPr>
          <w:p>
            <w:pPr>
              <w:pStyle w:val="12"/>
            </w:pPr>
            <w:r>
              <w:t>≥100保障工作稳定运转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2835" w:type="dxa"/>
            <w:vAlign w:val="center"/>
          </w:tcPr>
          <w:p>
            <w:pPr>
              <w:pStyle w:val="12"/>
            </w:pPr>
            <w:r>
              <w:t>必要经费是保障工作正常运转的基础</w:t>
            </w:r>
          </w:p>
        </w:tc>
        <w:tc>
          <w:tcPr>
            <w:tcW w:w="2551" w:type="dxa"/>
            <w:vAlign w:val="center"/>
          </w:tcPr>
          <w:p>
            <w:pPr>
              <w:pStyle w:val="12"/>
            </w:pPr>
            <w:r>
              <w:t>≥100保障工作正常运转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保证工作的良好社会影响</w:t>
            </w:r>
          </w:p>
        </w:tc>
        <w:tc>
          <w:tcPr>
            <w:tcW w:w="2835" w:type="dxa"/>
            <w:vAlign w:val="center"/>
          </w:tcPr>
          <w:p>
            <w:pPr>
              <w:pStyle w:val="12"/>
            </w:pPr>
            <w:r>
              <w:t>确保工作体现好的社会影响</w:t>
            </w:r>
          </w:p>
        </w:tc>
        <w:tc>
          <w:tcPr>
            <w:tcW w:w="2551" w:type="dxa"/>
            <w:vAlign w:val="center"/>
          </w:tcPr>
          <w:p>
            <w:pPr>
              <w:pStyle w:val="12"/>
            </w:pPr>
            <w:r>
              <w:t>≥100社会反馈</w:t>
            </w:r>
          </w:p>
        </w:tc>
        <w:tc>
          <w:tcPr>
            <w:tcW w:w="2268" w:type="dxa"/>
            <w:vAlign w:val="center"/>
          </w:tcPr>
          <w:p>
            <w:pPr>
              <w:pStyle w:val="12"/>
            </w:pPr>
            <w:r>
              <w:t>社会反馈情况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保证服务对象满意</w:t>
            </w:r>
          </w:p>
        </w:tc>
        <w:tc>
          <w:tcPr>
            <w:tcW w:w="2835" w:type="dxa"/>
            <w:vAlign w:val="center"/>
          </w:tcPr>
          <w:p>
            <w:pPr>
              <w:pStyle w:val="12"/>
            </w:pPr>
            <w:r>
              <w:t>服务对象满意度</w:t>
            </w:r>
          </w:p>
        </w:tc>
        <w:tc>
          <w:tcPr>
            <w:tcW w:w="2551" w:type="dxa"/>
            <w:vAlign w:val="center"/>
          </w:tcPr>
          <w:p>
            <w:pPr>
              <w:pStyle w:val="12"/>
            </w:pPr>
            <w:r>
              <w:t>≥100</w:t>
            </w:r>
          </w:p>
        </w:tc>
        <w:tc>
          <w:tcPr>
            <w:tcW w:w="2268" w:type="dxa"/>
            <w:vAlign w:val="center"/>
          </w:tcPr>
          <w:p>
            <w:pPr>
              <w:pStyle w:val="12"/>
            </w:pPr>
            <w:r>
              <w:t>实际服务对象满意程度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2022年，无极县总工会本级安排政府采购预算0.00万元。具体内容见下表。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711001无极县总工会本级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无极县总工会本级上年末固定资产金额为</w:t>
      </w:r>
      <w:r>
        <w:rPr>
          <w:rFonts w:hint="eastAsia" w:eastAsia="方正仿宋_GBK"/>
          <w:color w:val="000000"/>
          <w:sz w:val="28"/>
          <w:lang w:eastAsia="zh-CN"/>
        </w:rPr>
        <w:t>141.11</w:t>
      </w:r>
      <w:r>
        <w:rPr>
          <w:rFonts w:eastAsia="方正仿宋_GBK"/>
          <w:color w:val="000000"/>
          <w:sz w:val="28"/>
        </w:rPr>
        <w:t>万元（详见下表）。本年度拟购置固定资产总额为</w:t>
      </w:r>
      <w:r>
        <w:rPr>
          <w:rFonts w:hint="eastAsia" w:eastAsia="方正仿宋_GBK"/>
          <w:color w:val="000000"/>
          <w:sz w:val="28"/>
          <w:lang w:eastAsia="zh-CN"/>
        </w:rPr>
        <w:t>0.00</w:t>
      </w:r>
      <w:r>
        <w:rPr>
          <w:rFonts w:eastAsia="方正仿宋_GBK"/>
          <w:color w:val="000000"/>
          <w:sz w:val="28"/>
        </w:rPr>
        <w:t>万元，详见政府采购预算表。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711001无极县总工会本级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141.11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1299.40</w:t>
            </w:r>
          </w:p>
        </w:tc>
        <w:tc>
          <w:tcPr>
            <w:tcW w:w="2835" w:type="dxa"/>
            <w:vAlign w:val="center"/>
          </w:tcPr>
          <w:p>
            <w:pPr>
              <w:pStyle w:val="11"/>
            </w:pPr>
            <w:r>
              <w:t>132.04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9.07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p>
    <w:pPr>
      <w:pStyle w:val="3"/>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Y5MGY1NDc5MzI4ODg3NmNjMmM3MjJmYTg4MDRhMGUifQ=="/>
  </w:docVars>
  <w:rsids>
    <w:rsidRoot w:val="00622278"/>
    <w:rsid w:val="00137DA4"/>
    <w:rsid w:val="0020474D"/>
    <w:rsid w:val="0043327B"/>
    <w:rsid w:val="005E276F"/>
    <w:rsid w:val="00622278"/>
    <w:rsid w:val="007B1087"/>
    <w:rsid w:val="008148CA"/>
    <w:rsid w:val="00830EB6"/>
    <w:rsid w:val="009574F1"/>
    <w:rsid w:val="009D3119"/>
    <w:rsid w:val="00BB6987"/>
    <w:rsid w:val="00F676C7"/>
    <w:rsid w:val="00F85118"/>
    <w:rsid w:val="00FE169B"/>
    <w:rsid w:val="01723FF3"/>
    <w:rsid w:val="06B1447B"/>
    <w:rsid w:val="07EF3097"/>
    <w:rsid w:val="179F2116"/>
    <w:rsid w:val="18181695"/>
    <w:rsid w:val="1DFD14A7"/>
    <w:rsid w:val="29BA4E4E"/>
    <w:rsid w:val="2CE56683"/>
    <w:rsid w:val="323D7B1D"/>
    <w:rsid w:val="3FA10A74"/>
    <w:rsid w:val="463B1A7F"/>
    <w:rsid w:val="48BB6629"/>
    <w:rsid w:val="4B024BBB"/>
    <w:rsid w:val="54FD47A8"/>
    <w:rsid w:val="56F92CFA"/>
    <w:rsid w:val="5885522F"/>
    <w:rsid w:val="5E6E4840"/>
    <w:rsid w:val="5FCE6B12"/>
    <w:rsid w:val="6B2C180E"/>
    <w:rsid w:val="72E41335"/>
    <w:rsid w:val="746B1A1B"/>
    <w:rsid w:val="77B65052"/>
    <w:rsid w:val="79D44859"/>
    <w:rsid w:val="7D8353D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2022-06-22T16:40:10Z</dcterms:created>
  <dcterms:modified xsi:type="dcterms:W3CDTF">2022-06-22T08:40:10Z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2022-06-22T16:40:09Z</dcterms:created>
  <dcterms:modified xsi:type="dcterms:W3CDTF">2022-06-22T08:40:09Z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2022-06-22T16:40:08Z</dcterms:created>
  <dcterms:modified xsi:type="dcterms:W3CDTF">2022-06-22T08:40:08Z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2022-06-22T16:40:10Z</dcterms:created>
  <dcterms:modified xsi:type="dcterms:W3CDTF">2022-06-22T08:40:10Z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D4C79F6-D7A4-4FEA-A503-260A4A909310}">
  <ds:schemaRefs/>
</ds:datastoreItem>
</file>

<file path=customXml/itemProps10.xml><?xml version="1.0" encoding="utf-8"?>
<ds:datastoreItem xmlns:ds="http://schemas.openxmlformats.org/officeDocument/2006/customXml" ds:itemID="{6F774EFF-9A66-40A9-A013-3898B3D71B23}">
  <ds:schemaRefs/>
</ds:datastoreItem>
</file>

<file path=customXml/itemProps11.xml><?xml version="1.0" encoding="utf-8"?>
<ds:datastoreItem xmlns:ds="http://schemas.openxmlformats.org/officeDocument/2006/customXml" ds:itemID="{E920320A-075A-41CC-9847-1936A806ADFE}">
  <ds:schemaRefs/>
</ds:datastoreItem>
</file>

<file path=customXml/itemProps12.xml><?xml version="1.0" encoding="utf-8"?>
<ds:datastoreItem xmlns:ds="http://schemas.openxmlformats.org/officeDocument/2006/customXml" ds:itemID="{44FDC761-EFCB-469A-A82C-E135CD532001}">
  <ds:schemaRefs/>
</ds:datastoreItem>
</file>

<file path=customXml/itemProps13.xml><?xml version="1.0" encoding="utf-8"?>
<ds:datastoreItem xmlns:ds="http://schemas.openxmlformats.org/officeDocument/2006/customXml" ds:itemID="{361C6F1D-D28C-4156-BAE2-13C449C87D84}">
  <ds:schemaRefs/>
</ds:datastoreItem>
</file>

<file path=customXml/itemProps14.xml><?xml version="1.0" encoding="utf-8"?>
<ds:datastoreItem xmlns:ds="http://schemas.openxmlformats.org/officeDocument/2006/customXml" ds:itemID="{90C38F88-08FC-4D70-9EA7-15B96D3832F4}">
  <ds:schemaRefs/>
</ds:datastoreItem>
</file>

<file path=customXml/itemProps2.xml><?xml version="1.0" encoding="utf-8"?>
<ds:datastoreItem xmlns:ds="http://schemas.openxmlformats.org/officeDocument/2006/customXml" ds:itemID="{27ECDC58-15E6-49EE-8D6F-294369B1DEC7}">
  <ds:schemaRefs/>
</ds:datastoreItem>
</file>

<file path=customXml/itemProps3.xml><?xml version="1.0" encoding="utf-8"?>
<ds:datastoreItem xmlns:ds="http://schemas.openxmlformats.org/officeDocument/2006/customXml" ds:itemID="{714154B6-EEAD-4316-95B5-EDCFF2A2133C}">
  <ds:schemaRefs/>
</ds:datastoreItem>
</file>

<file path=customXml/itemProps4.xml><?xml version="1.0" encoding="utf-8"?>
<ds:datastoreItem xmlns:ds="http://schemas.openxmlformats.org/officeDocument/2006/customXml" ds:itemID="{96CC2AE3-2980-47C2-AAA3-FDA76835DDFC}">
  <ds:schemaRefs/>
</ds:datastoreItem>
</file>

<file path=customXml/itemProps5.xml><?xml version="1.0" encoding="utf-8"?>
<ds:datastoreItem xmlns:ds="http://schemas.openxmlformats.org/officeDocument/2006/customXml" ds:itemID="{23B81736-80A4-4089-80F1-A3682789EAA4}">
  <ds:schemaRefs/>
</ds:datastoreItem>
</file>

<file path=customXml/itemProps6.xml><?xml version="1.0" encoding="utf-8"?>
<ds:datastoreItem xmlns:ds="http://schemas.openxmlformats.org/officeDocument/2006/customXml" ds:itemID="{5262AC46-5A0B-42AD-9436-351FDFB8007F}">
  <ds:schemaRefs/>
</ds:datastoreItem>
</file>

<file path=customXml/itemProps7.xml><?xml version="1.0" encoding="utf-8"?>
<ds:datastoreItem xmlns:ds="http://schemas.openxmlformats.org/officeDocument/2006/customXml" ds:itemID="{596545A4-CFFC-458B-A870-6DB0972854E2}">
  <ds:schemaRefs/>
</ds:datastoreItem>
</file>

<file path=customXml/itemProps8.xml><?xml version="1.0" encoding="utf-8"?>
<ds:datastoreItem xmlns:ds="http://schemas.openxmlformats.org/officeDocument/2006/customXml" ds:itemID="{4436FAAF-04EC-4893-8929-23F2747AAA07}">
  <ds:schemaRefs/>
</ds:datastoreItem>
</file>

<file path=customXml/itemProps9.xml><?xml version="1.0" encoding="utf-8"?>
<ds:datastoreItem xmlns:ds="http://schemas.openxmlformats.org/officeDocument/2006/customXml" ds:itemID="{2B7A5E34-001D-41DA-97F5-CEF5BC9B8A01}">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43</Pages>
  <Words>11741</Words>
  <Characters>5629</Characters>
  <Lines>46</Lines>
  <Paragraphs>34</Paragraphs>
  <TotalTime>2</TotalTime>
  <ScaleCrop>false</ScaleCrop>
  <LinksUpToDate>false</LinksUpToDate>
  <CharactersWithSpaces>17336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2022-06-22T16:40:00Z</dcterms:created>
  <dc:creator>HP</dc:creator>
  <cp:lastModifiedBy>Administrator</cp:lastModifiedBy>
  <dcterms:modified xsi:type="dcterms:W3CDTF">2024-06-20T14:17:15Z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9D498883C6524E8C8E28E737992AC92F</vt:lpwstr>
  </property>
</Properties>
</file>