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0</w:t>
      </w:r>
    </w:p>
    <w:p>
      <w:pPr>
        <w:spacing w:before="0" w:after="0" w:line="240" w:lineRule="auto"/>
        <w:ind w:firstLine="0"/>
        <w:jc w:val="left"/>
        <w:outlineLvl w:val="9"/>
      </w:pPr>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1</w:t>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rPr>
          <w:rFonts w:hint="eastAsia"/>
          <w:lang w:val="en-US" w:eastAsia="zh-CN"/>
        </w:rPr>
        <w:t>23</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rPr>
          <w:rFonts w:hint="eastAsia"/>
          <w:lang w:val="en-US" w:eastAsia="zh-CN"/>
        </w:rPr>
        <w:t>23</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rPr>
          <w:rFonts w:hint="eastAsia"/>
          <w:lang w:val="en-US" w:eastAsia="zh-CN"/>
        </w:rPr>
        <w:t>24</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rPr>
          <w:rFonts w:hint="eastAsia"/>
          <w:lang w:val="en-US" w:eastAsia="zh-CN"/>
        </w:rPr>
        <w:t>3</w:t>
      </w:r>
      <w:r>
        <w:fldChar w:fldCharType="end"/>
      </w:r>
      <w:r>
        <w:fldChar w:fldCharType="end"/>
      </w:r>
      <w:r>
        <w:rPr>
          <w:rFonts w:hint="eastAsia"/>
          <w:lang w:val="en-US" w:eastAsia="zh-CN"/>
        </w:rPr>
        <w:t>0</w:t>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rPr>
          <w:rFonts w:hint="eastAsia"/>
          <w:lang w:val="en-US" w:eastAsia="zh-CN"/>
        </w:rPr>
        <w:t>30</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2</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rPr>
          <w:rFonts w:hint="eastAsia" w:ascii="方正小标宋_GBK" w:hAnsi="方正小标宋_GBK" w:eastAsia="黑体" w:cs="方正小标宋_GBK"/>
          <w:color w:val="000000"/>
          <w:sz w:val="44"/>
          <w:lang w:eastAsia="zh-CN"/>
        </w:rPr>
      </w:pPr>
      <w:r>
        <w:rPr>
          <w:rFonts w:ascii="黑体" w:hAnsi="黑体" w:eastAsia="黑体" w:cs="黑体"/>
          <w:b/>
          <w:color w:val="000000"/>
          <w:sz w:val="44"/>
        </w:rPr>
        <w:t>2023年部门预算信息公开</w:t>
      </w:r>
      <w:r>
        <w:rPr>
          <w:rFonts w:hint="eastAsia" w:ascii="黑体" w:hAnsi="黑体" w:eastAsia="黑体" w:cs="黑体"/>
          <w:b/>
          <w:color w:val="000000"/>
          <w:sz w:val="44"/>
          <w:lang w:val="en-US" w:eastAsia="zh-CN"/>
        </w:rPr>
        <w:t>表</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936无极县郭庄镇人民政府</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1203.02</w:t>
            </w:r>
          </w:p>
        </w:tc>
        <w:tc>
          <w:tcPr>
            <w:tcW w:w="4535" w:type="dxa"/>
            <w:vAlign w:val="center"/>
          </w:tcPr>
          <w:p>
            <w:pPr>
              <w:pStyle w:val="16"/>
            </w:pPr>
            <w:r>
              <w:t>一、一般公共服务支出</w:t>
            </w:r>
          </w:p>
        </w:tc>
        <w:tc>
          <w:tcPr>
            <w:tcW w:w="2126" w:type="dxa"/>
            <w:vAlign w:val="center"/>
          </w:tcPr>
          <w:p>
            <w:pPr>
              <w:pStyle w:val="15"/>
            </w:pPr>
            <w:r>
              <w:t>917.07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120.21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55.74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1203.02</w:t>
            </w:r>
          </w:p>
        </w:tc>
        <w:tc>
          <w:tcPr>
            <w:tcW w:w="4535" w:type="dxa"/>
            <w:vAlign w:val="center"/>
          </w:tcPr>
          <w:p>
            <w:pPr>
              <w:pStyle w:val="18"/>
            </w:pPr>
            <w:r>
              <w:t>本年支出合计</w:t>
            </w:r>
          </w:p>
        </w:tc>
        <w:tc>
          <w:tcPr>
            <w:tcW w:w="2126" w:type="dxa"/>
            <w:vAlign w:val="center"/>
          </w:tcPr>
          <w:p>
            <w:pPr>
              <w:pStyle w:val="19"/>
            </w:pPr>
            <w:r>
              <w:t>1203.02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1203.02</w:t>
            </w:r>
          </w:p>
        </w:tc>
        <w:tc>
          <w:tcPr>
            <w:tcW w:w="4535" w:type="dxa"/>
            <w:vAlign w:val="center"/>
          </w:tcPr>
          <w:p>
            <w:pPr>
              <w:pStyle w:val="18"/>
            </w:pPr>
            <w:r>
              <w:t>支出总计</w:t>
            </w:r>
          </w:p>
        </w:tc>
        <w:tc>
          <w:tcPr>
            <w:tcW w:w="2126" w:type="dxa"/>
            <w:vAlign w:val="center"/>
          </w:tcPr>
          <w:p>
            <w:pPr>
              <w:pStyle w:val="19"/>
            </w:pPr>
            <w:r>
              <w:t>1203.02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936无极县郭庄镇人民政府</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1203.02</w:t>
            </w:r>
          </w:p>
        </w:tc>
        <w:tc>
          <w:tcPr>
            <w:tcW w:w="1134" w:type="dxa"/>
            <w:vAlign w:val="center"/>
          </w:tcPr>
          <w:p>
            <w:pPr>
              <w:pStyle w:val="19"/>
            </w:pPr>
            <w:r>
              <w:t>1203.02</w:t>
            </w:r>
          </w:p>
        </w:tc>
        <w:tc>
          <w:tcPr>
            <w:tcW w:w="1134" w:type="dxa"/>
            <w:vAlign w:val="center"/>
          </w:tcPr>
          <w:p>
            <w:pPr>
              <w:pStyle w:val="19"/>
            </w:pPr>
            <w:r>
              <w:t>1203.02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917.07</w:t>
            </w:r>
          </w:p>
        </w:tc>
        <w:tc>
          <w:tcPr>
            <w:tcW w:w="1134" w:type="dxa"/>
            <w:vAlign w:val="center"/>
          </w:tcPr>
          <w:p>
            <w:pPr>
              <w:pStyle w:val="15"/>
            </w:pPr>
            <w:r>
              <w:t>917.07</w:t>
            </w:r>
          </w:p>
        </w:tc>
        <w:tc>
          <w:tcPr>
            <w:tcW w:w="1134" w:type="dxa"/>
            <w:vAlign w:val="center"/>
          </w:tcPr>
          <w:p>
            <w:pPr>
              <w:pStyle w:val="15"/>
            </w:pPr>
            <w:r>
              <w:t>917.07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917.07</w:t>
            </w:r>
          </w:p>
        </w:tc>
        <w:tc>
          <w:tcPr>
            <w:tcW w:w="1134" w:type="dxa"/>
            <w:vAlign w:val="center"/>
          </w:tcPr>
          <w:p>
            <w:pPr>
              <w:pStyle w:val="15"/>
            </w:pPr>
            <w:r>
              <w:t>917.07</w:t>
            </w:r>
          </w:p>
        </w:tc>
        <w:tc>
          <w:tcPr>
            <w:tcW w:w="1134" w:type="dxa"/>
            <w:vAlign w:val="center"/>
          </w:tcPr>
          <w:p>
            <w:pPr>
              <w:pStyle w:val="15"/>
            </w:pPr>
            <w:r>
              <w:t>917.07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917.07</w:t>
            </w:r>
          </w:p>
        </w:tc>
        <w:tc>
          <w:tcPr>
            <w:tcW w:w="1134" w:type="dxa"/>
            <w:vAlign w:val="center"/>
          </w:tcPr>
          <w:p>
            <w:pPr>
              <w:pStyle w:val="15"/>
            </w:pPr>
            <w:r>
              <w:t>917.07</w:t>
            </w:r>
          </w:p>
        </w:tc>
        <w:tc>
          <w:tcPr>
            <w:tcW w:w="1134" w:type="dxa"/>
            <w:vAlign w:val="center"/>
          </w:tcPr>
          <w:p>
            <w:pPr>
              <w:pStyle w:val="15"/>
            </w:pPr>
            <w:r>
              <w:t>917.07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120.21</w:t>
            </w:r>
          </w:p>
        </w:tc>
        <w:tc>
          <w:tcPr>
            <w:tcW w:w="1134" w:type="dxa"/>
            <w:vAlign w:val="center"/>
          </w:tcPr>
          <w:p>
            <w:pPr>
              <w:pStyle w:val="15"/>
            </w:pPr>
            <w:r>
              <w:t>120.21</w:t>
            </w:r>
          </w:p>
        </w:tc>
        <w:tc>
          <w:tcPr>
            <w:tcW w:w="1134" w:type="dxa"/>
            <w:vAlign w:val="center"/>
          </w:tcPr>
          <w:p>
            <w:pPr>
              <w:pStyle w:val="15"/>
            </w:pPr>
            <w:r>
              <w:t>120.21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120.21</w:t>
            </w:r>
          </w:p>
        </w:tc>
        <w:tc>
          <w:tcPr>
            <w:tcW w:w="1134" w:type="dxa"/>
            <w:vAlign w:val="center"/>
          </w:tcPr>
          <w:p>
            <w:pPr>
              <w:pStyle w:val="15"/>
            </w:pPr>
            <w:r>
              <w:t>120.21</w:t>
            </w:r>
          </w:p>
        </w:tc>
        <w:tc>
          <w:tcPr>
            <w:tcW w:w="1134" w:type="dxa"/>
            <w:vAlign w:val="center"/>
          </w:tcPr>
          <w:p>
            <w:pPr>
              <w:pStyle w:val="15"/>
            </w:pPr>
            <w:r>
              <w:t>120.21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103.04</w:t>
            </w:r>
          </w:p>
        </w:tc>
        <w:tc>
          <w:tcPr>
            <w:tcW w:w="1134" w:type="dxa"/>
            <w:vAlign w:val="center"/>
          </w:tcPr>
          <w:p>
            <w:pPr>
              <w:pStyle w:val="15"/>
            </w:pPr>
            <w:r>
              <w:t>103.04</w:t>
            </w:r>
          </w:p>
        </w:tc>
        <w:tc>
          <w:tcPr>
            <w:tcW w:w="1134" w:type="dxa"/>
            <w:vAlign w:val="center"/>
          </w:tcPr>
          <w:p>
            <w:pPr>
              <w:pStyle w:val="15"/>
            </w:pPr>
            <w:r>
              <w:t>103.04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17.17</w:t>
            </w:r>
          </w:p>
        </w:tc>
        <w:tc>
          <w:tcPr>
            <w:tcW w:w="1134" w:type="dxa"/>
            <w:vAlign w:val="center"/>
          </w:tcPr>
          <w:p>
            <w:pPr>
              <w:pStyle w:val="15"/>
            </w:pPr>
            <w:r>
              <w:t>17.17</w:t>
            </w:r>
          </w:p>
        </w:tc>
        <w:tc>
          <w:tcPr>
            <w:tcW w:w="1134" w:type="dxa"/>
            <w:vAlign w:val="center"/>
          </w:tcPr>
          <w:p>
            <w:pPr>
              <w:pStyle w:val="15"/>
            </w:pPr>
            <w:r>
              <w:t>17.17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55.74</w:t>
            </w:r>
          </w:p>
        </w:tc>
        <w:tc>
          <w:tcPr>
            <w:tcW w:w="1134" w:type="dxa"/>
            <w:vAlign w:val="center"/>
          </w:tcPr>
          <w:p>
            <w:pPr>
              <w:pStyle w:val="15"/>
            </w:pPr>
            <w:r>
              <w:t>55.74</w:t>
            </w:r>
          </w:p>
        </w:tc>
        <w:tc>
          <w:tcPr>
            <w:tcW w:w="1134" w:type="dxa"/>
            <w:vAlign w:val="center"/>
          </w:tcPr>
          <w:p>
            <w:pPr>
              <w:pStyle w:val="15"/>
            </w:pPr>
            <w:r>
              <w:t>55.74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55.74</w:t>
            </w:r>
          </w:p>
        </w:tc>
        <w:tc>
          <w:tcPr>
            <w:tcW w:w="1134" w:type="dxa"/>
            <w:vAlign w:val="center"/>
          </w:tcPr>
          <w:p>
            <w:pPr>
              <w:pStyle w:val="15"/>
            </w:pPr>
            <w:r>
              <w:t>55.74</w:t>
            </w:r>
          </w:p>
        </w:tc>
        <w:tc>
          <w:tcPr>
            <w:tcW w:w="1134" w:type="dxa"/>
            <w:vAlign w:val="center"/>
          </w:tcPr>
          <w:p>
            <w:pPr>
              <w:pStyle w:val="15"/>
            </w:pPr>
            <w:r>
              <w:t>55.74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55.74</w:t>
            </w:r>
          </w:p>
        </w:tc>
        <w:tc>
          <w:tcPr>
            <w:tcW w:w="1134" w:type="dxa"/>
            <w:vAlign w:val="center"/>
          </w:tcPr>
          <w:p>
            <w:pPr>
              <w:pStyle w:val="15"/>
            </w:pPr>
            <w:r>
              <w:t>55.74</w:t>
            </w:r>
          </w:p>
        </w:tc>
        <w:tc>
          <w:tcPr>
            <w:tcW w:w="1134" w:type="dxa"/>
            <w:vAlign w:val="center"/>
          </w:tcPr>
          <w:p>
            <w:pPr>
              <w:pStyle w:val="15"/>
            </w:pPr>
            <w:r>
              <w:t>55.74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22999</w:t>
            </w:r>
          </w:p>
        </w:tc>
        <w:tc>
          <w:tcPr>
            <w:tcW w:w="1559" w:type="dxa"/>
            <w:vAlign w:val="center"/>
          </w:tcPr>
          <w:p>
            <w:pPr>
              <w:pStyle w:val="16"/>
            </w:pPr>
            <w:r>
              <w:t>其他支出</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2299999</w:t>
            </w:r>
          </w:p>
        </w:tc>
        <w:tc>
          <w:tcPr>
            <w:tcW w:w="1559" w:type="dxa"/>
            <w:vAlign w:val="center"/>
          </w:tcPr>
          <w:p>
            <w:pPr>
              <w:pStyle w:val="16"/>
            </w:pPr>
            <w:r>
              <w:t>其他支出</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936无极县郭庄镇人民政府</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1203.02</w:t>
            </w:r>
          </w:p>
        </w:tc>
        <w:tc>
          <w:tcPr>
            <w:tcW w:w="1361" w:type="dxa"/>
            <w:vAlign w:val="center"/>
          </w:tcPr>
          <w:p>
            <w:pPr>
              <w:pStyle w:val="19"/>
            </w:pPr>
            <w:r>
              <w:t>1093.02</w:t>
            </w:r>
          </w:p>
        </w:tc>
        <w:tc>
          <w:tcPr>
            <w:tcW w:w="1361" w:type="dxa"/>
            <w:vAlign w:val="center"/>
          </w:tcPr>
          <w:p>
            <w:pPr>
              <w:pStyle w:val="19"/>
            </w:pPr>
            <w:r>
              <w:t>110.00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917.07</w:t>
            </w:r>
          </w:p>
        </w:tc>
        <w:tc>
          <w:tcPr>
            <w:tcW w:w="1361" w:type="dxa"/>
            <w:vAlign w:val="center"/>
          </w:tcPr>
          <w:p>
            <w:pPr>
              <w:pStyle w:val="15"/>
            </w:pPr>
            <w:r>
              <w:t>917.07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917.07</w:t>
            </w:r>
          </w:p>
        </w:tc>
        <w:tc>
          <w:tcPr>
            <w:tcW w:w="1361" w:type="dxa"/>
            <w:vAlign w:val="center"/>
          </w:tcPr>
          <w:p>
            <w:pPr>
              <w:pStyle w:val="15"/>
            </w:pPr>
            <w:r>
              <w:t>917.07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917.07</w:t>
            </w:r>
          </w:p>
        </w:tc>
        <w:tc>
          <w:tcPr>
            <w:tcW w:w="1361" w:type="dxa"/>
            <w:vAlign w:val="center"/>
          </w:tcPr>
          <w:p>
            <w:pPr>
              <w:pStyle w:val="15"/>
            </w:pPr>
            <w:r>
              <w:t>917.07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120.21</w:t>
            </w:r>
          </w:p>
        </w:tc>
        <w:tc>
          <w:tcPr>
            <w:tcW w:w="1361" w:type="dxa"/>
            <w:vAlign w:val="center"/>
          </w:tcPr>
          <w:p>
            <w:pPr>
              <w:pStyle w:val="15"/>
            </w:pPr>
            <w:r>
              <w:t>120.21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120.21</w:t>
            </w:r>
          </w:p>
        </w:tc>
        <w:tc>
          <w:tcPr>
            <w:tcW w:w="1361" w:type="dxa"/>
            <w:vAlign w:val="center"/>
          </w:tcPr>
          <w:p>
            <w:pPr>
              <w:pStyle w:val="15"/>
            </w:pPr>
            <w:r>
              <w:t>120.21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103.04</w:t>
            </w:r>
          </w:p>
        </w:tc>
        <w:tc>
          <w:tcPr>
            <w:tcW w:w="1361" w:type="dxa"/>
            <w:vAlign w:val="center"/>
          </w:tcPr>
          <w:p>
            <w:pPr>
              <w:pStyle w:val="15"/>
            </w:pPr>
            <w:r>
              <w:t>103.04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17.17</w:t>
            </w:r>
          </w:p>
        </w:tc>
        <w:tc>
          <w:tcPr>
            <w:tcW w:w="1361" w:type="dxa"/>
            <w:vAlign w:val="center"/>
          </w:tcPr>
          <w:p>
            <w:pPr>
              <w:pStyle w:val="15"/>
            </w:pPr>
            <w:r>
              <w:t>17.17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55.74</w:t>
            </w:r>
          </w:p>
        </w:tc>
        <w:tc>
          <w:tcPr>
            <w:tcW w:w="1361" w:type="dxa"/>
            <w:vAlign w:val="center"/>
          </w:tcPr>
          <w:p>
            <w:pPr>
              <w:pStyle w:val="15"/>
            </w:pPr>
            <w:r>
              <w:t>55.74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55.74</w:t>
            </w:r>
          </w:p>
        </w:tc>
        <w:tc>
          <w:tcPr>
            <w:tcW w:w="1361" w:type="dxa"/>
            <w:vAlign w:val="center"/>
          </w:tcPr>
          <w:p>
            <w:pPr>
              <w:pStyle w:val="15"/>
            </w:pPr>
            <w:r>
              <w:t>55.74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55.74</w:t>
            </w:r>
          </w:p>
        </w:tc>
        <w:tc>
          <w:tcPr>
            <w:tcW w:w="1361" w:type="dxa"/>
            <w:vAlign w:val="center"/>
          </w:tcPr>
          <w:p>
            <w:pPr>
              <w:pStyle w:val="15"/>
            </w:pPr>
            <w:r>
              <w:t>55.74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229</w:t>
            </w:r>
          </w:p>
        </w:tc>
        <w:tc>
          <w:tcPr>
            <w:tcW w:w="4535" w:type="dxa"/>
            <w:vAlign w:val="center"/>
          </w:tcPr>
          <w:p>
            <w:pPr>
              <w:pStyle w:val="16"/>
            </w:pPr>
            <w:r>
              <w:t>其他支出</w:t>
            </w: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22999</w:t>
            </w:r>
          </w:p>
        </w:tc>
        <w:tc>
          <w:tcPr>
            <w:tcW w:w="4535" w:type="dxa"/>
            <w:vAlign w:val="center"/>
          </w:tcPr>
          <w:p>
            <w:pPr>
              <w:pStyle w:val="16"/>
            </w:pPr>
            <w:r>
              <w:t>其他支出</w:t>
            </w: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2299999</w:t>
            </w:r>
          </w:p>
        </w:tc>
        <w:tc>
          <w:tcPr>
            <w:tcW w:w="4535" w:type="dxa"/>
            <w:vAlign w:val="center"/>
          </w:tcPr>
          <w:p>
            <w:pPr>
              <w:pStyle w:val="16"/>
            </w:pPr>
            <w:r>
              <w:t>其他支出</w:t>
            </w: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936无极县郭庄镇人民政府</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1203.02</w:t>
            </w:r>
          </w:p>
        </w:tc>
        <w:tc>
          <w:tcPr>
            <w:tcW w:w="3402" w:type="dxa"/>
            <w:vAlign w:val="center"/>
          </w:tcPr>
          <w:p>
            <w:pPr>
              <w:pStyle w:val="16"/>
            </w:pPr>
            <w:r>
              <w:t>一、一般公共服务支出</w:t>
            </w:r>
          </w:p>
        </w:tc>
        <w:tc>
          <w:tcPr>
            <w:tcW w:w="1474" w:type="dxa"/>
            <w:vAlign w:val="center"/>
          </w:tcPr>
          <w:p>
            <w:pPr>
              <w:pStyle w:val="15"/>
            </w:pPr>
            <w:r>
              <w:t>917.07</w:t>
            </w:r>
          </w:p>
        </w:tc>
        <w:tc>
          <w:tcPr>
            <w:tcW w:w="1474" w:type="dxa"/>
            <w:vAlign w:val="center"/>
          </w:tcPr>
          <w:p>
            <w:pPr>
              <w:pStyle w:val="15"/>
            </w:pPr>
            <w:r>
              <w:t>917.07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120.21</w:t>
            </w:r>
          </w:p>
        </w:tc>
        <w:tc>
          <w:tcPr>
            <w:tcW w:w="1474" w:type="dxa"/>
            <w:vAlign w:val="center"/>
          </w:tcPr>
          <w:p>
            <w:pPr>
              <w:pStyle w:val="15"/>
            </w:pPr>
            <w:r>
              <w:t>120.21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55.74</w:t>
            </w:r>
          </w:p>
        </w:tc>
        <w:tc>
          <w:tcPr>
            <w:tcW w:w="1474" w:type="dxa"/>
            <w:vAlign w:val="center"/>
          </w:tcPr>
          <w:p>
            <w:pPr>
              <w:pStyle w:val="15"/>
            </w:pPr>
            <w:r>
              <w:t>55.74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110.00</w:t>
            </w:r>
          </w:p>
        </w:tc>
        <w:tc>
          <w:tcPr>
            <w:tcW w:w="1474" w:type="dxa"/>
            <w:vAlign w:val="center"/>
          </w:tcPr>
          <w:p>
            <w:pPr>
              <w:pStyle w:val="15"/>
            </w:pPr>
            <w:r>
              <w:t>110.00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1203.02</w:t>
            </w:r>
          </w:p>
        </w:tc>
        <w:tc>
          <w:tcPr>
            <w:tcW w:w="3402" w:type="dxa"/>
            <w:vAlign w:val="center"/>
          </w:tcPr>
          <w:p>
            <w:pPr>
              <w:pStyle w:val="18"/>
            </w:pPr>
            <w:r>
              <w:t>本年支出合计</w:t>
            </w:r>
          </w:p>
        </w:tc>
        <w:tc>
          <w:tcPr>
            <w:tcW w:w="1474" w:type="dxa"/>
            <w:vAlign w:val="center"/>
          </w:tcPr>
          <w:p>
            <w:pPr>
              <w:pStyle w:val="19"/>
            </w:pPr>
            <w:r>
              <w:t>1203.02</w:t>
            </w:r>
          </w:p>
        </w:tc>
        <w:tc>
          <w:tcPr>
            <w:tcW w:w="1474" w:type="dxa"/>
            <w:vAlign w:val="center"/>
          </w:tcPr>
          <w:p>
            <w:pPr>
              <w:pStyle w:val="19"/>
            </w:pPr>
            <w:r>
              <w:t>1203.02</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1203.02</w:t>
            </w:r>
          </w:p>
        </w:tc>
        <w:tc>
          <w:tcPr>
            <w:tcW w:w="3402" w:type="dxa"/>
            <w:vAlign w:val="center"/>
          </w:tcPr>
          <w:p>
            <w:pPr>
              <w:pStyle w:val="18"/>
            </w:pPr>
            <w:r>
              <w:t>支出总计</w:t>
            </w:r>
          </w:p>
        </w:tc>
        <w:tc>
          <w:tcPr>
            <w:tcW w:w="1474" w:type="dxa"/>
            <w:vAlign w:val="center"/>
          </w:tcPr>
          <w:p>
            <w:pPr>
              <w:pStyle w:val="19"/>
            </w:pPr>
            <w:r>
              <w:t>1203.02</w:t>
            </w:r>
          </w:p>
        </w:tc>
        <w:tc>
          <w:tcPr>
            <w:tcW w:w="1474" w:type="dxa"/>
            <w:vAlign w:val="center"/>
          </w:tcPr>
          <w:p>
            <w:pPr>
              <w:pStyle w:val="19"/>
            </w:pPr>
            <w:r>
              <w:t>1203.02</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936无极县郭庄镇人民政府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1203.02</w:t>
            </w:r>
          </w:p>
        </w:tc>
        <w:tc>
          <w:tcPr>
            <w:tcW w:w="2551" w:type="dxa"/>
            <w:vAlign w:val="center"/>
          </w:tcPr>
          <w:p>
            <w:pPr>
              <w:pStyle w:val="19"/>
            </w:pPr>
            <w:r>
              <w:t>1093.02</w:t>
            </w:r>
          </w:p>
        </w:tc>
        <w:tc>
          <w:tcPr>
            <w:tcW w:w="2551" w:type="dxa"/>
            <w:vAlign w:val="center"/>
          </w:tcPr>
          <w:p>
            <w:pPr>
              <w:pStyle w:val="19"/>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917.07</w:t>
            </w:r>
          </w:p>
        </w:tc>
        <w:tc>
          <w:tcPr>
            <w:tcW w:w="2551" w:type="dxa"/>
            <w:vAlign w:val="center"/>
          </w:tcPr>
          <w:p>
            <w:pPr>
              <w:pStyle w:val="15"/>
            </w:pPr>
            <w:r>
              <w:t>917.07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917.07</w:t>
            </w:r>
          </w:p>
        </w:tc>
        <w:tc>
          <w:tcPr>
            <w:tcW w:w="2551" w:type="dxa"/>
            <w:vAlign w:val="center"/>
          </w:tcPr>
          <w:p>
            <w:pPr>
              <w:pStyle w:val="15"/>
            </w:pPr>
            <w:r>
              <w:t>917.07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917.07</w:t>
            </w:r>
          </w:p>
        </w:tc>
        <w:tc>
          <w:tcPr>
            <w:tcW w:w="2551" w:type="dxa"/>
            <w:vAlign w:val="center"/>
          </w:tcPr>
          <w:p>
            <w:pPr>
              <w:pStyle w:val="15"/>
            </w:pPr>
            <w:r>
              <w:t>917.07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120.21</w:t>
            </w:r>
          </w:p>
        </w:tc>
        <w:tc>
          <w:tcPr>
            <w:tcW w:w="2551" w:type="dxa"/>
            <w:vAlign w:val="center"/>
          </w:tcPr>
          <w:p>
            <w:pPr>
              <w:pStyle w:val="15"/>
            </w:pPr>
            <w:r>
              <w:t>120.21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120.21</w:t>
            </w:r>
          </w:p>
        </w:tc>
        <w:tc>
          <w:tcPr>
            <w:tcW w:w="2551" w:type="dxa"/>
            <w:vAlign w:val="center"/>
          </w:tcPr>
          <w:p>
            <w:pPr>
              <w:pStyle w:val="15"/>
            </w:pPr>
            <w:r>
              <w:t>120.21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103.04</w:t>
            </w:r>
          </w:p>
        </w:tc>
        <w:tc>
          <w:tcPr>
            <w:tcW w:w="2551" w:type="dxa"/>
            <w:vAlign w:val="center"/>
          </w:tcPr>
          <w:p>
            <w:pPr>
              <w:pStyle w:val="15"/>
            </w:pPr>
            <w:r>
              <w:t>103.04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17.17</w:t>
            </w:r>
          </w:p>
        </w:tc>
        <w:tc>
          <w:tcPr>
            <w:tcW w:w="2551" w:type="dxa"/>
            <w:vAlign w:val="center"/>
          </w:tcPr>
          <w:p>
            <w:pPr>
              <w:pStyle w:val="15"/>
            </w:pPr>
            <w:r>
              <w:t>17.17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55.74</w:t>
            </w:r>
          </w:p>
        </w:tc>
        <w:tc>
          <w:tcPr>
            <w:tcW w:w="2551" w:type="dxa"/>
            <w:vAlign w:val="center"/>
          </w:tcPr>
          <w:p>
            <w:pPr>
              <w:pStyle w:val="15"/>
            </w:pPr>
            <w:r>
              <w:t>55.74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55.74</w:t>
            </w:r>
          </w:p>
        </w:tc>
        <w:tc>
          <w:tcPr>
            <w:tcW w:w="2551" w:type="dxa"/>
            <w:vAlign w:val="center"/>
          </w:tcPr>
          <w:p>
            <w:pPr>
              <w:pStyle w:val="15"/>
            </w:pPr>
            <w:r>
              <w:t>55.74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55.74</w:t>
            </w:r>
          </w:p>
        </w:tc>
        <w:tc>
          <w:tcPr>
            <w:tcW w:w="2551" w:type="dxa"/>
            <w:vAlign w:val="center"/>
          </w:tcPr>
          <w:p>
            <w:pPr>
              <w:pStyle w:val="15"/>
            </w:pPr>
            <w:r>
              <w:t>55.74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110.00</w:t>
            </w:r>
          </w:p>
        </w:tc>
        <w:tc>
          <w:tcPr>
            <w:tcW w:w="2551" w:type="dxa"/>
            <w:vAlign w:val="center"/>
          </w:tcPr>
          <w:p>
            <w:pPr>
              <w:pStyle w:val="15"/>
            </w:pPr>
          </w:p>
        </w:tc>
        <w:tc>
          <w:tcPr>
            <w:tcW w:w="2551" w:type="dxa"/>
            <w:vAlign w:val="center"/>
          </w:tcPr>
          <w:p>
            <w:pPr>
              <w:pStyle w:val="15"/>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22999</w:t>
            </w:r>
          </w:p>
        </w:tc>
        <w:tc>
          <w:tcPr>
            <w:tcW w:w="4535" w:type="dxa"/>
            <w:vAlign w:val="center"/>
          </w:tcPr>
          <w:p>
            <w:pPr>
              <w:pStyle w:val="16"/>
            </w:pPr>
            <w:r>
              <w:t>其他支出</w:t>
            </w:r>
          </w:p>
        </w:tc>
        <w:tc>
          <w:tcPr>
            <w:tcW w:w="2551" w:type="dxa"/>
            <w:vAlign w:val="center"/>
          </w:tcPr>
          <w:p>
            <w:pPr>
              <w:pStyle w:val="15"/>
            </w:pPr>
            <w:r>
              <w:t>110.00</w:t>
            </w:r>
          </w:p>
        </w:tc>
        <w:tc>
          <w:tcPr>
            <w:tcW w:w="2551" w:type="dxa"/>
            <w:vAlign w:val="center"/>
          </w:tcPr>
          <w:p>
            <w:pPr>
              <w:pStyle w:val="15"/>
            </w:pPr>
          </w:p>
        </w:tc>
        <w:tc>
          <w:tcPr>
            <w:tcW w:w="2551" w:type="dxa"/>
            <w:vAlign w:val="center"/>
          </w:tcPr>
          <w:p>
            <w:pPr>
              <w:pStyle w:val="15"/>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2299999</w:t>
            </w:r>
          </w:p>
        </w:tc>
        <w:tc>
          <w:tcPr>
            <w:tcW w:w="4535" w:type="dxa"/>
            <w:vAlign w:val="center"/>
          </w:tcPr>
          <w:p>
            <w:pPr>
              <w:pStyle w:val="16"/>
            </w:pPr>
            <w:r>
              <w:t>其他支出</w:t>
            </w:r>
          </w:p>
        </w:tc>
        <w:tc>
          <w:tcPr>
            <w:tcW w:w="2551" w:type="dxa"/>
            <w:vAlign w:val="center"/>
          </w:tcPr>
          <w:p>
            <w:pPr>
              <w:pStyle w:val="15"/>
            </w:pPr>
            <w:r>
              <w:t>110.00</w:t>
            </w:r>
          </w:p>
        </w:tc>
        <w:tc>
          <w:tcPr>
            <w:tcW w:w="2551" w:type="dxa"/>
            <w:vAlign w:val="center"/>
          </w:tcPr>
          <w:p>
            <w:pPr>
              <w:pStyle w:val="15"/>
            </w:pPr>
          </w:p>
        </w:tc>
        <w:tc>
          <w:tcPr>
            <w:tcW w:w="2551" w:type="dxa"/>
            <w:vAlign w:val="center"/>
          </w:tcPr>
          <w:p>
            <w:pPr>
              <w:pStyle w:val="15"/>
            </w:pPr>
            <w:r>
              <w:t>110.00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936无极县郭庄镇人民政府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1093.02</w:t>
            </w:r>
          </w:p>
        </w:tc>
        <w:tc>
          <w:tcPr>
            <w:tcW w:w="2551" w:type="dxa"/>
            <w:vAlign w:val="center"/>
          </w:tcPr>
          <w:p>
            <w:pPr>
              <w:pStyle w:val="19"/>
            </w:pPr>
            <w:r>
              <w:t>838.24</w:t>
            </w:r>
          </w:p>
        </w:tc>
        <w:tc>
          <w:tcPr>
            <w:tcW w:w="2551" w:type="dxa"/>
            <w:vAlign w:val="center"/>
          </w:tcPr>
          <w:p>
            <w:pPr>
              <w:pStyle w:val="19"/>
            </w:pPr>
            <w:r>
              <w:t>254.78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816.74</w:t>
            </w:r>
          </w:p>
        </w:tc>
        <w:tc>
          <w:tcPr>
            <w:tcW w:w="2551" w:type="dxa"/>
            <w:vAlign w:val="center"/>
          </w:tcPr>
          <w:p>
            <w:pPr>
              <w:pStyle w:val="15"/>
            </w:pPr>
            <w:r>
              <w:t>816.74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259.44</w:t>
            </w:r>
          </w:p>
        </w:tc>
        <w:tc>
          <w:tcPr>
            <w:tcW w:w="2551" w:type="dxa"/>
            <w:vAlign w:val="center"/>
          </w:tcPr>
          <w:p>
            <w:pPr>
              <w:pStyle w:val="15"/>
            </w:pPr>
            <w:r>
              <w:t>259.44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91.72</w:t>
            </w:r>
          </w:p>
        </w:tc>
        <w:tc>
          <w:tcPr>
            <w:tcW w:w="2551" w:type="dxa"/>
            <w:vAlign w:val="center"/>
          </w:tcPr>
          <w:p>
            <w:pPr>
              <w:pStyle w:val="15"/>
            </w:pPr>
            <w:r>
              <w:t>91.72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108.39</w:t>
            </w:r>
          </w:p>
        </w:tc>
        <w:tc>
          <w:tcPr>
            <w:tcW w:w="2551" w:type="dxa"/>
            <w:vAlign w:val="center"/>
          </w:tcPr>
          <w:p>
            <w:pPr>
              <w:pStyle w:val="15"/>
            </w:pPr>
            <w:r>
              <w:t>108.39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177.54</w:t>
            </w:r>
          </w:p>
        </w:tc>
        <w:tc>
          <w:tcPr>
            <w:tcW w:w="2551" w:type="dxa"/>
            <w:vAlign w:val="center"/>
          </w:tcPr>
          <w:p>
            <w:pPr>
              <w:pStyle w:val="15"/>
            </w:pPr>
            <w:r>
              <w:t>177.54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103.04</w:t>
            </w:r>
          </w:p>
        </w:tc>
        <w:tc>
          <w:tcPr>
            <w:tcW w:w="2551" w:type="dxa"/>
            <w:vAlign w:val="center"/>
          </w:tcPr>
          <w:p>
            <w:pPr>
              <w:pStyle w:val="15"/>
            </w:pPr>
            <w:r>
              <w:t>103.04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17.17</w:t>
            </w:r>
          </w:p>
        </w:tc>
        <w:tc>
          <w:tcPr>
            <w:tcW w:w="2551" w:type="dxa"/>
            <w:vAlign w:val="center"/>
          </w:tcPr>
          <w:p>
            <w:pPr>
              <w:pStyle w:val="15"/>
            </w:pPr>
            <w:r>
              <w:t>17.17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55.74</w:t>
            </w:r>
          </w:p>
        </w:tc>
        <w:tc>
          <w:tcPr>
            <w:tcW w:w="2551" w:type="dxa"/>
            <w:vAlign w:val="center"/>
          </w:tcPr>
          <w:p>
            <w:pPr>
              <w:pStyle w:val="15"/>
            </w:pPr>
            <w:r>
              <w:t>55.74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3.70</w:t>
            </w:r>
          </w:p>
        </w:tc>
        <w:tc>
          <w:tcPr>
            <w:tcW w:w="2551" w:type="dxa"/>
            <w:vAlign w:val="center"/>
          </w:tcPr>
          <w:p>
            <w:pPr>
              <w:pStyle w:val="15"/>
            </w:pPr>
            <w:r>
              <w:t>3.70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254.78</w:t>
            </w:r>
          </w:p>
        </w:tc>
        <w:tc>
          <w:tcPr>
            <w:tcW w:w="2551" w:type="dxa"/>
            <w:vAlign w:val="center"/>
          </w:tcPr>
          <w:p>
            <w:pPr>
              <w:pStyle w:val="15"/>
            </w:pPr>
          </w:p>
        </w:tc>
        <w:tc>
          <w:tcPr>
            <w:tcW w:w="2551" w:type="dxa"/>
            <w:vAlign w:val="center"/>
          </w:tcPr>
          <w:p>
            <w:pPr>
              <w:pStyle w:val="15"/>
            </w:pPr>
            <w:r>
              <w:t>254.78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200.00</w:t>
            </w:r>
          </w:p>
        </w:tc>
        <w:tc>
          <w:tcPr>
            <w:tcW w:w="2551" w:type="dxa"/>
            <w:vAlign w:val="center"/>
          </w:tcPr>
          <w:p>
            <w:pPr>
              <w:pStyle w:val="15"/>
            </w:pPr>
          </w:p>
        </w:tc>
        <w:tc>
          <w:tcPr>
            <w:tcW w:w="2551" w:type="dxa"/>
            <w:vAlign w:val="center"/>
          </w:tcPr>
          <w:p>
            <w:pPr>
              <w:pStyle w:val="15"/>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15.06</w:t>
            </w:r>
          </w:p>
        </w:tc>
        <w:tc>
          <w:tcPr>
            <w:tcW w:w="2551" w:type="dxa"/>
            <w:vAlign w:val="center"/>
          </w:tcPr>
          <w:p>
            <w:pPr>
              <w:pStyle w:val="15"/>
            </w:pPr>
          </w:p>
        </w:tc>
        <w:tc>
          <w:tcPr>
            <w:tcW w:w="2551" w:type="dxa"/>
            <w:vAlign w:val="center"/>
          </w:tcPr>
          <w:p>
            <w:pPr>
              <w:pStyle w:val="15"/>
            </w:pPr>
            <w:r>
              <w:t>15.06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30.72</w:t>
            </w:r>
          </w:p>
        </w:tc>
        <w:tc>
          <w:tcPr>
            <w:tcW w:w="2551" w:type="dxa"/>
            <w:vAlign w:val="center"/>
          </w:tcPr>
          <w:p>
            <w:pPr>
              <w:pStyle w:val="15"/>
            </w:pPr>
          </w:p>
        </w:tc>
        <w:tc>
          <w:tcPr>
            <w:tcW w:w="2551" w:type="dxa"/>
            <w:vAlign w:val="center"/>
          </w:tcPr>
          <w:p>
            <w:pPr>
              <w:pStyle w:val="15"/>
            </w:pPr>
            <w:r>
              <w:t>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6.00</w:t>
            </w:r>
          </w:p>
        </w:tc>
        <w:tc>
          <w:tcPr>
            <w:tcW w:w="2551" w:type="dxa"/>
            <w:vAlign w:val="center"/>
          </w:tcPr>
          <w:p>
            <w:pPr>
              <w:pStyle w:val="15"/>
            </w:pP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21.50</w:t>
            </w:r>
          </w:p>
        </w:tc>
        <w:tc>
          <w:tcPr>
            <w:tcW w:w="2551" w:type="dxa"/>
            <w:vAlign w:val="center"/>
          </w:tcPr>
          <w:p>
            <w:pPr>
              <w:pStyle w:val="15"/>
            </w:pPr>
            <w:r>
              <w:t>21.50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21.50</w:t>
            </w:r>
          </w:p>
        </w:tc>
        <w:tc>
          <w:tcPr>
            <w:tcW w:w="2551" w:type="dxa"/>
            <w:vAlign w:val="center"/>
          </w:tcPr>
          <w:p>
            <w:pPr>
              <w:pStyle w:val="15"/>
            </w:pPr>
            <w:r>
              <w:t>21.50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936无极县郭庄镇人民政府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936无极县郭庄镇人民政府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936无极县郭庄镇人民政府</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无极县郭庄镇人民政府2023年部门预算信息公开情况说明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无极县郭庄镇人民政府2023年部门预算信息公开情况说明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、《地方预决算公开操作规程》和《关于进一步推进预算公开工作的实施意见》规定，现将无极县郭庄镇人民政府2023年部门预算公开如下：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宣传、贯彻、执行党的路线方针政策和国家的法律、法规,执行本级人民代表大会的决议和上级国家行政机关的决定和命令,其主要职能为:</w:t>
      </w:r>
    </w:p>
    <w:p>
      <w:pPr>
        <w:pStyle w:val="21"/>
      </w:pPr>
      <w:r>
        <w:rPr>
          <w:rFonts w:hint="eastAsia"/>
          <w:lang w:val="en-US" w:eastAsia="zh-CN"/>
        </w:rPr>
        <w:t>1.</w:t>
      </w:r>
      <w:r>
        <w:t>促进经济发展</w:t>
      </w:r>
    </w:p>
    <w:p>
      <w:pPr>
        <w:pStyle w:val="21"/>
      </w:pPr>
      <w:r>
        <w:t>主要包括:（1）搞好本乡镇产业发展规划,引导农民立足自身资源、区位条件和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21"/>
      </w:pPr>
      <w:r>
        <w:rPr>
          <w:rFonts w:hint="eastAsia"/>
          <w:lang w:val="en-US" w:eastAsia="zh-CN"/>
        </w:rPr>
        <w:t>2.</w:t>
      </w:r>
      <w:r>
        <w:t>加强社会管理</w:t>
      </w:r>
    </w:p>
    <w:p>
      <w:pPr>
        <w:pStyle w:val="21"/>
      </w:pPr>
      <w:r>
        <w:t>主要包括:（1）加强乡村财政资金监督管理、农村合同管理及农民减负工作;做好乡镇统计、审计等工作。（2）做好人口和卫生健康工作，加强流动人口管理和婚育管理等工作。（3）推进农村民主政治建设和村民自治,加强农村基层组织建设,为实现公民在选举、决策、管理等方面的民主权利创造条件。（4）加强农村精神文明建设和生态文明村建设,落实好乡村振兴的具体措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21"/>
      </w:pPr>
      <w:r>
        <w:t>3.提供公共服务</w:t>
      </w:r>
    </w:p>
    <w:p>
      <w:pPr>
        <w:pStyle w:val="21"/>
      </w:pPr>
      <w:r>
        <w:t>主要包括:（1）组织乡村公共基础设施建设。（2）配合教育、科技、文体、卫健等部门搞好九年义务教育,普及推广科学技术,丰富农村文化生活,开展全民健身运动,推行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巩固脱贫成果和低保工作以及特困户救助和残疾人服务工作。配合劳动部门做好农村劳动力职业培训、劳动就业和社会保障工作。</w:t>
      </w:r>
    </w:p>
    <w:p>
      <w:pPr>
        <w:pStyle w:val="21"/>
      </w:pPr>
      <w:r>
        <w:t>4.维护农村稳定</w:t>
      </w:r>
    </w:p>
    <w:p>
      <w:pPr>
        <w:pStyle w:val="21"/>
      </w:pPr>
      <w:r>
        <w:t>主要包括:（1）做好社会治安</w:t>
      </w:r>
      <w:r>
        <w:rPr>
          <w:rFonts w:hint="eastAsia"/>
          <w:lang w:eastAsia="zh-CN"/>
        </w:rPr>
        <w:t>综合治理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无极县郭庄镇人民政府本级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按照预算管理有关规定，目前我</w:t>
      </w:r>
      <w:r>
        <w:rPr>
          <w:rFonts w:hint="eastAsia"/>
          <w:lang w:val="en-US" w:eastAsia="zh-CN"/>
        </w:rPr>
        <w:t>县</w:t>
      </w:r>
      <w:r>
        <w:t>部门预算的编制实行综合预算管理，即全部收入和支出都反映在预算中。无极县郭庄镇人民政府机关及所属事业单位的收支包含在部门预算中。</w:t>
      </w:r>
    </w:p>
    <w:p>
      <w:pPr>
        <w:pStyle w:val="22"/>
      </w:pPr>
      <w:r>
        <w:t>1、收入说明</w:t>
      </w:r>
    </w:p>
    <w:p>
      <w:pPr>
        <w:pStyle w:val="22"/>
      </w:pPr>
      <w:r>
        <w:t>反映本部门当年全部收入。2023年预算收入</w:t>
      </w:r>
      <w:r>
        <w:rPr>
          <w:rFonts w:hint="eastAsia"/>
          <w:lang w:val="en-US" w:eastAsia="zh-CN"/>
        </w:rPr>
        <w:t>1203.02</w:t>
      </w:r>
      <w:r>
        <w:t>万元，其中：一般公共预算收入</w:t>
      </w:r>
      <w:r>
        <w:rPr>
          <w:rFonts w:hint="eastAsia"/>
          <w:lang w:val="en-US" w:eastAsia="zh-CN"/>
        </w:rPr>
        <w:t>1203.02</w:t>
      </w:r>
      <w:r>
        <w:t>万元，基金预算收入0万元，财政专户核拨收入0万元，其他来源收入0万元。</w:t>
      </w:r>
    </w:p>
    <w:p>
      <w:pPr>
        <w:pStyle w:val="22"/>
      </w:pPr>
      <w:r>
        <w:t>2、支出说明</w:t>
      </w:r>
    </w:p>
    <w:p>
      <w:pPr>
        <w:pStyle w:val="22"/>
      </w:pPr>
      <w:r>
        <w:t>收支预算总表支出栏、基本支出表、项目支出表按经济分类和支出功能分类科目编制，反映河北省无极县郭庄镇年度部门预算中支出预算的总体情况。2023年部门支出预算为</w:t>
      </w:r>
      <w:r>
        <w:rPr>
          <w:rFonts w:hint="eastAsia"/>
          <w:lang w:val="en-US" w:eastAsia="zh-CN"/>
        </w:rPr>
        <w:t>1203.02</w:t>
      </w:r>
      <w:r>
        <w:t>万元，其中基本支出</w:t>
      </w:r>
      <w:r>
        <w:rPr>
          <w:rFonts w:hint="eastAsia"/>
          <w:lang w:val="en-US" w:eastAsia="zh-CN"/>
        </w:rPr>
        <w:t>1093.02</w:t>
      </w:r>
      <w:r>
        <w:t>万元，包括人员经费</w:t>
      </w:r>
      <w:r>
        <w:rPr>
          <w:rFonts w:hint="eastAsia"/>
          <w:lang w:val="en-US" w:eastAsia="zh-CN"/>
        </w:rPr>
        <w:t>838.29</w:t>
      </w:r>
      <w:r>
        <w:t>万元和日常公用经费</w:t>
      </w:r>
      <w:r>
        <w:rPr>
          <w:rFonts w:hint="eastAsia"/>
          <w:lang w:val="en-US" w:eastAsia="zh-CN"/>
        </w:rPr>
        <w:t>254.78</w:t>
      </w:r>
      <w:r>
        <w:t>万元；主要为工资福利支出</w:t>
      </w:r>
      <w:r>
        <w:rPr>
          <w:rFonts w:hint="eastAsia"/>
          <w:lang w:val="en-US" w:eastAsia="zh-CN"/>
        </w:rPr>
        <w:t>816.74</w:t>
      </w:r>
      <w:r>
        <w:t>万元，对个人和家庭的补助支出21.5万元，商品和服务支出</w:t>
      </w:r>
      <w:r>
        <w:rPr>
          <w:rFonts w:hint="eastAsia"/>
          <w:lang w:val="en-US" w:eastAsia="zh-CN"/>
        </w:rPr>
        <w:t>254.78</w:t>
      </w:r>
      <w:r>
        <w:t>万元，其他支出0万元。</w:t>
      </w:r>
    </w:p>
    <w:p>
      <w:pPr>
        <w:pStyle w:val="22"/>
      </w:pPr>
      <w:r>
        <w:t>3、比上年增减情况</w:t>
      </w:r>
    </w:p>
    <w:p>
      <w:pPr>
        <w:pStyle w:val="22"/>
        <w:rPr>
          <w:rFonts w:hint="eastAsia" w:eastAsia="方正仿宋_GBK"/>
          <w:lang w:eastAsia="zh-CN"/>
        </w:rPr>
      </w:pPr>
      <w:r>
        <w:t>2023年部门预算收支安排</w:t>
      </w:r>
      <w:r>
        <w:rPr>
          <w:rFonts w:hint="eastAsia"/>
          <w:lang w:val="en-US" w:eastAsia="zh-CN"/>
        </w:rPr>
        <w:t>1203.02</w:t>
      </w:r>
      <w:r>
        <w:t>万元，较2022年</w:t>
      </w:r>
      <w:r>
        <w:rPr>
          <w:rFonts w:hint="eastAsia"/>
          <w:lang w:val="en-US" w:eastAsia="zh-CN"/>
        </w:rPr>
        <w:t>增加45.17</w:t>
      </w:r>
      <w:r>
        <w:t>万元，其中：基本</w:t>
      </w:r>
      <w:r>
        <w:rPr>
          <w:rFonts w:hint="eastAsia"/>
          <w:lang w:val="en-US" w:eastAsia="zh-CN"/>
        </w:rPr>
        <w:t>支出增加45.17</w:t>
      </w:r>
      <w:r>
        <w:t>万元</w:t>
      </w:r>
      <w:r>
        <w:rPr>
          <w:rFonts w:hint="eastAsia"/>
          <w:lang w:eastAsia="zh-CN"/>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2023年，我部门机关运行经费共计安排</w:t>
      </w:r>
      <w:r>
        <w:rPr>
          <w:rFonts w:hint="eastAsia"/>
          <w:lang w:val="en-US" w:eastAsia="zh-CN"/>
        </w:rPr>
        <w:t>254.78</w:t>
      </w:r>
      <w:r>
        <w:t>万元，主要用于保证机关正常运转的办公及水费、电费、邮电费、差旅费、专用材料、劳务费、工会经费、公务车运行维护费等支出。</w:t>
      </w:r>
    </w:p>
    <w:p>
      <w:pPr>
        <w:pStyle w:val="23"/>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2023年，我部门财政拨款“三公”经费预算安排3万元，其中：因公出国（境）费0万元；公务用车购置及运维费3万元（其中：公务用车购置费0万元，公务用车运行维护费3万元)；公务接待费0万元。“三公”经费与上年持平，无增减变化。</w:t>
      </w:r>
    </w:p>
    <w:p>
      <w:pPr>
        <w:pStyle w:val="24"/>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1．进一步转变政府职能</w:t>
      </w:r>
    </w:p>
    <w:p>
      <w:pPr>
        <w:pStyle w:val="25"/>
      </w:pPr>
      <w:r>
        <w:t>依法全面履行政府职能。注重强化社会管理职能和公共服务职能。充分发挥市场配置资源的决定性作用，同时运用经济、法律等手段，通过制定规划、政策指导、发布信息以及规范市场准入，引导和调控经济运行。依法加强对社会组织和社会事务的管理，妥善协调各种利益关系，增强维护公共安全和处理突发事件的能力，维护社会公正、社会秩序和社会稳定。进一步提高政府公共服务的效率基础。</w:t>
      </w:r>
    </w:p>
    <w:p>
      <w:pPr>
        <w:pStyle w:val="25"/>
      </w:pPr>
      <w:r>
        <w:t>完善乡镇政府管理体制。进一步完善政府管理体制，合理划分和依法规范行政机关的职能、权限，加强乡镇政府在社会管理和公共服务方面的属地化管理职责，积极推进乡镇改革。</w:t>
      </w:r>
    </w:p>
    <w:p>
      <w:pPr>
        <w:pStyle w:val="25"/>
      </w:pPr>
      <w:r>
        <w:t>2、努力提高行政效率</w:t>
      </w:r>
    </w:p>
    <w:p>
      <w:pPr>
        <w:pStyle w:val="25"/>
      </w:pPr>
      <w:r>
        <w:t>健全科学的决策和执行机制。按照建立科学民主的决策机制、规范有序的执法机制、公正透明的监督机制的要求，继续完善政府工作制度和运作机制。进一步完善重大事项集体决策制度、专家咨询制度、决策责任制度，逐步完善与群众利益密切相关的重大事项社会公示和社会听证制度。坚持和完善分工负责、合力推进的工作机制。</w:t>
      </w:r>
    </w:p>
    <w:p>
      <w:pPr>
        <w:pStyle w:val="25"/>
      </w:pPr>
      <w:r>
        <w:t>3、全面推进依法行政</w:t>
      </w:r>
    </w:p>
    <w:p>
      <w:pPr>
        <w:pStyle w:val="25"/>
      </w:pPr>
      <w:r>
        <w:t>加强依法行政制度建设。深入贯彻国务院《全面推进依法行政实施纲要》，按照合法行政、合理行政、程序正当、高效便民、诚实守信、权责统一的要求，全面提高政府依法行政水平。进一步完善规范性文件的制定和备案制度。深入贯彻《中华人民共和国行政许可法》，完善行政许可配套制度建设。以继续推进综合执法体制改革为重点，建立和完善职责明确、行为规范、监督有效、保障有力的执法体制。建立健全行政执法责任制、过错责任追究制度和评议考核机制。</w:t>
      </w:r>
    </w:p>
    <w:p>
      <w:pPr>
        <w:pStyle w:val="25"/>
      </w:pPr>
      <w:r>
        <w:t>深入推进政府信息公开。按照“以公开为原则、不公开为例外”的总体要求，深化政府信息公开制度建设，拓宽公开范围和渠道，建立和落实政府信息公开争议解决机制和监督机制，为社会提供公开、透明、高效的公共服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经济管理</w:t>
      </w:r>
    </w:p>
    <w:p>
      <w:pPr>
        <w:pStyle w:val="26"/>
      </w:pPr>
      <w:r>
        <w:t>绩效目标：搞好产业规划，组织做好招商引资工作，做好引进项目的跟踪服务后续工作，引导农村经济发展，配合民政、商务和供销社、农口等部门做好技术推广和服务工作。</w:t>
      </w:r>
    </w:p>
    <w:p>
      <w:pPr>
        <w:pStyle w:val="26"/>
      </w:pPr>
      <w:r>
        <w:t>绩效指标：同比增长率。</w:t>
      </w:r>
    </w:p>
    <w:p>
      <w:pPr>
        <w:pStyle w:val="26"/>
      </w:pPr>
      <w:r>
        <w:t>社会管理</w:t>
      </w:r>
    </w:p>
    <w:p>
      <w:pPr>
        <w:pStyle w:val="26"/>
      </w:pPr>
      <w:r>
        <w:t>绩效目标：基础工作做实，完成相关部门各项工作，促进经济社会又好又快发展，维护社会和谐稳定。</w:t>
      </w:r>
    </w:p>
    <w:p>
      <w:pPr>
        <w:pStyle w:val="26"/>
      </w:pPr>
      <w:r>
        <w:t>绩效指标：各项事务完成率，村民满意度。</w:t>
      </w:r>
    </w:p>
    <w:p>
      <w:pPr>
        <w:pStyle w:val="26"/>
      </w:pPr>
      <w:r>
        <w:t>公共服务</w:t>
      </w:r>
    </w:p>
    <w:p>
      <w:pPr>
        <w:pStyle w:val="26"/>
      </w:pPr>
      <w:r>
        <w:t>绩效目标：满足农民对公共服务的实际需求。</w:t>
      </w:r>
    </w:p>
    <w:p>
      <w:pPr>
        <w:pStyle w:val="26"/>
      </w:pPr>
      <w:r>
        <w:t>绩效指标：村民满意度。</w:t>
      </w:r>
    </w:p>
    <w:p>
      <w:pPr>
        <w:pStyle w:val="26"/>
      </w:pPr>
      <w:r>
        <w:t>维护稳定</w:t>
      </w:r>
    </w:p>
    <w:p>
      <w:pPr>
        <w:pStyle w:val="26"/>
      </w:pPr>
      <w:r>
        <w:t>绩效目标：提高治安防范整体水平；预防和减少重大矛盾纠纷和群体性事件的发生，提高农民法律意识和法律素养。</w:t>
      </w:r>
    </w:p>
    <w:p>
      <w:pPr>
        <w:pStyle w:val="26"/>
      </w:pPr>
      <w:r>
        <w:t>绩效指标：安全隐患排查率、普法率等。</w:t>
      </w:r>
    </w:p>
    <w:p>
      <w:pPr>
        <w:pStyle w:val="26"/>
      </w:pPr>
      <w:r>
        <w:t>扶贫开发项目管理</w:t>
      </w:r>
    </w:p>
    <w:p>
      <w:pPr>
        <w:pStyle w:val="26"/>
      </w:pPr>
      <w:r>
        <w:t>绩效目标：按照精准扶贫、精准脱贫、严防返贫要求，大力实施扶贫工程和产业化扶贫项目，提高资金使用效益，保证扶贫帮困效果，确保脱贫群众稳定增收。</w:t>
      </w:r>
    </w:p>
    <w:p>
      <w:pPr>
        <w:pStyle w:val="26"/>
      </w:pPr>
      <w:r>
        <w:t>绩效指标：工作完成率。</w:t>
      </w:r>
    </w:p>
    <w:p>
      <w:pPr>
        <w:pStyle w:val="26"/>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加强制度建设。建立健全机关预算绩效管理制度，为全年预算绩效目标的实现奠定制度基础。</w:t>
      </w:r>
    </w:p>
    <w:p>
      <w:pPr>
        <w:pStyle w:val="27"/>
      </w:pPr>
      <w:r>
        <w:t>规范财务管理。进一步完善财务管理制度，通过科学编制预算、优化支出结构、加快政府采购、加速项目建设、及时拨付资金，确保经费支出进度达到规定标准。</w:t>
      </w:r>
    </w:p>
    <w:p>
      <w:pPr>
        <w:pStyle w:val="27"/>
      </w:pPr>
      <w:r>
        <w:t>加强内部监督。加强内部监督制度建设，对绩效运行、重大支出事项、资产处置及其他重要经济业务事项决策和执行进行监督，定期开展财务内部审计，确保财政资金使用安全合规。</w:t>
      </w:r>
    </w:p>
    <w:p>
      <w:pPr>
        <w:pStyle w:val="27"/>
      </w:pPr>
      <w:r>
        <w:t>加强绩效监控。积极开展绩效运行监控，发现问题及时采取措施，确保绩效目标如期保质实现。</w:t>
      </w:r>
    </w:p>
    <w:p>
      <w:pPr>
        <w:pStyle w:val="27"/>
      </w:pPr>
      <w:r>
        <w:t>做好绩效自评。按要求开展部门预算绩效自评和重点项目评价工作，对评价中发现的问题及时整改。</w:t>
      </w:r>
    </w:p>
    <w:p>
      <w:pPr>
        <w:pStyle w:val="27"/>
      </w:pPr>
      <w:r>
        <w:t>加强宣传培训。加强人员培训，加大宣传力度，强化预算绩效管理意识，促进预算绩效管理水平提升。</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bidi w:val="0"/>
        <w:rPr>
          <w:rFonts w:ascii="Times New Roman" w:hAnsi="Times New Roman" w:eastAsia="Times New Roman" w:cstheme="minorBidi"/>
          <w:sz w:val="24"/>
          <w:szCs w:val="24"/>
          <w:lang w:val="en-US" w:eastAsia="uk-UA" w:bidi="ar-SA"/>
        </w:rPr>
      </w:pPr>
    </w:p>
    <w:p>
      <w:pPr>
        <w:bidi w:val="0"/>
        <w:rPr>
          <w:lang w:val="en-US" w:eastAsia="uk-UA"/>
        </w:rPr>
      </w:pPr>
    </w:p>
    <w:p>
      <w:pPr>
        <w:bidi w:val="0"/>
        <w:rPr>
          <w:lang w:val="en-US" w:eastAsia="uk-UA"/>
        </w:rPr>
      </w:pPr>
    </w:p>
    <w:p>
      <w:pPr>
        <w:tabs>
          <w:tab w:val="left" w:pos="800"/>
        </w:tabs>
        <w:bidi w:val="0"/>
        <w:jc w:val="left"/>
        <w:rPr>
          <w:rFonts w:hint="default" w:eastAsia="宋体"/>
          <w:lang w:val="en-US" w:eastAsia="zh-CN"/>
        </w:rPr>
        <w:sectPr>
          <w:pgSz w:w="16840" w:h="11900" w:orient="landscape"/>
          <w:pgMar w:top="1361" w:right="1020" w:bottom="1361" w:left="1020" w:header="720" w:footer="720" w:gutter="0"/>
          <w:cols w:space="720" w:num="1"/>
        </w:sectPr>
      </w:pPr>
      <w:r>
        <w:rPr>
          <w:rFonts w:hint="eastAsia" w:eastAsia="宋体"/>
          <w:lang w:val="en-US" w:eastAsia="zh-CN"/>
        </w:rPr>
        <w:tab/>
      </w:r>
      <w:r>
        <w:rPr>
          <w:rFonts w:hint="eastAsia" w:eastAsia="宋体"/>
          <w:lang w:val="en-US" w:eastAsia="zh-CN"/>
        </w:rPr>
        <w:t>无</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pPr>
        <w:bidi w:val="0"/>
        <w:rPr>
          <w:rFonts w:ascii="Times New Roman" w:hAnsi="Times New Roman" w:eastAsia="Times New Roman" w:cstheme="minorBidi"/>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tabs>
          <w:tab w:val="left" w:pos="913"/>
        </w:tabs>
        <w:bidi w:val="0"/>
        <w:jc w:val="left"/>
        <w:rPr>
          <w:rFonts w:hint="default"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ab/>
      </w:r>
      <w:r>
        <w:rPr>
          <w:rFonts w:hint="eastAsia" w:eastAsia="宋体"/>
          <w:lang w:val="en-US" w:eastAsia="zh-CN"/>
        </w:rPr>
        <w:t>无</w:t>
      </w:r>
    </w:p>
    <w:p>
      <w:pPr>
        <w:spacing w:before="0" w:after="0"/>
        <w:ind w:firstLine="560"/>
        <w:jc w:val="left"/>
        <w:outlineLvl w:val="9"/>
      </w:pPr>
      <w:r>
        <w:rPr>
          <w:rFonts w:ascii="方正仿宋_GBK" w:hAnsi="方正仿宋_GBK" w:eastAsia="方正仿宋_GBK" w:cs="方正仿宋_GBK"/>
          <w:b/>
          <w:color w:val="000000"/>
          <w:sz w:val="28"/>
        </w:rPr>
        <w:t>1、郭庄镇前北焦村道路硬化及提升整治工程绩效目标表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实际完工比率</w:t>
            </w:r>
          </w:p>
        </w:tc>
        <w:tc>
          <w:tcPr>
            <w:tcW w:w="2835" w:type="dxa"/>
            <w:vAlign w:val="center"/>
          </w:tcPr>
          <w:p>
            <w:pPr>
              <w:pStyle w:val="16"/>
            </w:pPr>
            <w:r>
              <w:t>实际完工比率</w:t>
            </w:r>
          </w:p>
        </w:tc>
        <w:tc>
          <w:tcPr>
            <w:tcW w:w="2551" w:type="dxa"/>
            <w:vAlign w:val="center"/>
          </w:tcPr>
          <w:p>
            <w:pPr>
              <w:pStyle w:val="16"/>
            </w:pPr>
            <w:r>
              <w:t>100%</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产品合格率</w:t>
            </w:r>
          </w:p>
        </w:tc>
        <w:tc>
          <w:tcPr>
            <w:tcW w:w="2835" w:type="dxa"/>
            <w:vAlign w:val="center"/>
          </w:tcPr>
          <w:p>
            <w:pPr>
              <w:pStyle w:val="16"/>
            </w:pPr>
            <w:r>
              <w:t>产品合格率</w:t>
            </w:r>
          </w:p>
        </w:tc>
        <w:tc>
          <w:tcPr>
            <w:tcW w:w="2551" w:type="dxa"/>
            <w:vAlign w:val="center"/>
          </w:tcPr>
          <w:p>
            <w:pPr>
              <w:pStyle w:val="16"/>
            </w:pPr>
            <w:r>
              <w:t>100%</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按时交付</w:t>
            </w:r>
          </w:p>
        </w:tc>
        <w:tc>
          <w:tcPr>
            <w:tcW w:w="2835" w:type="dxa"/>
            <w:vAlign w:val="center"/>
          </w:tcPr>
          <w:p>
            <w:pPr>
              <w:pStyle w:val="16"/>
            </w:pPr>
            <w:r>
              <w:t>按时交付</w:t>
            </w:r>
          </w:p>
        </w:tc>
        <w:tc>
          <w:tcPr>
            <w:tcW w:w="2551" w:type="dxa"/>
            <w:vAlign w:val="center"/>
          </w:tcPr>
          <w:p>
            <w:pPr>
              <w:pStyle w:val="16"/>
            </w:pPr>
            <w:r>
              <w:t>100%</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按总成本控制</w:t>
            </w:r>
          </w:p>
        </w:tc>
        <w:tc>
          <w:tcPr>
            <w:tcW w:w="2835" w:type="dxa"/>
            <w:vAlign w:val="center"/>
          </w:tcPr>
          <w:p>
            <w:pPr>
              <w:pStyle w:val="16"/>
            </w:pPr>
            <w:r>
              <w:t>按总成本控制</w:t>
            </w:r>
          </w:p>
        </w:tc>
        <w:tc>
          <w:tcPr>
            <w:tcW w:w="2551" w:type="dxa"/>
            <w:vAlign w:val="center"/>
          </w:tcPr>
          <w:p>
            <w:pPr>
              <w:pStyle w:val="16"/>
            </w:pPr>
            <w:r>
              <w:t>控制在总成本内</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 xml:space="preserve">对经济发展带来效果 </w:t>
            </w:r>
          </w:p>
        </w:tc>
        <w:tc>
          <w:tcPr>
            <w:tcW w:w="2835" w:type="dxa"/>
            <w:vAlign w:val="center"/>
          </w:tcPr>
          <w:p>
            <w:pPr>
              <w:pStyle w:val="16"/>
            </w:pPr>
            <w:r>
              <w:t xml:space="preserve">对经济发展带来效果 </w:t>
            </w:r>
          </w:p>
        </w:tc>
        <w:tc>
          <w:tcPr>
            <w:tcW w:w="2551" w:type="dxa"/>
            <w:vAlign w:val="center"/>
          </w:tcPr>
          <w:p>
            <w:pPr>
              <w:pStyle w:val="16"/>
            </w:pPr>
            <w:r>
              <w:t>对经济发展带来效果</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对社会发展带来的影响</w:t>
            </w:r>
          </w:p>
        </w:tc>
        <w:tc>
          <w:tcPr>
            <w:tcW w:w="2835" w:type="dxa"/>
            <w:vAlign w:val="center"/>
          </w:tcPr>
          <w:p>
            <w:pPr>
              <w:pStyle w:val="16"/>
            </w:pPr>
            <w:r>
              <w:t>对社会发展带来的影响</w:t>
            </w:r>
          </w:p>
        </w:tc>
        <w:tc>
          <w:tcPr>
            <w:tcW w:w="2551" w:type="dxa"/>
            <w:vAlign w:val="center"/>
          </w:tcPr>
          <w:p>
            <w:pPr>
              <w:pStyle w:val="16"/>
            </w:pPr>
            <w:r>
              <w:t>大幅提升通行效率</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生态环境质量改善</w:t>
            </w:r>
          </w:p>
        </w:tc>
        <w:tc>
          <w:tcPr>
            <w:tcW w:w="2835" w:type="dxa"/>
            <w:vAlign w:val="center"/>
          </w:tcPr>
          <w:p>
            <w:pPr>
              <w:pStyle w:val="16"/>
            </w:pPr>
            <w:r>
              <w:t>生态环境质量改善</w:t>
            </w:r>
          </w:p>
        </w:tc>
        <w:tc>
          <w:tcPr>
            <w:tcW w:w="2551" w:type="dxa"/>
            <w:vAlign w:val="center"/>
          </w:tcPr>
          <w:p>
            <w:pPr>
              <w:pStyle w:val="16"/>
            </w:pPr>
            <w:r>
              <w:t>降尘降噪</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可持续性</w:t>
            </w:r>
          </w:p>
        </w:tc>
        <w:tc>
          <w:tcPr>
            <w:tcW w:w="2835" w:type="dxa"/>
            <w:vAlign w:val="center"/>
          </w:tcPr>
          <w:p>
            <w:pPr>
              <w:pStyle w:val="16"/>
            </w:pPr>
            <w:r>
              <w:t>可持续性</w:t>
            </w:r>
          </w:p>
        </w:tc>
        <w:tc>
          <w:tcPr>
            <w:tcW w:w="2551" w:type="dxa"/>
            <w:vAlign w:val="center"/>
          </w:tcPr>
          <w:p>
            <w:pPr>
              <w:pStyle w:val="16"/>
            </w:pPr>
            <w:r>
              <w:t>≥10年</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≥96%</w:t>
            </w:r>
          </w:p>
        </w:tc>
        <w:tc>
          <w:tcPr>
            <w:tcW w:w="2268" w:type="dxa"/>
            <w:vAlign w:val="center"/>
          </w:tcPr>
          <w:p>
            <w:pPr>
              <w:pStyle w:val="16"/>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2023年，无极县郭庄镇人民政府安排政府采购预算0.00万元。具体内容见下表。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936无极县郭庄镇人民政府</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无极县郭庄镇人民政府（含所属单位）上年末固定资产金额为294</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936无极县郭庄镇人民政府</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rPr>
                <w:rFonts w:hint="eastAsia" w:eastAsia="方正书宋_GBK"/>
                <w:lang w:val="en-US" w:eastAsia="zh-CN"/>
              </w:rPr>
            </w:pPr>
            <w:r>
              <w:t>294</w:t>
            </w:r>
            <w:r>
              <w:rPr>
                <w:rFonts w:hint="eastAsia"/>
                <w:lang w:val="en-US" w:eastAsia="zh-CN"/>
              </w:rPr>
              <w:t>.</w:t>
            </w:r>
            <w:r>
              <w:t>7</w:t>
            </w: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38540</w:t>
            </w:r>
          </w:p>
        </w:tc>
        <w:tc>
          <w:tcPr>
            <w:tcW w:w="2835" w:type="dxa"/>
            <w:vAlign w:val="center"/>
          </w:tcPr>
          <w:p>
            <w:pPr>
              <w:pStyle w:val="15"/>
              <w:rPr>
                <w:rFonts w:hint="eastAsia" w:eastAsia="方正书宋_GBK"/>
                <w:lang w:eastAsia="zh-CN"/>
              </w:rPr>
            </w:pPr>
            <w:r>
              <w:t>176</w:t>
            </w:r>
            <w:r>
              <w:rPr>
                <w:rFonts w:hint="eastAsia"/>
                <w:lang w:val="en-US" w:eastAsia="zh-CN"/>
              </w:rPr>
              <w:t>.</w:t>
            </w:r>
            <w:r>
              <w:t>8</w:t>
            </w:r>
            <w:r>
              <w:rPr>
                <w:rFonts w:hint="eastAsia"/>
                <w:lang w:val="en-US" w:eastAsia="zh-CN"/>
              </w:rP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477</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7</w:t>
            </w:r>
          </w:p>
        </w:tc>
        <w:tc>
          <w:tcPr>
            <w:tcW w:w="2835" w:type="dxa"/>
            <w:vAlign w:val="center"/>
          </w:tcPr>
          <w:p>
            <w:pPr>
              <w:pStyle w:val="15"/>
              <w:rPr>
                <w:rFonts w:hint="eastAsia" w:eastAsia="方正书宋_GBK"/>
                <w:lang w:eastAsia="zh-CN"/>
              </w:rPr>
            </w:pPr>
            <w:r>
              <w:t>72</w:t>
            </w:r>
            <w:r>
              <w:rPr>
                <w:rFonts w:hint="eastAsia"/>
                <w:lang w:val="en-US" w:eastAsia="zh-CN"/>
              </w:rPr>
              <w:t>.</w:t>
            </w:r>
            <w:r>
              <w:t>4</w:t>
            </w:r>
            <w:r>
              <w:rPr>
                <w:rFonts w:hint="eastAsia"/>
                <w:lang w:val="en-US" w:eastAsia="zh-CN"/>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116</w:t>
            </w:r>
          </w:p>
        </w:tc>
        <w:tc>
          <w:tcPr>
            <w:tcW w:w="2835" w:type="dxa"/>
            <w:vAlign w:val="center"/>
          </w:tcPr>
          <w:p>
            <w:pPr>
              <w:pStyle w:val="15"/>
              <w:rPr>
                <w:rFonts w:hint="eastAsia" w:eastAsia="方正书宋_GBK"/>
                <w:lang w:eastAsia="zh-CN"/>
              </w:rPr>
            </w:pPr>
            <w:r>
              <w:t>45</w:t>
            </w:r>
            <w:r>
              <w:rPr>
                <w:rFonts w:hint="eastAsia"/>
                <w:lang w:val="en-US" w:eastAsia="zh-CN"/>
              </w:rPr>
              <w:t>.4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957330"/>
    <w:rsid w:val="03EF1369"/>
    <w:rsid w:val="24742B81"/>
    <w:rsid w:val="314B5EC7"/>
    <w:rsid w:val="53947FCD"/>
    <w:rsid w:val="5DCA41BE"/>
    <w:rsid w:val="61F863A5"/>
    <w:rsid w:val="794A28BF"/>
    <w:rsid w:val="7C95631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2023-05-15T14:29:23Z</dcterms:created>
  <dcterms:modified xsi:type="dcterms:W3CDTF">2023-05-15T06:29:23Z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2023-05-15T14:29:23Z</dcterms:created>
  <dcterms:modified xsi:type="dcterms:W3CDTF">2023-05-15T06:29:23Z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2023-05-15T14:29:18Z</dcterms:created>
  <dcterms:modified xsi:type="dcterms:W3CDTF">2023-05-15T06:29:17Z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2023-05-15T14:29:22Z</dcterms:created>
  <dcterms:modified xsi:type="dcterms:W3CDTF">2023-05-15T06:29:22Z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2023-05-15T14:29:19Z</dcterms:created>
  <dcterms:modified xsi:type="dcterms:W3CDTF">2023-05-15T06:29:19Z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2023-05-15T14:29:18Z</dcterms:created>
  <dcterms:modified xsi:type="dcterms:W3CDTF">2023-05-15T06:29:18Z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2023-05-15T14:29:18Z</dcterms:created>
  <dcterms:modified xsi:type="dcterms:W3CDTF">2023-05-15T06:29:18Z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81ff9e45-ad14-4fbd-b10f-745e75c13c15}">
  <ds:schemaRefs/>
</ds:datastoreItem>
</file>

<file path=customXml/itemProps11.xml><?xml version="1.0" encoding="utf-8"?>
<ds:datastoreItem xmlns:ds="http://schemas.openxmlformats.org/officeDocument/2006/customXml" ds:itemID="{4627ad18-e2ac-443f-b144-cc1562af08c0}">
  <ds:schemaRefs/>
</ds:datastoreItem>
</file>

<file path=customXml/itemProps12.xml><?xml version="1.0" encoding="utf-8"?>
<ds:datastoreItem xmlns:ds="http://schemas.openxmlformats.org/officeDocument/2006/customXml" ds:itemID="{6ac21670-05e4-414c-9e70-e9095ae09590}">
  <ds:schemaRefs/>
</ds:datastoreItem>
</file>

<file path=customXml/itemProps13.xml><?xml version="1.0" encoding="utf-8"?>
<ds:datastoreItem xmlns:ds="http://schemas.openxmlformats.org/officeDocument/2006/customXml" ds:itemID="{f312111f-d651-4da8-b37f-0498f1ef634e}">
  <ds:schemaRefs/>
</ds:datastoreItem>
</file>

<file path=customXml/itemProps14.xml><?xml version="1.0" encoding="utf-8"?>
<ds:datastoreItem xmlns:ds="http://schemas.openxmlformats.org/officeDocument/2006/customXml" ds:itemID="{5d487403-ccd2-442d-863c-ffe374d3161e}">
  <ds:schemaRefs/>
</ds:datastoreItem>
</file>

<file path=customXml/itemProps15.xml><?xml version="1.0" encoding="utf-8"?>
<ds:datastoreItem xmlns:ds="http://schemas.openxmlformats.org/officeDocument/2006/customXml" ds:itemID="{c9b64a06-e623-4e99-96d2-2bfb2b7c0eec}">
  <ds:schemaRefs/>
</ds:datastoreItem>
</file>

<file path=customXml/itemProps2.xml><?xml version="1.0" encoding="utf-8"?>
<ds:datastoreItem xmlns:ds="http://schemas.openxmlformats.org/officeDocument/2006/customXml" ds:itemID="{884ddce6-4a6f-4790-ad26-9dc0af1524ae}">
  <ds:schemaRefs/>
</ds:datastoreItem>
</file>

<file path=customXml/itemProps3.xml><?xml version="1.0" encoding="utf-8"?>
<ds:datastoreItem xmlns:ds="http://schemas.openxmlformats.org/officeDocument/2006/customXml" ds:itemID="{d7920486-e0bf-4d3e-a706-5d45cb2c6fb7}">
  <ds:schemaRefs/>
</ds:datastoreItem>
</file>

<file path=customXml/itemProps4.xml><?xml version="1.0" encoding="utf-8"?>
<ds:datastoreItem xmlns:ds="http://schemas.openxmlformats.org/officeDocument/2006/customXml" ds:itemID="{c8ca0c52-8bc1-4a2b-9ff3-2ae8998166a0}">
  <ds:schemaRefs/>
</ds:datastoreItem>
</file>

<file path=customXml/itemProps5.xml><?xml version="1.0" encoding="utf-8"?>
<ds:datastoreItem xmlns:ds="http://schemas.openxmlformats.org/officeDocument/2006/customXml" ds:itemID="{8e05b96a-e283-4c63-a3e5-858928481df5}">
  <ds:schemaRefs/>
</ds:datastoreItem>
</file>

<file path=customXml/itemProps6.xml><?xml version="1.0" encoding="utf-8"?>
<ds:datastoreItem xmlns:ds="http://schemas.openxmlformats.org/officeDocument/2006/customXml" ds:itemID="{b87a7a73-1ca9-4a24-8415-a0c4b3192b50}">
  <ds:schemaRefs/>
</ds:datastoreItem>
</file>

<file path=customXml/itemProps7.xml><?xml version="1.0" encoding="utf-8"?>
<ds:datastoreItem xmlns:ds="http://schemas.openxmlformats.org/officeDocument/2006/customXml" ds:itemID="{a214da8d-5f91-40fd-b4e0-b6d935e7352e}">
  <ds:schemaRefs/>
</ds:datastoreItem>
</file>

<file path=customXml/itemProps8.xml><?xml version="1.0" encoding="utf-8"?>
<ds:datastoreItem xmlns:ds="http://schemas.openxmlformats.org/officeDocument/2006/customXml" ds:itemID="{6a9eb951-6cb6-4a9a-a04f-a26685953aea}">
  <ds:schemaRefs/>
</ds:datastoreItem>
</file>

<file path=customXml/itemProps9.xml><?xml version="1.0" encoding="utf-8"?>
<ds:datastoreItem xmlns:ds="http://schemas.openxmlformats.org/officeDocument/2006/customXml" ds:itemID="{5feda2be-0f78-42e6-85a5-b80ac3059d76}">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2023-05-15T14:29:00Z</dcterms:created>
  <dc:creator>Administrator</dc:creator>
  <cp:lastModifiedBy>Administrator</cp:lastModifiedBy>
  <dcterms:modified xsi:type="dcterms:W3CDTF">2024-01-31T06:25:01Z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45DA4C7E639147C1AD263EAC6E5F8505</vt:lpwstr>
  </property>
</Properties>
</file>